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2661BA" w14:paraId="22CF9F80" w14:textId="77777777">
        <w:trPr>
          <w:jc w:val="center"/>
        </w:trPr>
        <w:tc>
          <w:tcPr>
            <w:tcW w:w="50" w:type="pct"/>
            <w:shd w:val="clear" w:color="auto" w:fill="auto"/>
            <w:vAlign w:val="bottom"/>
          </w:tcPr>
          <w:p w14:paraId="22CF9F7D" w14:textId="28BCA5AB" w:rsidR="002661BA" w:rsidRDefault="00D972BC">
            <w:pPr>
              <w:rPr>
                <w:rFonts w:ascii="宋体"/>
              </w:rPr>
            </w:pPr>
            <w:r>
              <w:rPr>
                <w:rFonts w:ascii="宋体"/>
              </w:rPr>
              <w:t xml:space="preserve"> </w:t>
            </w:r>
          </w:p>
        </w:tc>
        <w:tc>
          <w:tcPr>
            <w:tcW w:w="4945" w:type="pct"/>
            <w:shd w:val="clear" w:color="auto" w:fill="auto"/>
            <w:vAlign w:val="bottom"/>
          </w:tcPr>
          <w:p w14:paraId="22CF9F7E" w14:textId="77777777" w:rsidR="002661BA" w:rsidRDefault="002661BA">
            <w:pPr>
              <w:rPr>
                <w:rFonts w:ascii="宋体"/>
              </w:rPr>
            </w:pPr>
          </w:p>
        </w:tc>
        <w:tc>
          <w:tcPr>
            <w:tcW w:w="5" w:type="pct"/>
            <w:shd w:val="clear" w:color="auto" w:fill="auto"/>
            <w:vAlign w:val="bottom"/>
          </w:tcPr>
          <w:p w14:paraId="22CF9F7F" w14:textId="77777777" w:rsidR="002661BA" w:rsidRDefault="002661BA">
            <w:pPr>
              <w:rPr>
                <w:rFonts w:ascii="宋体"/>
              </w:rPr>
            </w:pPr>
          </w:p>
        </w:tc>
      </w:tr>
      <w:tr w:rsidR="002661BA" w14:paraId="22CF9F82"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9F81" w14:textId="77777777" w:rsidR="002661BA" w:rsidRDefault="002661BA">
            <w:pPr>
              <w:rPr>
                <w:rFonts w:ascii="宋体"/>
              </w:rPr>
            </w:pPr>
          </w:p>
        </w:tc>
      </w:tr>
      <w:tr w:rsidR="002661BA" w14:paraId="22CF9F84" w14:textId="77777777">
        <w:trPr>
          <w:trHeight w:val="120"/>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9F83" w14:textId="77777777" w:rsidR="002661BA" w:rsidRDefault="002661BA">
            <w:pPr>
              <w:rPr>
                <w:rFonts w:ascii="宋体"/>
              </w:rPr>
            </w:pPr>
          </w:p>
        </w:tc>
      </w:tr>
    </w:tbl>
    <w:p w14:paraId="22CF9F85" w14:textId="77777777" w:rsidR="002661BA" w:rsidRDefault="00D972BC">
      <w:pPr>
        <w:jc w:val="center"/>
      </w:pPr>
      <w:r>
        <w:rPr>
          <w:rFonts w:ascii="Arial" w:eastAsia="宋体" w:hAnsi="Arial" w:cs="Arial"/>
          <w:b/>
          <w:bCs/>
          <w:color w:val="000000"/>
          <w:sz w:val="28"/>
          <w:szCs w:val="28"/>
        </w:rPr>
        <w:t>UNITED STATES</w:t>
      </w:r>
    </w:p>
    <w:p w14:paraId="22CF9F86" w14:textId="77777777" w:rsidR="002661BA" w:rsidRDefault="00D972BC">
      <w:pPr>
        <w:jc w:val="center"/>
      </w:pPr>
      <w:r>
        <w:rPr>
          <w:rFonts w:ascii="Arial" w:eastAsia="宋体" w:hAnsi="Arial" w:cs="Arial"/>
          <w:b/>
          <w:bCs/>
          <w:color w:val="000000"/>
          <w:sz w:val="28"/>
          <w:szCs w:val="28"/>
        </w:rPr>
        <w:t xml:space="preserve">SECURITIES AND EXCHANGE COMMISSION </w:t>
      </w:r>
    </w:p>
    <w:p w14:paraId="22CF9F87" w14:textId="77777777" w:rsidR="002661BA" w:rsidRDefault="00D972BC">
      <w:pPr>
        <w:jc w:val="center"/>
      </w:pPr>
      <w:r>
        <w:rPr>
          <w:rFonts w:ascii="Arial" w:eastAsia="宋体" w:hAnsi="Arial" w:cs="Arial"/>
          <w:b/>
          <w:bCs/>
          <w:color w:val="000000"/>
          <w:sz w:val="18"/>
          <w:szCs w:val="18"/>
        </w:rPr>
        <w:t>Washington, D.C. 20549</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2661BA" w14:paraId="22CF9F8B" w14:textId="77777777">
        <w:trPr>
          <w:jc w:val="center"/>
        </w:trPr>
        <w:tc>
          <w:tcPr>
            <w:tcW w:w="50" w:type="pct"/>
            <w:shd w:val="clear" w:color="auto" w:fill="auto"/>
            <w:vAlign w:val="bottom"/>
          </w:tcPr>
          <w:p w14:paraId="22CF9F88" w14:textId="77777777" w:rsidR="002661BA" w:rsidRDefault="002661BA">
            <w:pPr>
              <w:rPr>
                <w:rFonts w:ascii="宋体"/>
              </w:rPr>
            </w:pPr>
          </w:p>
        </w:tc>
        <w:tc>
          <w:tcPr>
            <w:tcW w:w="4945" w:type="pct"/>
            <w:shd w:val="clear" w:color="auto" w:fill="auto"/>
            <w:vAlign w:val="bottom"/>
          </w:tcPr>
          <w:p w14:paraId="22CF9F89" w14:textId="77777777" w:rsidR="002661BA" w:rsidRDefault="002661BA">
            <w:pPr>
              <w:rPr>
                <w:rFonts w:ascii="宋体"/>
              </w:rPr>
            </w:pPr>
          </w:p>
        </w:tc>
        <w:tc>
          <w:tcPr>
            <w:tcW w:w="5" w:type="pct"/>
            <w:shd w:val="clear" w:color="auto" w:fill="auto"/>
            <w:vAlign w:val="bottom"/>
          </w:tcPr>
          <w:p w14:paraId="22CF9F8A" w14:textId="77777777" w:rsidR="002661BA" w:rsidRDefault="002661BA">
            <w:pPr>
              <w:rPr>
                <w:rFonts w:ascii="宋体"/>
              </w:rPr>
            </w:pPr>
          </w:p>
        </w:tc>
      </w:tr>
      <w:tr w:rsidR="002661BA" w14:paraId="22CF9F8D"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22CF9F8C" w14:textId="77777777" w:rsidR="002661BA" w:rsidRDefault="002661BA">
            <w:pPr>
              <w:rPr>
                <w:rFonts w:ascii="宋体"/>
              </w:rPr>
            </w:pPr>
          </w:p>
        </w:tc>
      </w:tr>
    </w:tbl>
    <w:p w14:paraId="22CF9F8E" w14:textId="77777777" w:rsidR="002661BA" w:rsidRDefault="00D972BC">
      <w:pPr>
        <w:spacing w:before="60"/>
        <w:jc w:val="center"/>
      </w:pPr>
      <w:r>
        <w:rPr>
          <w:rFonts w:ascii="Arial" w:eastAsia="宋体" w:hAnsi="Arial" w:cs="Arial"/>
          <w:b/>
          <w:bCs/>
          <w:color w:val="000000"/>
          <w:sz w:val="28"/>
          <w:szCs w:val="28"/>
        </w:rPr>
        <w:t>Form 10-K</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2661BA" w14:paraId="22CF9F92" w14:textId="77777777">
        <w:trPr>
          <w:jc w:val="center"/>
        </w:trPr>
        <w:tc>
          <w:tcPr>
            <w:tcW w:w="50" w:type="pct"/>
            <w:shd w:val="clear" w:color="auto" w:fill="auto"/>
            <w:vAlign w:val="bottom"/>
          </w:tcPr>
          <w:p w14:paraId="22CF9F8F" w14:textId="77777777" w:rsidR="002661BA" w:rsidRDefault="002661BA">
            <w:pPr>
              <w:rPr>
                <w:rFonts w:ascii="宋体"/>
              </w:rPr>
            </w:pPr>
          </w:p>
        </w:tc>
        <w:tc>
          <w:tcPr>
            <w:tcW w:w="4945" w:type="pct"/>
            <w:shd w:val="clear" w:color="auto" w:fill="auto"/>
            <w:vAlign w:val="bottom"/>
          </w:tcPr>
          <w:p w14:paraId="22CF9F90" w14:textId="77777777" w:rsidR="002661BA" w:rsidRDefault="002661BA">
            <w:pPr>
              <w:rPr>
                <w:rFonts w:ascii="宋体"/>
              </w:rPr>
            </w:pPr>
          </w:p>
        </w:tc>
        <w:tc>
          <w:tcPr>
            <w:tcW w:w="5" w:type="pct"/>
            <w:shd w:val="clear" w:color="auto" w:fill="auto"/>
            <w:vAlign w:val="bottom"/>
          </w:tcPr>
          <w:p w14:paraId="22CF9F91" w14:textId="77777777" w:rsidR="002661BA" w:rsidRDefault="002661BA">
            <w:pPr>
              <w:rPr>
                <w:rFonts w:ascii="宋体"/>
              </w:rPr>
            </w:pPr>
          </w:p>
        </w:tc>
      </w:tr>
      <w:tr w:rsidR="002661BA" w14:paraId="22CF9F94"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22CF9F93" w14:textId="77777777" w:rsidR="002661BA" w:rsidRDefault="002661BA">
            <w:pPr>
              <w:rPr>
                <w:rFonts w:ascii="宋体"/>
              </w:rPr>
            </w:pPr>
          </w:p>
        </w:tc>
      </w:tr>
    </w:tbl>
    <w:p w14:paraId="22CF9F95" w14:textId="77777777" w:rsidR="002661BA" w:rsidRDefault="00D972BC">
      <w:pPr>
        <w:spacing w:after="20"/>
        <w:jc w:val="center"/>
      </w:pPr>
      <w:r>
        <w:rPr>
          <w:rFonts w:ascii="Arial" w:eastAsia="宋体" w:hAnsi="Arial" w:cs="Arial"/>
          <w:color w:val="000000"/>
          <w:sz w:val="20"/>
          <w:szCs w:val="20"/>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295"/>
        <w:gridCol w:w="36"/>
        <w:gridCol w:w="69"/>
        <w:gridCol w:w="7806"/>
        <w:gridCol w:w="36"/>
      </w:tblGrid>
      <w:tr w:rsidR="002661BA" w14:paraId="22CF9F9C" w14:textId="77777777">
        <w:trPr>
          <w:jc w:val="center"/>
        </w:trPr>
        <w:tc>
          <w:tcPr>
            <w:tcW w:w="50" w:type="pct"/>
            <w:shd w:val="clear" w:color="auto" w:fill="auto"/>
            <w:vAlign w:val="bottom"/>
          </w:tcPr>
          <w:p w14:paraId="22CF9F96" w14:textId="77777777" w:rsidR="002661BA" w:rsidRDefault="002661BA">
            <w:pPr>
              <w:rPr>
                <w:rFonts w:ascii="宋体"/>
              </w:rPr>
            </w:pPr>
          </w:p>
        </w:tc>
        <w:tc>
          <w:tcPr>
            <w:tcW w:w="186" w:type="pct"/>
            <w:shd w:val="clear" w:color="auto" w:fill="auto"/>
            <w:vAlign w:val="bottom"/>
          </w:tcPr>
          <w:p w14:paraId="22CF9F97" w14:textId="77777777" w:rsidR="002661BA" w:rsidRDefault="002661BA">
            <w:pPr>
              <w:rPr>
                <w:rFonts w:ascii="宋体"/>
              </w:rPr>
            </w:pPr>
          </w:p>
        </w:tc>
        <w:tc>
          <w:tcPr>
            <w:tcW w:w="5" w:type="pct"/>
            <w:shd w:val="clear" w:color="auto" w:fill="auto"/>
            <w:vAlign w:val="bottom"/>
          </w:tcPr>
          <w:p w14:paraId="22CF9F98" w14:textId="77777777" w:rsidR="002661BA" w:rsidRDefault="002661BA">
            <w:pPr>
              <w:rPr>
                <w:rFonts w:ascii="宋体"/>
              </w:rPr>
            </w:pPr>
          </w:p>
        </w:tc>
        <w:tc>
          <w:tcPr>
            <w:tcW w:w="50" w:type="pct"/>
            <w:shd w:val="clear" w:color="auto" w:fill="auto"/>
            <w:vAlign w:val="bottom"/>
          </w:tcPr>
          <w:p w14:paraId="22CF9F99" w14:textId="77777777" w:rsidR="002661BA" w:rsidRDefault="002661BA">
            <w:pPr>
              <w:rPr>
                <w:rFonts w:ascii="宋体"/>
              </w:rPr>
            </w:pPr>
          </w:p>
        </w:tc>
        <w:tc>
          <w:tcPr>
            <w:tcW w:w="4703" w:type="pct"/>
            <w:shd w:val="clear" w:color="auto" w:fill="auto"/>
            <w:vAlign w:val="bottom"/>
          </w:tcPr>
          <w:p w14:paraId="22CF9F9A" w14:textId="77777777" w:rsidR="002661BA" w:rsidRDefault="002661BA">
            <w:pPr>
              <w:rPr>
                <w:rFonts w:ascii="宋体"/>
              </w:rPr>
            </w:pPr>
          </w:p>
        </w:tc>
        <w:tc>
          <w:tcPr>
            <w:tcW w:w="5" w:type="pct"/>
            <w:shd w:val="clear" w:color="auto" w:fill="auto"/>
            <w:vAlign w:val="bottom"/>
          </w:tcPr>
          <w:p w14:paraId="22CF9F9B" w14:textId="77777777" w:rsidR="002661BA" w:rsidRDefault="002661BA">
            <w:pPr>
              <w:rPr>
                <w:rFonts w:ascii="宋体"/>
              </w:rPr>
            </w:pPr>
          </w:p>
        </w:tc>
      </w:tr>
      <w:tr w:rsidR="002661BA" w14:paraId="22CF9F9F" w14:textId="77777777">
        <w:trPr>
          <w:jc w:val="center"/>
        </w:trPr>
        <w:tc>
          <w:tcPr>
            <w:tcW w:w="0" w:type="auto"/>
            <w:gridSpan w:val="3"/>
            <w:shd w:val="clear" w:color="auto" w:fill="auto"/>
            <w:tcMar>
              <w:top w:w="40" w:type="dxa"/>
              <w:left w:w="20" w:type="dxa"/>
              <w:bottom w:w="40" w:type="dxa"/>
              <w:right w:w="20" w:type="dxa"/>
            </w:tcMar>
            <w:vAlign w:val="bottom"/>
          </w:tcPr>
          <w:p w14:paraId="22CF9F9D" w14:textId="77777777" w:rsidR="002661BA" w:rsidRDefault="00D972BC">
            <w:pPr>
              <w:textAlignment w:val="bottom"/>
            </w:pPr>
            <w:r>
              <w:rPr>
                <w:rFonts w:ascii="Arial Unicode MS" w:eastAsia="Arial Unicode MS" w:hAnsi="Arial Unicode MS" w:cs="Arial Unicode MS"/>
                <w:color w:val="000000"/>
              </w:rPr>
              <w:t>☒</w:t>
            </w:r>
          </w:p>
        </w:tc>
        <w:tc>
          <w:tcPr>
            <w:tcW w:w="0" w:type="auto"/>
            <w:gridSpan w:val="3"/>
            <w:shd w:val="clear" w:color="auto" w:fill="auto"/>
            <w:tcMar>
              <w:top w:w="40" w:type="dxa"/>
              <w:left w:w="20" w:type="dxa"/>
              <w:bottom w:w="40" w:type="dxa"/>
              <w:right w:w="20" w:type="dxa"/>
            </w:tcMar>
            <w:vAlign w:val="bottom"/>
          </w:tcPr>
          <w:p w14:paraId="22CF9F9E" w14:textId="77777777" w:rsidR="002661BA" w:rsidRDefault="00D972BC">
            <w:pPr>
              <w:textAlignment w:val="bottom"/>
            </w:pPr>
            <w:r>
              <w:rPr>
                <w:rFonts w:ascii="Arial" w:eastAsia="宋体" w:hAnsi="Arial" w:cs="Arial"/>
                <w:b/>
                <w:bCs/>
                <w:color w:val="000000"/>
                <w:sz w:val="18"/>
                <w:szCs w:val="18"/>
              </w:rPr>
              <w:t>ANNUAL REPORT PURSUANT TO SECTION 13 OR 15(d) OF THE SECURITIES EXCHANGE ACT OF 1934</w:t>
            </w:r>
          </w:p>
        </w:tc>
      </w:tr>
    </w:tbl>
    <w:p w14:paraId="22CF9FA0" w14:textId="77777777" w:rsidR="002661BA" w:rsidRDefault="00D972BC">
      <w:pPr>
        <w:ind w:firstLine="495"/>
      </w:pPr>
      <w:r>
        <w:rPr>
          <w:rFonts w:ascii="Arial" w:eastAsia="宋体" w:hAnsi="Arial" w:cs="Arial"/>
          <w:b/>
          <w:bCs/>
          <w:color w:val="000000"/>
          <w:sz w:val="18"/>
          <w:szCs w:val="18"/>
        </w:rPr>
        <w:t xml:space="preserve">For the fiscal year ended December 31, 2021. </w:t>
      </w:r>
    </w:p>
    <w:p w14:paraId="22CF9FA1" w14:textId="77777777" w:rsidR="002661BA" w:rsidRDefault="00D972BC">
      <w:pPr>
        <w:spacing w:before="60"/>
        <w:jc w:val="center"/>
      </w:pPr>
      <w:r>
        <w:rPr>
          <w:rFonts w:ascii="Arial" w:eastAsia="宋体" w:hAnsi="Arial" w:cs="Arial"/>
          <w:b/>
          <w:bCs/>
          <w:color w:val="000000"/>
          <w:sz w:val="18"/>
          <w:szCs w:val="18"/>
        </w:rPr>
        <w:t xml:space="preserve">OR </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295"/>
        <w:gridCol w:w="36"/>
        <w:gridCol w:w="69"/>
        <w:gridCol w:w="7806"/>
        <w:gridCol w:w="36"/>
      </w:tblGrid>
      <w:tr w:rsidR="002661BA" w14:paraId="22CF9FA8" w14:textId="77777777">
        <w:trPr>
          <w:jc w:val="center"/>
        </w:trPr>
        <w:tc>
          <w:tcPr>
            <w:tcW w:w="50" w:type="pct"/>
            <w:shd w:val="clear" w:color="auto" w:fill="auto"/>
            <w:vAlign w:val="bottom"/>
          </w:tcPr>
          <w:p w14:paraId="22CF9FA2" w14:textId="77777777" w:rsidR="002661BA" w:rsidRDefault="002661BA">
            <w:pPr>
              <w:rPr>
                <w:rFonts w:ascii="宋体"/>
              </w:rPr>
            </w:pPr>
          </w:p>
        </w:tc>
        <w:tc>
          <w:tcPr>
            <w:tcW w:w="186" w:type="pct"/>
            <w:shd w:val="clear" w:color="auto" w:fill="auto"/>
            <w:vAlign w:val="bottom"/>
          </w:tcPr>
          <w:p w14:paraId="22CF9FA3" w14:textId="77777777" w:rsidR="002661BA" w:rsidRDefault="002661BA">
            <w:pPr>
              <w:rPr>
                <w:rFonts w:ascii="宋体"/>
              </w:rPr>
            </w:pPr>
          </w:p>
        </w:tc>
        <w:tc>
          <w:tcPr>
            <w:tcW w:w="5" w:type="pct"/>
            <w:shd w:val="clear" w:color="auto" w:fill="auto"/>
            <w:vAlign w:val="bottom"/>
          </w:tcPr>
          <w:p w14:paraId="22CF9FA4" w14:textId="77777777" w:rsidR="002661BA" w:rsidRDefault="002661BA">
            <w:pPr>
              <w:rPr>
                <w:rFonts w:ascii="宋体"/>
              </w:rPr>
            </w:pPr>
          </w:p>
        </w:tc>
        <w:tc>
          <w:tcPr>
            <w:tcW w:w="50" w:type="pct"/>
            <w:shd w:val="clear" w:color="auto" w:fill="auto"/>
            <w:vAlign w:val="bottom"/>
          </w:tcPr>
          <w:p w14:paraId="22CF9FA5" w14:textId="77777777" w:rsidR="002661BA" w:rsidRDefault="002661BA">
            <w:pPr>
              <w:rPr>
                <w:rFonts w:ascii="宋体"/>
              </w:rPr>
            </w:pPr>
          </w:p>
        </w:tc>
        <w:tc>
          <w:tcPr>
            <w:tcW w:w="4703" w:type="pct"/>
            <w:shd w:val="clear" w:color="auto" w:fill="auto"/>
            <w:vAlign w:val="bottom"/>
          </w:tcPr>
          <w:p w14:paraId="22CF9FA6" w14:textId="77777777" w:rsidR="002661BA" w:rsidRDefault="002661BA">
            <w:pPr>
              <w:rPr>
                <w:rFonts w:ascii="宋体"/>
              </w:rPr>
            </w:pPr>
          </w:p>
        </w:tc>
        <w:tc>
          <w:tcPr>
            <w:tcW w:w="5" w:type="pct"/>
            <w:shd w:val="clear" w:color="auto" w:fill="auto"/>
            <w:vAlign w:val="bottom"/>
          </w:tcPr>
          <w:p w14:paraId="22CF9FA7" w14:textId="77777777" w:rsidR="002661BA" w:rsidRDefault="002661BA">
            <w:pPr>
              <w:rPr>
                <w:rFonts w:ascii="宋体"/>
              </w:rPr>
            </w:pPr>
          </w:p>
        </w:tc>
      </w:tr>
      <w:tr w:rsidR="002661BA" w14:paraId="22CF9FAB" w14:textId="77777777">
        <w:trPr>
          <w:jc w:val="center"/>
        </w:trPr>
        <w:tc>
          <w:tcPr>
            <w:tcW w:w="0" w:type="auto"/>
            <w:gridSpan w:val="3"/>
            <w:shd w:val="clear" w:color="auto" w:fill="auto"/>
            <w:tcMar>
              <w:top w:w="40" w:type="dxa"/>
              <w:left w:w="20" w:type="dxa"/>
              <w:bottom w:w="40" w:type="dxa"/>
              <w:right w:w="20" w:type="dxa"/>
            </w:tcMar>
            <w:vAlign w:val="bottom"/>
          </w:tcPr>
          <w:p w14:paraId="22CF9FA9" w14:textId="77777777" w:rsidR="002661BA" w:rsidRDefault="00D972BC">
            <w:pPr>
              <w:textAlignment w:val="bottom"/>
            </w:pPr>
            <w:r>
              <w:rPr>
                <w:rFonts w:ascii="Arial Unicode MS" w:eastAsia="Arial Unicode MS" w:hAnsi="Arial Unicode MS" w:cs="Arial Unicode MS" w:hint="eastAsia"/>
                <w:color w:val="000000"/>
              </w:rPr>
              <w:t>☐</w:t>
            </w:r>
          </w:p>
        </w:tc>
        <w:tc>
          <w:tcPr>
            <w:tcW w:w="0" w:type="auto"/>
            <w:gridSpan w:val="3"/>
            <w:shd w:val="clear" w:color="auto" w:fill="auto"/>
            <w:tcMar>
              <w:top w:w="40" w:type="dxa"/>
              <w:left w:w="20" w:type="dxa"/>
              <w:bottom w:w="40" w:type="dxa"/>
              <w:right w:w="20" w:type="dxa"/>
            </w:tcMar>
            <w:vAlign w:val="bottom"/>
          </w:tcPr>
          <w:p w14:paraId="22CF9FAA" w14:textId="77777777" w:rsidR="002661BA" w:rsidRDefault="00D972BC">
            <w:pPr>
              <w:textAlignment w:val="bottom"/>
            </w:pPr>
            <w:r>
              <w:rPr>
                <w:rFonts w:ascii="Arial" w:eastAsia="宋体" w:hAnsi="Arial" w:cs="Arial"/>
                <w:b/>
                <w:bCs/>
                <w:color w:val="000000"/>
                <w:sz w:val="18"/>
                <w:szCs w:val="18"/>
              </w:rPr>
              <w:t>TRANSITION REPORT PURSUANT TO SECTION 13 OR 15(d) OF THE SECURITIES EXCHANGE ACT OF 1934</w:t>
            </w:r>
          </w:p>
        </w:tc>
      </w:tr>
    </w:tbl>
    <w:p w14:paraId="22CF9FAC" w14:textId="77777777" w:rsidR="002661BA" w:rsidRDefault="00D972BC">
      <w:pPr>
        <w:ind w:firstLine="495"/>
      </w:pPr>
      <w:r>
        <w:rPr>
          <w:rFonts w:ascii="Arial" w:eastAsia="宋体" w:hAnsi="Arial" w:cs="Arial"/>
          <w:b/>
          <w:bCs/>
          <w:color w:val="000000"/>
          <w:sz w:val="18"/>
          <w:szCs w:val="18"/>
        </w:rPr>
        <w:t xml:space="preserve">For the Transition Period from             to             . </w:t>
      </w:r>
    </w:p>
    <w:p w14:paraId="22CF9FAD" w14:textId="77777777" w:rsidR="002661BA" w:rsidRDefault="002661BA">
      <w:pPr>
        <w:ind w:firstLine="495"/>
      </w:pPr>
    </w:p>
    <w:p w14:paraId="22CF9FAE" w14:textId="77777777" w:rsidR="002661BA" w:rsidRDefault="00D972BC">
      <w:pPr>
        <w:spacing w:before="60"/>
        <w:jc w:val="center"/>
      </w:pPr>
      <w:r>
        <w:rPr>
          <w:rFonts w:ascii="Arial" w:eastAsia="宋体" w:hAnsi="Arial" w:cs="Arial"/>
          <w:b/>
          <w:bCs/>
          <w:color w:val="000000"/>
          <w:sz w:val="18"/>
          <w:szCs w:val="18"/>
        </w:rPr>
        <w:t xml:space="preserve">Commission file number 001-37713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2661BA" w14:paraId="22CF9FB2" w14:textId="77777777">
        <w:trPr>
          <w:jc w:val="center"/>
        </w:trPr>
        <w:tc>
          <w:tcPr>
            <w:tcW w:w="50" w:type="pct"/>
            <w:shd w:val="clear" w:color="auto" w:fill="auto"/>
            <w:vAlign w:val="bottom"/>
          </w:tcPr>
          <w:p w14:paraId="22CF9FAF" w14:textId="77777777" w:rsidR="002661BA" w:rsidRDefault="002661BA">
            <w:pPr>
              <w:rPr>
                <w:rFonts w:ascii="宋体"/>
              </w:rPr>
            </w:pPr>
          </w:p>
        </w:tc>
        <w:tc>
          <w:tcPr>
            <w:tcW w:w="4945" w:type="pct"/>
            <w:shd w:val="clear" w:color="auto" w:fill="auto"/>
            <w:vAlign w:val="bottom"/>
          </w:tcPr>
          <w:p w14:paraId="22CF9FB0" w14:textId="77777777" w:rsidR="002661BA" w:rsidRDefault="002661BA">
            <w:pPr>
              <w:rPr>
                <w:rFonts w:ascii="宋体"/>
              </w:rPr>
            </w:pPr>
          </w:p>
        </w:tc>
        <w:tc>
          <w:tcPr>
            <w:tcW w:w="5" w:type="pct"/>
            <w:shd w:val="clear" w:color="auto" w:fill="auto"/>
            <w:vAlign w:val="bottom"/>
          </w:tcPr>
          <w:p w14:paraId="22CF9FB1" w14:textId="77777777" w:rsidR="002661BA" w:rsidRDefault="002661BA">
            <w:pPr>
              <w:rPr>
                <w:rFonts w:ascii="宋体"/>
              </w:rPr>
            </w:pPr>
          </w:p>
        </w:tc>
      </w:tr>
      <w:tr w:rsidR="002661BA" w14:paraId="22CF9FB4"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22CF9FB3" w14:textId="77777777" w:rsidR="002661BA" w:rsidRDefault="002661BA">
            <w:pPr>
              <w:rPr>
                <w:rFonts w:ascii="宋体"/>
              </w:rPr>
            </w:pPr>
          </w:p>
        </w:tc>
      </w:tr>
    </w:tbl>
    <w:p w14:paraId="22CF9FB5" w14:textId="77777777" w:rsidR="002661BA" w:rsidRDefault="00D972BC">
      <w:pPr>
        <w:spacing w:before="120" w:after="12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/Ebay/./Inline XBRL Viewer4_files/ebay-20211231_g1.jpg"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2CFE4AE" wp14:editId="22CFE4AF">
            <wp:extent cx="304800" cy="304800"/>
            <wp:effectExtent l="0" t="0" r="0" b="0"/>
            <wp:docPr id="3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22CF9FB6" w14:textId="77777777" w:rsidR="002661BA" w:rsidRDefault="00D972BC">
      <w:pPr>
        <w:jc w:val="center"/>
      </w:pPr>
      <w:r>
        <w:rPr>
          <w:rFonts w:ascii="Arial" w:eastAsia="宋体" w:hAnsi="Arial" w:cs="Arial"/>
          <w:b/>
          <w:bCs/>
          <w:color w:val="000000"/>
          <w:sz w:val="18"/>
          <w:szCs w:val="18"/>
        </w:rPr>
        <w:t>eBay Inc.</w:t>
      </w:r>
      <w:r>
        <w:rPr>
          <w:rFonts w:ascii="Arial" w:eastAsia="宋体" w:hAnsi="Arial" w:cs="Arial"/>
          <w:b/>
          <w:bCs/>
          <w:color w:val="000000"/>
          <w:sz w:val="16"/>
          <w:szCs w:val="16"/>
        </w:rPr>
        <w:t xml:space="preserve"> </w:t>
      </w:r>
    </w:p>
    <w:p w14:paraId="22CF9FB7" w14:textId="77777777" w:rsidR="002661BA" w:rsidRDefault="00D972BC">
      <w:pPr>
        <w:jc w:val="center"/>
      </w:pPr>
      <w:r>
        <w:rPr>
          <w:rFonts w:ascii="Arial" w:eastAsia="宋体" w:hAnsi="Arial" w:cs="Arial"/>
          <w:color w:val="000000"/>
          <w:sz w:val="16"/>
          <w:szCs w:val="16"/>
        </w:rPr>
        <w:t xml:space="preserve">(Exact name of registrant as specified in its charter) </w:t>
      </w:r>
    </w:p>
    <w:p w14:paraId="22CF9FB8" w14:textId="77777777" w:rsidR="002661BA" w:rsidRDefault="00D972BC">
      <w:pPr>
        <w:jc w:val="center"/>
      </w:pPr>
      <w:r>
        <w:rPr>
          <w:rFonts w:ascii="Arial" w:eastAsia="宋体" w:hAnsi="Arial" w:cs="Arial"/>
          <w:color w:val="000000"/>
          <w:sz w:val="16"/>
          <w:szCs w:val="16"/>
        </w:rPr>
        <w:t>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2661BA" w14:paraId="22CF9FBC" w14:textId="77777777">
        <w:trPr>
          <w:jc w:val="center"/>
        </w:trPr>
        <w:tc>
          <w:tcPr>
            <w:tcW w:w="50" w:type="pct"/>
            <w:shd w:val="clear" w:color="auto" w:fill="auto"/>
            <w:vAlign w:val="bottom"/>
          </w:tcPr>
          <w:p w14:paraId="22CF9FB9" w14:textId="77777777" w:rsidR="002661BA" w:rsidRDefault="002661BA">
            <w:pPr>
              <w:rPr>
                <w:rFonts w:ascii="宋体"/>
              </w:rPr>
            </w:pPr>
          </w:p>
        </w:tc>
        <w:tc>
          <w:tcPr>
            <w:tcW w:w="4945" w:type="pct"/>
            <w:shd w:val="clear" w:color="auto" w:fill="auto"/>
            <w:vAlign w:val="bottom"/>
          </w:tcPr>
          <w:p w14:paraId="22CF9FBA" w14:textId="77777777" w:rsidR="002661BA" w:rsidRDefault="002661BA">
            <w:pPr>
              <w:rPr>
                <w:rFonts w:ascii="宋体"/>
              </w:rPr>
            </w:pPr>
          </w:p>
        </w:tc>
        <w:tc>
          <w:tcPr>
            <w:tcW w:w="5" w:type="pct"/>
            <w:shd w:val="clear" w:color="auto" w:fill="auto"/>
            <w:vAlign w:val="bottom"/>
          </w:tcPr>
          <w:p w14:paraId="22CF9FBB" w14:textId="77777777" w:rsidR="002661BA" w:rsidRDefault="002661BA">
            <w:pPr>
              <w:rPr>
                <w:rFonts w:ascii="宋体"/>
              </w:rPr>
            </w:pPr>
          </w:p>
        </w:tc>
      </w:tr>
      <w:tr w:rsidR="002661BA" w14:paraId="22CF9FBE"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22CF9FBD" w14:textId="77777777" w:rsidR="002661BA" w:rsidRDefault="002661BA">
            <w:pPr>
              <w:rPr>
                <w:rFonts w:ascii="宋体"/>
              </w:rPr>
            </w:pPr>
          </w:p>
        </w:tc>
      </w:tr>
    </w:tbl>
    <w:p w14:paraId="22CF9FBF" w14:textId="77777777" w:rsidR="002661BA" w:rsidRDefault="002661BA">
      <w:pPr>
        <w:rPr>
          <w:vanish/>
        </w:rPr>
      </w:pPr>
    </w:p>
    <w:tbl>
      <w:tblPr>
        <w:tblW w:w="4349" w:type="pct"/>
        <w:jc w:val="center"/>
        <w:tblCellMar>
          <w:top w:w="15" w:type="dxa"/>
          <w:left w:w="15" w:type="dxa"/>
          <w:bottom w:w="15" w:type="dxa"/>
          <w:right w:w="15" w:type="dxa"/>
        </w:tblCellMar>
        <w:tblLook w:val="04A0" w:firstRow="1" w:lastRow="0" w:firstColumn="1" w:lastColumn="0" w:noHBand="0" w:noVBand="1"/>
      </w:tblPr>
      <w:tblGrid>
        <w:gridCol w:w="53"/>
        <w:gridCol w:w="1423"/>
        <w:gridCol w:w="39"/>
        <w:gridCol w:w="37"/>
        <w:gridCol w:w="36"/>
        <w:gridCol w:w="36"/>
        <w:gridCol w:w="43"/>
        <w:gridCol w:w="1423"/>
        <w:gridCol w:w="37"/>
        <w:gridCol w:w="53"/>
        <w:gridCol w:w="875"/>
        <w:gridCol w:w="36"/>
        <w:gridCol w:w="54"/>
        <w:gridCol w:w="3070"/>
        <w:gridCol w:w="36"/>
      </w:tblGrid>
      <w:tr w:rsidR="002661BA" w14:paraId="22CF9FCF" w14:textId="77777777">
        <w:trPr>
          <w:jc w:val="center"/>
        </w:trPr>
        <w:tc>
          <w:tcPr>
            <w:tcW w:w="50" w:type="pct"/>
            <w:shd w:val="clear" w:color="auto" w:fill="auto"/>
            <w:vAlign w:val="bottom"/>
          </w:tcPr>
          <w:p w14:paraId="22CF9FC0" w14:textId="77777777" w:rsidR="002661BA" w:rsidRDefault="002661BA">
            <w:pPr>
              <w:rPr>
                <w:rFonts w:ascii="宋体"/>
              </w:rPr>
            </w:pPr>
          </w:p>
        </w:tc>
        <w:tc>
          <w:tcPr>
            <w:tcW w:w="995" w:type="pct"/>
            <w:shd w:val="clear" w:color="auto" w:fill="auto"/>
            <w:vAlign w:val="bottom"/>
          </w:tcPr>
          <w:p w14:paraId="22CF9FC1" w14:textId="77777777" w:rsidR="002661BA" w:rsidRDefault="002661BA">
            <w:pPr>
              <w:rPr>
                <w:rFonts w:ascii="宋体"/>
              </w:rPr>
            </w:pPr>
          </w:p>
        </w:tc>
        <w:tc>
          <w:tcPr>
            <w:tcW w:w="5" w:type="pct"/>
            <w:shd w:val="clear" w:color="auto" w:fill="auto"/>
            <w:vAlign w:val="bottom"/>
          </w:tcPr>
          <w:p w14:paraId="22CF9FC2" w14:textId="77777777" w:rsidR="002661BA" w:rsidRDefault="002661BA">
            <w:pPr>
              <w:rPr>
                <w:rFonts w:ascii="宋体"/>
              </w:rPr>
            </w:pPr>
          </w:p>
        </w:tc>
        <w:tc>
          <w:tcPr>
            <w:tcW w:w="5" w:type="pct"/>
            <w:shd w:val="clear" w:color="auto" w:fill="auto"/>
            <w:vAlign w:val="bottom"/>
          </w:tcPr>
          <w:p w14:paraId="22CF9FC3" w14:textId="77777777" w:rsidR="002661BA" w:rsidRDefault="002661BA">
            <w:pPr>
              <w:rPr>
                <w:rFonts w:ascii="宋体"/>
              </w:rPr>
            </w:pPr>
          </w:p>
        </w:tc>
        <w:tc>
          <w:tcPr>
            <w:tcW w:w="32" w:type="pct"/>
            <w:shd w:val="clear" w:color="auto" w:fill="auto"/>
            <w:vAlign w:val="bottom"/>
          </w:tcPr>
          <w:p w14:paraId="22CF9FC4" w14:textId="77777777" w:rsidR="002661BA" w:rsidRDefault="002661BA">
            <w:pPr>
              <w:rPr>
                <w:rFonts w:ascii="宋体"/>
              </w:rPr>
            </w:pPr>
          </w:p>
        </w:tc>
        <w:tc>
          <w:tcPr>
            <w:tcW w:w="5" w:type="pct"/>
            <w:shd w:val="clear" w:color="auto" w:fill="auto"/>
            <w:vAlign w:val="bottom"/>
          </w:tcPr>
          <w:p w14:paraId="22CF9FC5" w14:textId="77777777" w:rsidR="002661BA" w:rsidRDefault="002661BA">
            <w:pPr>
              <w:rPr>
                <w:rFonts w:ascii="宋体"/>
              </w:rPr>
            </w:pPr>
          </w:p>
        </w:tc>
        <w:tc>
          <w:tcPr>
            <w:tcW w:w="50" w:type="pct"/>
            <w:shd w:val="clear" w:color="auto" w:fill="auto"/>
            <w:vAlign w:val="bottom"/>
          </w:tcPr>
          <w:p w14:paraId="22CF9FC6" w14:textId="77777777" w:rsidR="002661BA" w:rsidRDefault="002661BA">
            <w:pPr>
              <w:rPr>
                <w:rFonts w:ascii="宋体"/>
              </w:rPr>
            </w:pPr>
          </w:p>
        </w:tc>
        <w:tc>
          <w:tcPr>
            <w:tcW w:w="995" w:type="pct"/>
            <w:shd w:val="clear" w:color="auto" w:fill="auto"/>
            <w:vAlign w:val="bottom"/>
          </w:tcPr>
          <w:p w14:paraId="22CF9FC7" w14:textId="77777777" w:rsidR="002661BA" w:rsidRDefault="002661BA">
            <w:pPr>
              <w:rPr>
                <w:rFonts w:ascii="宋体"/>
              </w:rPr>
            </w:pPr>
          </w:p>
        </w:tc>
        <w:tc>
          <w:tcPr>
            <w:tcW w:w="5" w:type="pct"/>
            <w:shd w:val="clear" w:color="auto" w:fill="auto"/>
            <w:vAlign w:val="bottom"/>
          </w:tcPr>
          <w:p w14:paraId="22CF9FC8" w14:textId="77777777" w:rsidR="002661BA" w:rsidRDefault="002661BA">
            <w:pPr>
              <w:rPr>
                <w:rFonts w:ascii="宋体"/>
              </w:rPr>
            </w:pPr>
          </w:p>
        </w:tc>
        <w:tc>
          <w:tcPr>
            <w:tcW w:w="50" w:type="pct"/>
            <w:shd w:val="clear" w:color="auto" w:fill="auto"/>
            <w:vAlign w:val="bottom"/>
          </w:tcPr>
          <w:p w14:paraId="22CF9FC9" w14:textId="77777777" w:rsidR="002661BA" w:rsidRDefault="002661BA">
            <w:pPr>
              <w:rPr>
                <w:rFonts w:ascii="宋体"/>
              </w:rPr>
            </w:pPr>
          </w:p>
        </w:tc>
        <w:tc>
          <w:tcPr>
            <w:tcW w:w="617" w:type="pct"/>
            <w:shd w:val="clear" w:color="auto" w:fill="auto"/>
            <w:vAlign w:val="bottom"/>
          </w:tcPr>
          <w:p w14:paraId="22CF9FCA" w14:textId="77777777" w:rsidR="002661BA" w:rsidRDefault="002661BA">
            <w:pPr>
              <w:rPr>
                <w:rFonts w:ascii="宋体"/>
              </w:rPr>
            </w:pPr>
          </w:p>
        </w:tc>
        <w:tc>
          <w:tcPr>
            <w:tcW w:w="5" w:type="pct"/>
            <w:shd w:val="clear" w:color="auto" w:fill="auto"/>
            <w:vAlign w:val="bottom"/>
          </w:tcPr>
          <w:p w14:paraId="22CF9FCB" w14:textId="77777777" w:rsidR="002661BA" w:rsidRDefault="002661BA">
            <w:pPr>
              <w:rPr>
                <w:rFonts w:ascii="宋体"/>
              </w:rPr>
            </w:pPr>
          </w:p>
        </w:tc>
        <w:tc>
          <w:tcPr>
            <w:tcW w:w="50" w:type="pct"/>
            <w:shd w:val="clear" w:color="auto" w:fill="auto"/>
            <w:vAlign w:val="bottom"/>
          </w:tcPr>
          <w:p w14:paraId="22CF9FCC" w14:textId="77777777" w:rsidR="002661BA" w:rsidRDefault="002661BA">
            <w:pPr>
              <w:rPr>
                <w:rFonts w:ascii="宋体"/>
              </w:rPr>
            </w:pPr>
          </w:p>
        </w:tc>
        <w:tc>
          <w:tcPr>
            <w:tcW w:w="2129" w:type="pct"/>
            <w:shd w:val="clear" w:color="auto" w:fill="auto"/>
            <w:vAlign w:val="bottom"/>
          </w:tcPr>
          <w:p w14:paraId="22CF9FCD" w14:textId="77777777" w:rsidR="002661BA" w:rsidRDefault="002661BA">
            <w:pPr>
              <w:rPr>
                <w:rFonts w:ascii="宋体"/>
              </w:rPr>
            </w:pPr>
          </w:p>
        </w:tc>
        <w:tc>
          <w:tcPr>
            <w:tcW w:w="5" w:type="pct"/>
            <w:shd w:val="clear" w:color="auto" w:fill="auto"/>
            <w:vAlign w:val="bottom"/>
          </w:tcPr>
          <w:p w14:paraId="22CF9FCE" w14:textId="77777777" w:rsidR="002661BA" w:rsidRDefault="002661BA">
            <w:pPr>
              <w:rPr>
                <w:rFonts w:ascii="宋体"/>
              </w:rPr>
            </w:pPr>
          </w:p>
        </w:tc>
      </w:tr>
      <w:tr w:rsidR="002661BA" w14:paraId="22CF9FD3" w14:textId="77777777">
        <w:trPr>
          <w:jc w:val="center"/>
        </w:trPr>
        <w:tc>
          <w:tcPr>
            <w:tcW w:w="0" w:type="auto"/>
            <w:gridSpan w:val="9"/>
            <w:shd w:val="clear" w:color="auto" w:fill="auto"/>
            <w:tcMar>
              <w:top w:w="40" w:type="dxa"/>
              <w:left w:w="20" w:type="dxa"/>
              <w:bottom w:w="40" w:type="dxa"/>
              <w:right w:w="20" w:type="dxa"/>
            </w:tcMar>
            <w:vAlign w:val="bottom"/>
          </w:tcPr>
          <w:p w14:paraId="22CF9FD0" w14:textId="77777777" w:rsidR="002661BA" w:rsidRDefault="00D972BC">
            <w:pPr>
              <w:jc w:val="center"/>
              <w:textAlignment w:val="bottom"/>
            </w:pPr>
            <w:r>
              <w:rPr>
                <w:rFonts w:ascii="Arial" w:eastAsia="宋体" w:hAnsi="Arial" w:cs="Arial"/>
                <w:b/>
                <w:bCs/>
                <w:color w:val="000000"/>
                <w:sz w:val="16"/>
                <w:szCs w:val="16"/>
              </w:rPr>
              <w:t>Delaware</w:t>
            </w:r>
          </w:p>
        </w:tc>
        <w:tc>
          <w:tcPr>
            <w:tcW w:w="0" w:type="auto"/>
            <w:gridSpan w:val="3"/>
            <w:shd w:val="clear" w:color="auto" w:fill="auto"/>
            <w:tcMar>
              <w:top w:w="0" w:type="dxa"/>
              <w:left w:w="20" w:type="dxa"/>
              <w:bottom w:w="0" w:type="dxa"/>
              <w:right w:w="20" w:type="dxa"/>
            </w:tcMar>
            <w:vAlign w:val="bottom"/>
          </w:tcPr>
          <w:p w14:paraId="22CF9FD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9FD2" w14:textId="77777777" w:rsidR="002661BA" w:rsidRDefault="00D972BC">
            <w:pPr>
              <w:jc w:val="center"/>
              <w:textAlignment w:val="bottom"/>
            </w:pPr>
            <w:r>
              <w:rPr>
                <w:rFonts w:ascii="Arial" w:eastAsia="宋体" w:hAnsi="Arial" w:cs="Arial"/>
                <w:b/>
                <w:bCs/>
                <w:color w:val="000000"/>
                <w:sz w:val="16"/>
                <w:szCs w:val="16"/>
              </w:rPr>
              <w:t>77-0430924</w:t>
            </w:r>
          </w:p>
        </w:tc>
      </w:tr>
      <w:tr w:rsidR="002661BA" w14:paraId="22CF9FD7" w14:textId="77777777">
        <w:trPr>
          <w:jc w:val="center"/>
        </w:trPr>
        <w:tc>
          <w:tcPr>
            <w:tcW w:w="0" w:type="auto"/>
            <w:gridSpan w:val="9"/>
            <w:shd w:val="clear" w:color="auto" w:fill="auto"/>
            <w:tcMar>
              <w:top w:w="40" w:type="dxa"/>
              <w:left w:w="20" w:type="dxa"/>
              <w:bottom w:w="40" w:type="dxa"/>
              <w:right w:w="20" w:type="dxa"/>
            </w:tcMar>
            <w:vAlign w:val="bottom"/>
          </w:tcPr>
          <w:p w14:paraId="22CF9FD4" w14:textId="77777777" w:rsidR="002661BA" w:rsidRDefault="00D972BC">
            <w:pPr>
              <w:jc w:val="center"/>
              <w:textAlignment w:val="bottom"/>
            </w:pPr>
            <w:r>
              <w:rPr>
                <w:rFonts w:ascii="Arial" w:eastAsia="宋体" w:hAnsi="Arial" w:cs="Arial"/>
                <w:color w:val="000000"/>
                <w:sz w:val="16"/>
                <w:szCs w:val="16"/>
              </w:rPr>
              <w:t>(State or other jurisdiction of</w:t>
            </w:r>
            <w:r>
              <w:rPr>
                <w:rFonts w:ascii="Arial" w:eastAsia="宋体" w:hAnsi="Arial" w:cs="Arial"/>
                <w:color w:val="000000"/>
                <w:sz w:val="16"/>
                <w:szCs w:val="16"/>
              </w:rPr>
              <w:br/>
              <w:t>incorporation or organization)</w:t>
            </w:r>
          </w:p>
        </w:tc>
        <w:tc>
          <w:tcPr>
            <w:tcW w:w="0" w:type="auto"/>
            <w:gridSpan w:val="3"/>
            <w:shd w:val="clear" w:color="auto" w:fill="auto"/>
            <w:tcMar>
              <w:top w:w="0" w:type="dxa"/>
              <w:left w:w="20" w:type="dxa"/>
              <w:bottom w:w="0" w:type="dxa"/>
              <w:right w:w="20" w:type="dxa"/>
            </w:tcMar>
            <w:vAlign w:val="bottom"/>
          </w:tcPr>
          <w:p w14:paraId="22CF9FD5"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9FD6" w14:textId="77777777" w:rsidR="002661BA" w:rsidRDefault="00D972BC">
            <w:pPr>
              <w:jc w:val="center"/>
              <w:textAlignment w:val="bottom"/>
            </w:pPr>
            <w:r>
              <w:rPr>
                <w:rFonts w:ascii="Arial" w:eastAsia="宋体" w:hAnsi="Arial" w:cs="Arial"/>
                <w:color w:val="000000"/>
                <w:sz w:val="16"/>
                <w:szCs w:val="16"/>
              </w:rPr>
              <w:t>(I.R.S. Employer</w:t>
            </w:r>
            <w:r>
              <w:rPr>
                <w:rFonts w:ascii="Arial" w:eastAsia="宋体" w:hAnsi="Arial" w:cs="Arial"/>
                <w:color w:val="000000"/>
                <w:sz w:val="16"/>
                <w:szCs w:val="16"/>
              </w:rPr>
              <w:br/>
              <w:t>Identification No.)</w:t>
            </w:r>
          </w:p>
        </w:tc>
      </w:tr>
      <w:tr w:rsidR="002661BA" w14:paraId="22CF9FDD" w14:textId="77777777">
        <w:trPr>
          <w:trHeight w:val="120"/>
          <w:jc w:val="center"/>
        </w:trPr>
        <w:tc>
          <w:tcPr>
            <w:tcW w:w="0" w:type="auto"/>
            <w:gridSpan w:val="3"/>
            <w:shd w:val="clear" w:color="auto" w:fill="auto"/>
            <w:tcMar>
              <w:top w:w="0" w:type="dxa"/>
              <w:left w:w="20" w:type="dxa"/>
              <w:bottom w:w="0" w:type="dxa"/>
              <w:right w:w="20" w:type="dxa"/>
            </w:tcMar>
            <w:vAlign w:val="bottom"/>
          </w:tcPr>
          <w:p w14:paraId="22CF9FD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9FD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9FD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9FD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9FDC" w14:textId="77777777" w:rsidR="002661BA" w:rsidRDefault="002661BA">
            <w:pPr>
              <w:rPr>
                <w:rFonts w:ascii="宋体"/>
              </w:rPr>
            </w:pPr>
          </w:p>
        </w:tc>
      </w:tr>
      <w:tr w:rsidR="002661BA" w14:paraId="22CF9FE1" w14:textId="77777777">
        <w:trPr>
          <w:jc w:val="center"/>
        </w:trPr>
        <w:tc>
          <w:tcPr>
            <w:tcW w:w="0" w:type="auto"/>
            <w:gridSpan w:val="9"/>
            <w:shd w:val="clear" w:color="auto" w:fill="auto"/>
            <w:tcMar>
              <w:top w:w="40" w:type="dxa"/>
              <w:left w:w="20" w:type="dxa"/>
              <w:bottom w:w="40" w:type="dxa"/>
              <w:right w:w="20" w:type="dxa"/>
            </w:tcMar>
            <w:vAlign w:val="bottom"/>
          </w:tcPr>
          <w:p w14:paraId="22CF9FDE" w14:textId="77777777" w:rsidR="002661BA" w:rsidRDefault="00D972BC">
            <w:pPr>
              <w:jc w:val="center"/>
              <w:textAlignment w:val="bottom"/>
            </w:pPr>
            <w:r>
              <w:rPr>
                <w:rFonts w:ascii="Arial" w:eastAsia="宋体" w:hAnsi="Arial" w:cs="Arial"/>
                <w:b/>
                <w:bCs/>
                <w:color w:val="000000"/>
                <w:sz w:val="16"/>
                <w:szCs w:val="16"/>
              </w:rPr>
              <w:t>2025 Hamilton Avenue</w:t>
            </w:r>
          </w:p>
        </w:tc>
        <w:tc>
          <w:tcPr>
            <w:tcW w:w="0" w:type="auto"/>
            <w:gridSpan w:val="3"/>
            <w:shd w:val="clear" w:color="auto" w:fill="auto"/>
            <w:tcMar>
              <w:top w:w="0" w:type="dxa"/>
              <w:left w:w="20" w:type="dxa"/>
              <w:bottom w:w="0" w:type="dxa"/>
              <w:right w:w="20" w:type="dxa"/>
            </w:tcMar>
            <w:vAlign w:val="bottom"/>
          </w:tcPr>
          <w:p w14:paraId="22CF9FD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9FE0" w14:textId="77777777" w:rsidR="002661BA" w:rsidRDefault="002661BA">
            <w:pPr>
              <w:rPr>
                <w:rFonts w:ascii="宋体"/>
              </w:rPr>
            </w:pPr>
          </w:p>
        </w:tc>
      </w:tr>
      <w:tr w:rsidR="002661BA" w14:paraId="22CF9FE7" w14:textId="77777777">
        <w:trPr>
          <w:jc w:val="center"/>
        </w:trPr>
        <w:tc>
          <w:tcPr>
            <w:tcW w:w="0" w:type="auto"/>
            <w:gridSpan w:val="3"/>
            <w:shd w:val="clear" w:color="auto" w:fill="auto"/>
            <w:tcMar>
              <w:top w:w="40" w:type="dxa"/>
              <w:left w:w="20" w:type="dxa"/>
              <w:bottom w:w="40" w:type="dxa"/>
              <w:right w:w="20" w:type="dxa"/>
            </w:tcMar>
            <w:vAlign w:val="bottom"/>
          </w:tcPr>
          <w:p w14:paraId="22CF9FE2" w14:textId="77777777" w:rsidR="002661BA" w:rsidRDefault="00D972BC">
            <w:pPr>
              <w:jc w:val="right"/>
              <w:textAlignment w:val="bottom"/>
            </w:pPr>
            <w:r>
              <w:rPr>
                <w:rFonts w:ascii="Arial" w:eastAsia="宋体" w:hAnsi="Arial" w:cs="Arial"/>
                <w:b/>
                <w:bCs/>
                <w:color w:val="000000"/>
                <w:sz w:val="16"/>
                <w:szCs w:val="16"/>
              </w:rPr>
              <w:t>San Jose</w:t>
            </w:r>
          </w:p>
        </w:tc>
        <w:tc>
          <w:tcPr>
            <w:tcW w:w="0" w:type="auto"/>
            <w:gridSpan w:val="3"/>
            <w:shd w:val="clear" w:color="auto" w:fill="auto"/>
            <w:tcMar>
              <w:top w:w="40" w:type="dxa"/>
              <w:left w:w="20" w:type="dxa"/>
              <w:bottom w:w="40" w:type="dxa"/>
              <w:right w:w="20" w:type="dxa"/>
            </w:tcMar>
            <w:vAlign w:val="bottom"/>
          </w:tcPr>
          <w:p w14:paraId="22CF9FE3" w14:textId="77777777" w:rsidR="002661BA" w:rsidRDefault="00D972BC">
            <w:pPr>
              <w:jc w:val="center"/>
              <w:textAlignment w:val="bottom"/>
            </w:pPr>
            <w:r>
              <w:rPr>
                <w:rFonts w:ascii="Arial" w:eastAsia="宋体" w:hAnsi="Arial" w:cs="Arial"/>
                <w:b/>
                <w:bCs/>
                <w:color w:val="000000"/>
                <w:sz w:val="16"/>
                <w:szCs w:val="16"/>
              </w:rPr>
              <w:t>,</w:t>
            </w:r>
          </w:p>
        </w:tc>
        <w:tc>
          <w:tcPr>
            <w:tcW w:w="0" w:type="auto"/>
            <w:gridSpan w:val="3"/>
            <w:shd w:val="clear" w:color="auto" w:fill="auto"/>
            <w:tcMar>
              <w:top w:w="40" w:type="dxa"/>
              <w:left w:w="20" w:type="dxa"/>
              <w:bottom w:w="40" w:type="dxa"/>
              <w:right w:w="20" w:type="dxa"/>
            </w:tcMar>
            <w:vAlign w:val="bottom"/>
          </w:tcPr>
          <w:p w14:paraId="22CF9FE4" w14:textId="77777777" w:rsidR="002661BA" w:rsidRDefault="00D972BC">
            <w:pPr>
              <w:textAlignment w:val="bottom"/>
            </w:pPr>
            <w:r>
              <w:rPr>
                <w:rFonts w:ascii="Arial" w:eastAsia="宋体" w:hAnsi="Arial" w:cs="Arial"/>
                <w:b/>
                <w:bCs/>
                <w:color w:val="000000"/>
                <w:sz w:val="16"/>
                <w:szCs w:val="16"/>
              </w:rPr>
              <w:t>California</w:t>
            </w:r>
          </w:p>
        </w:tc>
        <w:tc>
          <w:tcPr>
            <w:tcW w:w="0" w:type="auto"/>
            <w:gridSpan w:val="3"/>
            <w:shd w:val="clear" w:color="auto" w:fill="auto"/>
            <w:tcMar>
              <w:top w:w="0" w:type="dxa"/>
              <w:left w:w="20" w:type="dxa"/>
              <w:bottom w:w="0" w:type="dxa"/>
              <w:right w:w="20" w:type="dxa"/>
            </w:tcMar>
            <w:vAlign w:val="bottom"/>
          </w:tcPr>
          <w:p w14:paraId="22CF9FE5"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9FE6" w14:textId="77777777" w:rsidR="002661BA" w:rsidRDefault="00D972BC">
            <w:pPr>
              <w:jc w:val="center"/>
              <w:textAlignment w:val="bottom"/>
            </w:pPr>
            <w:r>
              <w:rPr>
                <w:rFonts w:ascii="Arial" w:eastAsia="宋体" w:hAnsi="Arial" w:cs="Arial"/>
                <w:b/>
                <w:bCs/>
                <w:color w:val="000000"/>
                <w:sz w:val="16"/>
                <w:szCs w:val="16"/>
              </w:rPr>
              <w:t>95125</w:t>
            </w:r>
          </w:p>
        </w:tc>
      </w:tr>
      <w:tr w:rsidR="002661BA" w14:paraId="22CF9FEB" w14:textId="77777777">
        <w:trPr>
          <w:jc w:val="center"/>
        </w:trPr>
        <w:tc>
          <w:tcPr>
            <w:tcW w:w="0" w:type="auto"/>
            <w:gridSpan w:val="9"/>
            <w:shd w:val="clear" w:color="auto" w:fill="auto"/>
            <w:tcMar>
              <w:top w:w="40" w:type="dxa"/>
              <w:left w:w="20" w:type="dxa"/>
              <w:bottom w:w="40" w:type="dxa"/>
              <w:right w:w="20" w:type="dxa"/>
            </w:tcMar>
            <w:vAlign w:val="bottom"/>
          </w:tcPr>
          <w:p w14:paraId="22CF9FE8" w14:textId="77777777" w:rsidR="002661BA" w:rsidRDefault="00D972BC">
            <w:pPr>
              <w:jc w:val="center"/>
              <w:textAlignment w:val="bottom"/>
            </w:pPr>
            <w:r>
              <w:rPr>
                <w:rFonts w:ascii="Arial" w:eastAsia="宋体" w:hAnsi="Arial" w:cs="Arial"/>
                <w:color w:val="000000"/>
                <w:sz w:val="16"/>
                <w:szCs w:val="16"/>
              </w:rPr>
              <w:t>(Address of principal executive offices)</w:t>
            </w:r>
          </w:p>
        </w:tc>
        <w:tc>
          <w:tcPr>
            <w:tcW w:w="0" w:type="auto"/>
            <w:gridSpan w:val="3"/>
            <w:shd w:val="clear" w:color="auto" w:fill="auto"/>
            <w:tcMar>
              <w:top w:w="0" w:type="dxa"/>
              <w:left w:w="20" w:type="dxa"/>
              <w:bottom w:w="0" w:type="dxa"/>
              <w:right w:w="20" w:type="dxa"/>
            </w:tcMar>
            <w:vAlign w:val="bottom"/>
          </w:tcPr>
          <w:p w14:paraId="22CF9FE9"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9FEA" w14:textId="77777777" w:rsidR="002661BA" w:rsidRDefault="00D972BC">
            <w:pPr>
              <w:jc w:val="center"/>
              <w:textAlignment w:val="top"/>
            </w:pPr>
            <w:r>
              <w:rPr>
                <w:rFonts w:ascii="Arial" w:eastAsia="宋体" w:hAnsi="Arial" w:cs="Arial"/>
                <w:color w:val="000000"/>
                <w:sz w:val="16"/>
                <w:szCs w:val="16"/>
              </w:rPr>
              <w:t>(Zip Code)</w:t>
            </w:r>
          </w:p>
        </w:tc>
      </w:tr>
    </w:tbl>
    <w:p w14:paraId="22CF9FEC" w14:textId="77777777" w:rsidR="002661BA" w:rsidRDefault="00D972BC">
      <w:pPr>
        <w:spacing w:before="60"/>
        <w:jc w:val="center"/>
      </w:pPr>
      <w:r>
        <w:rPr>
          <w:rFonts w:ascii="Arial" w:eastAsia="宋体" w:hAnsi="Arial" w:cs="Arial"/>
          <w:color w:val="000000"/>
          <w:sz w:val="16"/>
          <w:szCs w:val="16"/>
        </w:rPr>
        <w:t xml:space="preserve">Registrant’s telephone number, including area code: </w:t>
      </w:r>
    </w:p>
    <w:p w14:paraId="22CF9FED" w14:textId="77777777" w:rsidR="002661BA" w:rsidRDefault="00D972BC">
      <w:pPr>
        <w:jc w:val="center"/>
      </w:pPr>
      <w:r>
        <w:rPr>
          <w:rFonts w:ascii="Arial" w:eastAsia="宋体" w:hAnsi="Arial" w:cs="Arial"/>
          <w:b/>
          <w:bCs/>
          <w:color w:val="000000"/>
          <w:sz w:val="16"/>
          <w:szCs w:val="16"/>
        </w:rPr>
        <w:t xml:space="preserve">(408) 376-7108 </w:t>
      </w:r>
    </w:p>
    <w:p w14:paraId="22CF9FEE" w14:textId="77777777" w:rsidR="002661BA" w:rsidRDefault="00D972BC">
      <w:pPr>
        <w:spacing w:after="20"/>
        <w:jc w:val="center"/>
      </w:pPr>
      <w:r>
        <w:rPr>
          <w:rFonts w:ascii="Arial" w:eastAsia="宋体" w:hAnsi="Arial" w:cs="Arial"/>
          <w:color w:val="000000"/>
          <w:sz w:val="16"/>
          <w:szCs w:val="16"/>
        </w:rPr>
        <w:t>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2661BA" w14:paraId="22CF9FF2" w14:textId="77777777">
        <w:trPr>
          <w:jc w:val="center"/>
        </w:trPr>
        <w:tc>
          <w:tcPr>
            <w:tcW w:w="50" w:type="pct"/>
            <w:shd w:val="clear" w:color="auto" w:fill="auto"/>
            <w:vAlign w:val="bottom"/>
          </w:tcPr>
          <w:p w14:paraId="22CF9FEF" w14:textId="77777777" w:rsidR="002661BA" w:rsidRDefault="002661BA">
            <w:pPr>
              <w:rPr>
                <w:rFonts w:ascii="宋体"/>
              </w:rPr>
            </w:pPr>
          </w:p>
        </w:tc>
        <w:tc>
          <w:tcPr>
            <w:tcW w:w="4945" w:type="pct"/>
            <w:shd w:val="clear" w:color="auto" w:fill="auto"/>
            <w:vAlign w:val="bottom"/>
          </w:tcPr>
          <w:p w14:paraId="22CF9FF0" w14:textId="77777777" w:rsidR="002661BA" w:rsidRDefault="002661BA">
            <w:pPr>
              <w:rPr>
                <w:rFonts w:ascii="宋体"/>
              </w:rPr>
            </w:pPr>
          </w:p>
        </w:tc>
        <w:tc>
          <w:tcPr>
            <w:tcW w:w="5" w:type="pct"/>
            <w:shd w:val="clear" w:color="auto" w:fill="auto"/>
            <w:vAlign w:val="bottom"/>
          </w:tcPr>
          <w:p w14:paraId="22CF9FF1" w14:textId="77777777" w:rsidR="002661BA" w:rsidRDefault="002661BA">
            <w:pPr>
              <w:rPr>
                <w:rFonts w:ascii="宋体"/>
              </w:rPr>
            </w:pPr>
          </w:p>
        </w:tc>
      </w:tr>
      <w:tr w:rsidR="002661BA" w14:paraId="22CF9FF4"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22CF9FF3" w14:textId="77777777" w:rsidR="002661BA" w:rsidRDefault="002661BA">
            <w:pPr>
              <w:rPr>
                <w:rFonts w:ascii="宋体"/>
              </w:rPr>
            </w:pPr>
          </w:p>
        </w:tc>
      </w:tr>
    </w:tbl>
    <w:p w14:paraId="22CF9FF5" w14:textId="77777777" w:rsidR="002661BA" w:rsidRDefault="00D972BC">
      <w:pPr>
        <w:spacing w:before="60"/>
        <w:jc w:val="center"/>
      </w:pPr>
      <w:r>
        <w:rPr>
          <w:rFonts w:ascii="Arial" w:eastAsia="宋体" w:hAnsi="Arial" w:cs="Arial"/>
          <w:color w:val="000000"/>
          <w:sz w:val="16"/>
          <w:szCs w:val="16"/>
        </w:rPr>
        <w:t xml:space="preserve">Securities registered pursuant to Section 12(b) of the Act: </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2660"/>
        <w:gridCol w:w="37"/>
        <w:gridCol w:w="69"/>
        <w:gridCol w:w="2673"/>
        <w:gridCol w:w="36"/>
        <w:gridCol w:w="70"/>
        <w:gridCol w:w="2674"/>
        <w:gridCol w:w="36"/>
      </w:tblGrid>
      <w:tr w:rsidR="002661BA" w14:paraId="22CF9FFF" w14:textId="77777777">
        <w:trPr>
          <w:jc w:val="center"/>
        </w:trPr>
        <w:tc>
          <w:tcPr>
            <w:tcW w:w="50" w:type="pct"/>
            <w:shd w:val="clear" w:color="auto" w:fill="auto"/>
            <w:vAlign w:val="bottom"/>
          </w:tcPr>
          <w:p w14:paraId="22CF9FF6" w14:textId="77777777" w:rsidR="002661BA" w:rsidRDefault="002661BA">
            <w:pPr>
              <w:rPr>
                <w:rFonts w:ascii="宋体"/>
              </w:rPr>
            </w:pPr>
          </w:p>
        </w:tc>
        <w:tc>
          <w:tcPr>
            <w:tcW w:w="1606" w:type="pct"/>
            <w:shd w:val="clear" w:color="auto" w:fill="auto"/>
            <w:vAlign w:val="bottom"/>
          </w:tcPr>
          <w:p w14:paraId="22CF9FF7" w14:textId="77777777" w:rsidR="002661BA" w:rsidRDefault="002661BA">
            <w:pPr>
              <w:rPr>
                <w:rFonts w:ascii="宋体"/>
              </w:rPr>
            </w:pPr>
          </w:p>
        </w:tc>
        <w:tc>
          <w:tcPr>
            <w:tcW w:w="5" w:type="pct"/>
            <w:shd w:val="clear" w:color="auto" w:fill="auto"/>
            <w:vAlign w:val="bottom"/>
          </w:tcPr>
          <w:p w14:paraId="22CF9FF8" w14:textId="77777777" w:rsidR="002661BA" w:rsidRDefault="002661BA">
            <w:pPr>
              <w:rPr>
                <w:rFonts w:ascii="宋体"/>
              </w:rPr>
            </w:pPr>
          </w:p>
        </w:tc>
        <w:tc>
          <w:tcPr>
            <w:tcW w:w="50" w:type="pct"/>
            <w:shd w:val="clear" w:color="auto" w:fill="auto"/>
            <w:vAlign w:val="bottom"/>
          </w:tcPr>
          <w:p w14:paraId="22CF9FF9" w14:textId="77777777" w:rsidR="002661BA" w:rsidRDefault="002661BA">
            <w:pPr>
              <w:rPr>
                <w:rFonts w:ascii="宋体"/>
              </w:rPr>
            </w:pPr>
          </w:p>
        </w:tc>
        <w:tc>
          <w:tcPr>
            <w:tcW w:w="1614" w:type="pct"/>
            <w:shd w:val="clear" w:color="auto" w:fill="auto"/>
            <w:vAlign w:val="bottom"/>
          </w:tcPr>
          <w:p w14:paraId="22CF9FFA" w14:textId="77777777" w:rsidR="002661BA" w:rsidRDefault="002661BA">
            <w:pPr>
              <w:rPr>
                <w:rFonts w:ascii="宋体"/>
              </w:rPr>
            </w:pPr>
          </w:p>
        </w:tc>
        <w:tc>
          <w:tcPr>
            <w:tcW w:w="5" w:type="pct"/>
            <w:shd w:val="clear" w:color="auto" w:fill="auto"/>
            <w:vAlign w:val="bottom"/>
          </w:tcPr>
          <w:p w14:paraId="22CF9FFB" w14:textId="77777777" w:rsidR="002661BA" w:rsidRDefault="002661BA">
            <w:pPr>
              <w:rPr>
                <w:rFonts w:ascii="宋体"/>
              </w:rPr>
            </w:pPr>
          </w:p>
        </w:tc>
        <w:tc>
          <w:tcPr>
            <w:tcW w:w="50" w:type="pct"/>
            <w:shd w:val="clear" w:color="auto" w:fill="auto"/>
            <w:vAlign w:val="bottom"/>
          </w:tcPr>
          <w:p w14:paraId="22CF9FFC" w14:textId="77777777" w:rsidR="002661BA" w:rsidRDefault="002661BA">
            <w:pPr>
              <w:rPr>
                <w:rFonts w:ascii="宋体"/>
              </w:rPr>
            </w:pPr>
          </w:p>
        </w:tc>
        <w:tc>
          <w:tcPr>
            <w:tcW w:w="1614" w:type="pct"/>
            <w:shd w:val="clear" w:color="auto" w:fill="auto"/>
            <w:vAlign w:val="bottom"/>
          </w:tcPr>
          <w:p w14:paraId="22CF9FFD" w14:textId="77777777" w:rsidR="002661BA" w:rsidRDefault="002661BA">
            <w:pPr>
              <w:rPr>
                <w:rFonts w:ascii="宋体"/>
              </w:rPr>
            </w:pPr>
          </w:p>
        </w:tc>
        <w:tc>
          <w:tcPr>
            <w:tcW w:w="5" w:type="pct"/>
            <w:shd w:val="clear" w:color="auto" w:fill="auto"/>
            <w:vAlign w:val="bottom"/>
          </w:tcPr>
          <w:p w14:paraId="22CF9FFE" w14:textId="77777777" w:rsidR="002661BA" w:rsidRDefault="002661BA">
            <w:pPr>
              <w:rPr>
                <w:rFonts w:ascii="宋体"/>
              </w:rPr>
            </w:pPr>
          </w:p>
        </w:tc>
      </w:tr>
      <w:tr w:rsidR="002661BA" w14:paraId="22CFA003" w14:textId="77777777">
        <w:trPr>
          <w:jc w:val="center"/>
        </w:trPr>
        <w:tc>
          <w:tcPr>
            <w:tcW w:w="0" w:type="auto"/>
            <w:gridSpan w:val="3"/>
            <w:shd w:val="clear" w:color="auto" w:fill="auto"/>
            <w:tcMar>
              <w:top w:w="40" w:type="dxa"/>
              <w:left w:w="20" w:type="dxa"/>
              <w:bottom w:w="40" w:type="dxa"/>
              <w:right w:w="20" w:type="dxa"/>
            </w:tcMar>
            <w:vAlign w:val="bottom"/>
          </w:tcPr>
          <w:p w14:paraId="22CFA000" w14:textId="77777777" w:rsidR="002661BA" w:rsidRDefault="00D972BC">
            <w:pPr>
              <w:jc w:val="center"/>
              <w:textAlignment w:val="bottom"/>
            </w:pPr>
            <w:r>
              <w:rPr>
                <w:rFonts w:ascii="Arial" w:eastAsia="宋体" w:hAnsi="Arial" w:cs="Arial"/>
                <w:color w:val="000000"/>
                <w:sz w:val="16"/>
                <w:szCs w:val="16"/>
                <w:u w:val="single"/>
              </w:rPr>
              <w:lastRenderedPageBreak/>
              <w:t>Title of each class</w:t>
            </w:r>
          </w:p>
        </w:tc>
        <w:tc>
          <w:tcPr>
            <w:tcW w:w="0" w:type="auto"/>
            <w:gridSpan w:val="3"/>
            <w:shd w:val="clear" w:color="auto" w:fill="auto"/>
            <w:tcMar>
              <w:top w:w="40" w:type="dxa"/>
              <w:left w:w="20" w:type="dxa"/>
              <w:bottom w:w="40" w:type="dxa"/>
              <w:right w:w="20" w:type="dxa"/>
            </w:tcMar>
            <w:vAlign w:val="bottom"/>
          </w:tcPr>
          <w:p w14:paraId="22CFA001" w14:textId="77777777" w:rsidR="002661BA" w:rsidRDefault="00D972BC">
            <w:pPr>
              <w:jc w:val="center"/>
              <w:textAlignment w:val="bottom"/>
            </w:pPr>
            <w:r>
              <w:rPr>
                <w:rFonts w:ascii="Arial" w:eastAsia="宋体" w:hAnsi="Arial" w:cs="Arial"/>
                <w:color w:val="000000"/>
                <w:sz w:val="16"/>
                <w:szCs w:val="16"/>
                <w:u w:val="single"/>
              </w:rPr>
              <w:t>Trading symbol</w:t>
            </w:r>
          </w:p>
        </w:tc>
        <w:tc>
          <w:tcPr>
            <w:tcW w:w="0" w:type="auto"/>
            <w:gridSpan w:val="3"/>
            <w:shd w:val="clear" w:color="auto" w:fill="auto"/>
            <w:tcMar>
              <w:top w:w="40" w:type="dxa"/>
              <w:left w:w="20" w:type="dxa"/>
              <w:bottom w:w="40" w:type="dxa"/>
              <w:right w:w="20" w:type="dxa"/>
            </w:tcMar>
            <w:vAlign w:val="bottom"/>
          </w:tcPr>
          <w:p w14:paraId="22CFA002" w14:textId="77777777" w:rsidR="002661BA" w:rsidRDefault="00D972BC">
            <w:pPr>
              <w:jc w:val="center"/>
              <w:textAlignment w:val="bottom"/>
            </w:pPr>
            <w:r>
              <w:rPr>
                <w:rFonts w:ascii="Arial" w:eastAsia="宋体" w:hAnsi="Arial" w:cs="Arial"/>
                <w:color w:val="000000"/>
                <w:sz w:val="16"/>
                <w:szCs w:val="16"/>
                <w:u w:val="single"/>
              </w:rPr>
              <w:t>Name of exchange on which registered</w:t>
            </w:r>
          </w:p>
        </w:tc>
      </w:tr>
      <w:tr w:rsidR="002661BA" w14:paraId="22CFA007" w14:textId="77777777">
        <w:trPr>
          <w:jc w:val="center"/>
        </w:trPr>
        <w:tc>
          <w:tcPr>
            <w:tcW w:w="0" w:type="auto"/>
            <w:gridSpan w:val="3"/>
            <w:shd w:val="clear" w:color="auto" w:fill="auto"/>
            <w:tcMar>
              <w:top w:w="40" w:type="dxa"/>
              <w:left w:w="20" w:type="dxa"/>
              <w:bottom w:w="40" w:type="dxa"/>
              <w:right w:w="20" w:type="dxa"/>
            </w:tcMar>
            <w:vAlign w:val="bottom"/>
          </w:tcPr>
          <w:p w14:paraId="22CFA004" w14:textId="77777777" w:rsidR="002661BA" w:rsidRDefault="00D972BC">
            <w:pPr>
              <w:jc w:val="center"/>
              <w:textAlignment w:val="bottom"/>
            </w:pPr>
            <w:r>
              <w:rPr>
                <w:rFonts w:ascii="Arial" w:eastAsia="宋体" w:hAnsi="Arial" w:cs="Arial"/>
                <w:b/>
                <w:bCs/>
                <w:color w:val="000000"/>
                <w:sz w:val="16"/>
                <w:szCs w:val="16"/>
              </w:rPr>
              <w:t>Common stock</w:t>
            </w:r>
          </w:p>
        </w:tc>
        <w:tc>
          <w:tcPr>
            <w:tcW w:w="0" w:type="auto"/>
            <w:gridSpan w:val="3"/>
            <w:shd w:val="clear" w:color="auto" w:fill="auto"/>
            <w:tcMar>
              <w:top w:w="40" w:type="dxa"/>
              <w:left w:w="20" w:type="dxa"/>
              <w:bottom w:w="40" w:type="dxa"/>
              <w:right w:w="20" w:type="dxa"/>
            </w:tcMar>
            <w:vAlign w:val="bottom"/>
          </w:tcPr>
          <w:p w14:paraId="22CFA005" w14:textId="77777777" w:rsidR="002661BA" w:rsidRDefault="00D972BC">
            <w:pPr>
              <w:jc w:val="center"/>
              <w:textAlignment w:val="bottom"/>
            </w:pPr>
            <w:r>
              <w:rPr>
                <w:rFonts w:ascii="Arial" w:eastAsia="宋体" w:hAnsi="Arial" w:cs="Arial"/>
                <w:b/>
                <w:bCs/>
                <w:color w:val="000000"/>
                <w:sz w:val="16"/>
                <w:szCs w:val="16"/>
              </w:rPr>
              <w:t>EBAY</w:t>
            </w:r>
          </w:p>
        </w:tc>
        <w:tc>
          <w:tcPr>
            <w:tcW w:w="0" w:type="auto"/>
            <w:gridSpan w:val="3"/>
            <w:shd w:val="clear" w:color="auto" w:fill="auto"/>
            <w:tcMar>
              <w:top w:w="40" w:type="dxa"/>
              <w:left w:w="20" w:type="dxa"/>
              <w:bottom w:w="40" w:type="dxa"/>
              <w:right w:w="20" w:type="dxa"/>
            </w:tcMar>
            <w:vAlign w:val="bottom"/>
          </w:tcPr>
          <w:p w14:paraId="22CFA006" w14:textId="77777777" w:rsidR="002661BA" w:rsidRDefault="00D972BC">
            <w:pPr>
              <w:jc w:val="center"/>
              <w:textAlignment w:val="bottom"/>
            </w:pPr>
            <w:r>
              <w:rPr>
                <w:rFonts w:ascii="Arial" w:eastAsia="宋体" w:hAnsi="Arial" w:cs="Arial"/>
                <w:b/>
                <w:bCs/>
                <w:color w:val="000000"/>
                <w:sz w:val="16"/>
                <w:szCs w:val="16"/>
              </w:rPr>
              <w:t>The Nasdaq Global Select Market</w:t>
            </w:r>
          </w:p>
        </w:tc>
      </w:tr>
      <w:tr w:rsidR="002661BA" w14:paraId="22CFA00B" w14:textId="77777777">
        <w:trPr>
          <w:trHeight w:val="120"/>
          <w:jc w:val="center"/>
        </w:trPr>
        <w:tc>
          <w:tcPr>
            <w:tcW w:w="0" w:type="auto"/>
            <w:gridSpan w:val="3"/>
            <w:shd w:val="clear" w:color="auto" w:fill="auto"/>
            <w:tcMar>
              <w:top w:w="0" w:type="dxa"/>
              <w:left w:w="20" w:type="dxa"/>
              <w:bottom w:w="0" w:type="dxa"/>
              <w:right w:w="20" w:type="dxa"/>
            </w:tcMar>
            <w:vAlign w:val="bottom"/>
          </w:tcPr>
          <w:p w14:paraId="22CFA00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00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00A" w14:textId="77777777" w:rsidR="002661BA" w:rsidRDefault="002661BA">
            <w:pPr>
              <w:rPr>
                <w:rFonts w:ascii="宋体"/>
              </w:rPr>
            </w:pPr>
          </w:p>
        </w:tc>
      </w:tr>
      <w:tr w:rsidR="002661BA" w14:paraId="22CFA00D" w14:textId="77777777">
        <w:trPr>
          <w:jc w:val="center"/>
        </w:trPr>
        <w:tc>
          <w:tcPr>
            <w:tcW w:w="0" w:type="auto"/>
            <w:gridSpan w:val="9"/>
            <w:shd w:val="clear" w:color="auto" w:fill="auto"/>
            <w:tcMar>
              <w:top w:w="40" w:type="dxa"/>
              <w:left w:w="20" w:type="dxa"/>
              <w:bottom w:w="40" w:type="dxa"/>
              <w:right w:w="20" w:type="dxa"/>
            </w:tcMar>
            <w:vAlign w:val="bottom"/>
          </w:tcPr>
          <w:p w14:paraId="22CFA00C" w14:textId="77777777" w:rsidR="002661BA" w:rsidRDefault="00D972BC">
            <w:pPr>
              <w:jc w:val="center"/>
              <w:textAlignment w:val="bottom"/>
            </w:pPr>
            <w:r>
              <w:rPr>
                <w:rFonts w:ascii="Arial" w:eastAsia="宋体" w:hAnsi="Arial" w:cs="Arial"/>
                <w:color w:val="000000"/>
                <w:sz w:val="16"/>
                <w:szCs w:val="16"/>
              </w:rPr>
              <w:t xml:space="preserve">Securities registered pursuant to Section 12(g) of the Act: </w:t>
            </w:r>
            <w:r>
              <w:rPr>
                <w:rFonts w:ascii="Arial" w:eastAsia="宋体" w:hAnsi="Arial" w:cs="Arial"/>
                <w:b/>
                <w:bCs/>
                <w:color w:val="000000"/>
                <w:sz w:val="16"/>
                <w:szCs w:val="16"/>
              </w:rPr>
              <w:t>None</w:t>
            </w:r>
          </w:p>
        </w:tc>
      </w:tr>
    </w:tbl>
    <w:p w14:paraId="22CFA00E" w14:textId="77777777" w:rsidR="002661BA" w:rsidRDefault="002661BA">
      <w:pPr>
        <w:rPr>
          <w:vanish/>
        </w:rPr>
      </w:pP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2661BA" w14:paraId="22CFA012" w14:textId="77777777">
        <w:trPr>
          <w:jc w:val="center"/>
        </w:trPr>
        <w:tc>
          <w:tcPr>
            <w:tcW w:w="50" w:type="pct"/>
            <w:shd w:val="clear" w:color="auto" w:fill="auto"/>
            <w:vAlign w:val="bottom"/>
          </w:tcPr>
          <w:p w14:paraId="22CFA00F" w14:textId="77777777" w:rsidR="002661BA" w:rsidRDefault="002661BA">
            <w:pPr>
              <w:rPr>
                <w:rFonts w:ascii="宋体"/>
              </w:rPr>
            </w:pPr>
          </w:p>
        </w:tc>
        <w:tc>
          <w:tcPr>
            <w:tcW w:w="4945" w:type="pct"/>
            <w:shd w:val="clear" w:color="auto" w:fill="auto"/>
            <w:vAlign w:val="bottom"/>
          </w:tcPr>
          <w:p w14:paraId="22CFA010" w14:textId="77777777" w:rsidR="002661BA" w:rsidRDefault="002661BA">
            <w:pPr>
              <w:rPr>
                <w:rFonts w:ascii="宋体"/>
              </w:rPr>
            </w:pPr>
          </w:p>
        </w:tc>
        <w:tc>
          <w:tcPr>
            <w:tcW w:w="5" w:type="pct"/>
            <w:shd w:val="clear" w:color="auto" w:fill="auto"/>
            <w:vAlign w:val="bottom"/>
          </w:tcPr>
          <w:p w14:paraId="22CFA011" w14:textId="77777777" w:rsidR="002661BA" w:rsidRDefault="002661BA">
            <w:pPr>
              <w:rPr>
                <w:rFonts w:ascii="宋体"/>
              </w:rPr>
            </w:pPr>
          </w:p>
        </w:tc>
      </w:tr>
      <w:tr w:rsidR="002661BA" w14:paraId="22CFA014"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22CFA013" w14:textId="77777777" w:rsidR="002661BA" w:rsidRDefault="002661BA">
            <w:pPr>
              <w:rPr>
                <w:rFonts w:ascii="宋体"/>
              </w:rPr>
            </w:pPr>
          </w:p>
        </w:tc>
      </w:tr>
    </w:tbl>
    <w:p w14:paraId="22CFA015" w14:textId="77777777" w:rsidR="002661BA" w:rsidRDefault="002661BA">
      <w:pPr>
        <w:jc w:val="center"/>
      </w:pPr>
    </w:p>
    <w:p w14:paraId="22CFA016" w14:textId="77777777" w:rsidR="002661BA" w:rsidRDefault="00D972BC">
      <w:pPr>
        <w:jc w:val="both"/>
      </w:pPr>
      <w:r>
        <w:rPr>
          <w:rFonts w:ascii="Arial" w:eastAsia="宋体" w:hAnsi="Arial" w:cs="Arial"/>
          <w:color w:val="000000"/>
          <w:sz w:val="14"/>
          <w:szCs w:val="14"/>
        </w:rPr>
        <w:t xml:space="preserve">Indicate by check mark if the registrant is a well-known seasoned issuer, as defined in Rule 405 of the Securities Act.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w:t>
      </w:r>
    </w:p>
    <w:p w14:paraId="22CFA017" w14:textId="77777777" w:rsidR="002661BA" w:rsidRDefault="002661BA">
      <w:pPr>
        <w:jc w:val="both"/>
      </w:pPr>
    </w:p>
    <w:p w14:paraId="22CFA018" w14:textId="77777777" w:rsidR="002661BA" w:rsidRDefault="00D972BC">
      <w:pPr>
        <w:jc w:val="both"/>
      </w:pPr>
      <w:r>
        <w:rPr>
          <w:rFonts w:ascii="Arial" w:eastAsia="宋体" w:hAnsi="Arial" w:cs="Arial"/>
          <w:color w:val="000000"/>
          <w:sz w:val="14"/>
          <w:szCs w:val="14"/>
        </w:rPr>
        <w:t>Indicate by check mark if the registrant is not required to file reports pursuant to Section 13 or Section 15(d) of th</w:t>
      </w:r>
      <w:r>
        <w:rPr>
          <w:rFonts w:ascii="Arial" w:eastAsia="宋体" w:hAnsi="Arial" w:cs="Arial"/>
          <w:color w:val="000000"/>
          <w:sz w:val="14"/>
          <w:szCs w:val="14"/>
        </w:rPr>
        <w:t xml:space="preserve">e Act.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w:t>
      </w:r>
    </w:p>
    <w:p w14:paraId="22CFA019" w14:textId="77777777" w:rsidR="002661BA" w:rsidRDefault="00D972BC">
      <w:pPr>
        <w:spacing w:before="120"/>
        <w:jc w:val="both"/>
      </w:pPr>
      <w:r>
        <w:rPr>
          <w:rFonts w:ascii="Arial" w:eastAsia="宋体" w:hAnsi="Arial" w:cs="Arial"/>
          <w:color w:val="000000"/>
          <w:sz w:val="14"/>
          <w:szCs w:val="14"/>
        </w:rPr>
        <w:t>Indicate by check mark whether the registrant (1) has filed all reports required to be filed by Section 13 or 15(d) of the Securities Exchange Act of 1934 during the preceding 12 months (or for such shorter period that the registrant</w:t>
      </w:r>
      <w:r>
        <w:rPr>
          <w:rFonts w:ascii="Arial" w:eastAsia="宋体" w:hAnsi="Arial" w:cs="Arial"/>
          <w:color w:val="000000"/>
          <w:sz w:val="14"/>
          <w:szCs w:val="14"/>
        </w:rPr>
        <w:t xml:space="preserve"> was required to file such reports), and (2) has been subject to such filing requirements for the past 90 days.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w:t>
      </w:r>
    </w:p>
    <w:p w14:paraId="22CFA01A" w14:textId="77777777" w:rsidR="002661BA" w:rsidRDefault="00D972BC">
      <w:pPr>
        <w:spacing w:before="120"/>
        <w:jc w:val="both"/>
      </w:pPr>
      <w:r>
        <w:rPr>
          <w:rFonts w:ascii="Arial" w:eastAsia="宋体" w:hAnsi="Arial" w:cs="Arial"/>
          <w:color w:val="000000"/>
          <w:sz w:val="14"/>
          <w:szCs w:val="14"/>
        </w:rPr>
        <w:t>Indicate by check mark whether the registrant has submitted electronically every Interactive Data File required to be submitted pur</w:t>
      </w:r>
      <w:r>
        <w:rPr>
          <w:rFonts w:ascii="Arial" w:eastAsia="宋体" w:hAnsi="Arial" w:cs="Arial"/>
          <w:color w:val="000000"/>
          <w:sz w:val="14"/>
          <w:szCs w:val="14"/>
        </w:rPr>
        <w:t xml:space="preserve">suant to Rule 405 of Regulation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4"/>
          <w:szCs w:val="14"/>
        </w:rPr>
        <w:t>☐</w:t>
      </w:r>
    </w:p>
    <w:p w14:paraId="22CFA01B" w14:textId="77777777" w:rsidR="002661BA" w:rsidRDefault="002661BA">
      <w:pPr>
        <w:jc w:val="both"/>
      </w:pPr>
    </w:p>
    <w:p w14:paraId="22CFA01C" w14:textId="77777777" w:rsidR="002661BA" w:rsidRDefault="00D972BC">
      <w:pPr>
        <w:spacing w:after="60"/>
        <w:jc w:val="both"/>
      </w:pPr>
      <w:r>
        <w:rPr>
          <w:rFonts w:ascii="Arial" w:eastAsia="宋体" w:hAnsi="Arial" w:cs="Arial"/>
          <w:color w:val="000000"/>
          <w:sz w:val="14"/>
          <w:szCs w:val="14"/>
        </w:rPr>
        <w:t>Indicate by check mark whether the registrant is a large accele</w:t>
      </w:r>
      <w:r>
        <w:rPr>
          <w:rFonts w:ascii="Arial" w:eastAsia="宋体" w:hAnsi="Arial" w:cs="Arial"/>
          <w:color w:val="000000"/>
          <w:sz w:val="14"/>
          <w:szCs w:val="14"/>
        </w:rPr>
        <w:t>rated filer, an accelerated filer, a non-accelerated filer, a smaller reporting company, or an emerging growth company. See the definitions of “large accelerated filer,” “accelerated filer,” “smaller reporting company” and “emerging growth company” in Rule</w:t>
      </w:r>
      <w:r>
        <w:rPr>
          <w:rFonts w:ascii="Arial" w:eastAsia="宋体" w:hAnsi="Arial" w:cs="Arial"/>
          <w:color w:val="000000"/>
          <w:sz w:val="14"/>
          <w:szCs w:val="14"/>
        </w:rPr>
        <w:t xml:space="preserve"> 12b-2 of the Exchange Act. </w:t>
      </w:r>
    </w:p>
    <w:tbl>
      <w:tblPr>
        <w:tblW w:w="5000" w:type="pct"/>
        <w:tblCellMar>
          <w:top w:w="15" w:type="dxa"/>
          <w:left w:w="15" w:type="dxa"/>
          <w:bottom w:w="15" w:type="dxa"/>
          <w:right w:w="15" w:type="dxa"/>
        </w:tblCellMar>
        <w:tblLook w:val="04A0" w:firstRow="1" w:lastRow="0" w:firstColumn="1" w:lastColumn="0" w:noHBand="0" w:noVBand="1"/>
      </w:tblPr>
      <w:tblGrid>
        <w:gridCol w:w="69"/>
        <w:gridCol w:w="1685"/>
        <w:gridCol w:w="37"/>
        <w:gridCol w:w="69"/>
        <w:gridCol w:w="223"/>
        <w:gridCol w:w="36"/>
        <w:gridCol w:w="69"/>
        <w:gridCol w:w="3697"/>
        <w:gridCol w:w="36"/>
        <w:gridCol w:w="70"/>
        <w:gridCol w:w="1979"/>
        <w:gridCol w:w="36"/>
        <w:gridCol w:w="70"/>
        <w:gridCol w:w="224"/>
        <w:gridCol w:w="36"/>
      </w:tblGrid>
      <w:tr w:rsidR="002661BA" w14:paraId="22CFA02C" w14:textId="77777777">
        <w:tc>
          <w:tcPr>
            <w:tcW w:w="50" w:type="pct"/>
            <w:shd w:val="clear" w:color="auto" w:fill="auto"/>
            <w:vAlign w:val="bottom"/>
          </w:tcPr>
          <w:p w14:paraId="22CFA01D" w14:textId="77777777" w:rsidR="002661BA" w:rsidRDefault="002661BA">
            <w:pPr>
              <w:rPr>
                <w:rFonts w:ascii="宋体"/>
              </w:rPr>
            </w:pPr>
          </w:p>
        </w:tc>
        <w:tc>
          <w:tcPr>
            <w:tcW w:w="1019" w:type="pct"/>
            <w:shd w:val="clear" w:color="auto" w:fill="auto"/>
            <w:vAlign w:val="bottom"/>
          </w:tcPr>
          <w:p w14:paraId="22CFA01E" w14:textId="77777777" w:rsidR="002661BA" w:rsidRDefault="002661BA">
            <w:pPr>
              <w:rPr>
                <w:rFonts w:ascii="宋体"/>
              </w:rPr>
            </w:pPr>
          </w:p>
        </w:tc>
        <w:tc>
          <w:tcPr>
            <w:tcW w:w="5" w:type="pct"/>
            <w:shd w:val="clear" w:color="auto" w:fill="auto"/>
            <w:vAlign w:val="bottom"/>
          </w:tcPr>
          <w:p w14:paraId="22CFA01F" w14:textId="77777777" w:rsidR="002661BA" w:rsidRDefault="002661BA">
            <w:pPr>
              <w:rPr>
                <w:rFonts w:ascii="宋体"/>
              </w:rPr>
            </w:pPr>
          </w:p>
        </w:tc>
        <w:tc>
          <w:tcPr>
            <w:tcW w:w="50" w:type="pct"/>
            <w:shd w:val="clear" w:color="auto" w:fill="auto"/>
            <w:vAlign w:val="bottom"/>
          </w:tcPr>
          <w:p w14:paraId="22CFA020" w14:textId="77777777" w:rsidR="002661BA" w:rsidRDefault="002661BA">
            <w:pPr>
              <w:rPr>
                <w:rFonts w:ascii="宋体"/>
              </w:rPr>
            </w:pPr>
          </w:p>
        </w:tc>
        <w:tc>
          <w:tcPr>
            <w:tcW w:w="142" w:type="pct"/>
            <w:shd w:val="clear" w:color="auto" w:fill="auto"/>
            <w:vAlign w:val="bottom"/>
          </w:tcPr>
          <w:p w14:paraId="22CFA021" w14:textId="77777777" w:rsidR="002661BA" w:rsidRDefault="002661BA">
            <w:pPr>
              <w:rPr>
                <w:rFonts w:ascii="宋体"/>
              </w:rPr>
            </w:pPr>
          </w:p>
        </w:tc>
        <w:tc>
          <w:tcPr>
            <w:tcW w:w="5" w:type="pct"/>
            <w:shd w:val="clear" w:color="auto" w:fill="auto"/>
            <w:vAlign w:val="bottom"/>
          </w:tcPr>
          <w:p w14:paraId="22CFA022" w14:textId="77777777" w:rsidR="002661BA" w:rsidRDefault="002661BA">
            <w:pPr>
              <w:rPr>
                <w:rFonts w:ascii="宋体"/>
              </w:rPr>
            </w:pPr>
          </w:p>
        </w:tc>
        <w:tc>
          <w:tcPr>
            <w:tcW w:w="50" w:type="pct"/>
            <w:shd w:val="clear" w:color="auto" w:fill="auto"/>
            <w:vAlign w:val="bottom"/>
          </w:tcPr>
          <w:p w14:paraId="22CFA023" w14:textId="77777777" w:rsidR="002661BA" w:rsidRDefault="002661BA">
            <w:pPr>
              <w:rPr>
                <w:rFonts w:ascii="宋体"/>
              </w:rPr>
            </w:pPr>
          </w:p>
        </w:tc>
        <w:tc>
          <w:tcPr>
            <w:tcW w:w="2225" w:type="pct"/>
            <w:shd w:val="clear" w:color="auto" w:fill="auto"/>
            <w:vAlign w:val="bottom"/>
          </w:tcPr>
          <w:p w14:paraId="22CFA024" w14:textId="77777777" w:rsidR="002661BA" w:rsidRDefault="002661BA">
            <w:pPr>
              <w:rPr>
                <w:rFonts w:ascii="宋体"/>
              </w:rPr>
            </w:pPr>
          </w:p>
        </w:tc>
        <w:tc>
          <w:tcPr>
            <w:tcW w:w="5" w:type="pct"/>
            <w:shd w:val="clear" w:color="auto" w:fill="auto"/>
            <w:vAlign w:val="bottom"/>
          </w:tcPr>
          <w:p w14:paraId="22CFA025" w14:textId="77777777" w:rsidR="002661BA" w:rsidRDefault="002661BA">
            <w:pPr>
              <w:rPr>
                <w:rFonts w:ascii="宋体"/>
              </w:rPr>
            </w:pPr>
          </w:p>
        </w:tc>
        <w:tc>
          <w:tcPr>
            <w:tcW w:w="50" w:type="pct"/>
            <w:shd w:val="clear" w:color="auto" w:fill="auto"/>
            <w:vAlign w:val="bottom"/>
          </w:tcPr>
          <w:p w14:paraId="22CFA026" w14:textId="77777777" w:rsidR="002661BA" w:rsidRDefault="002661BA">
            <w:pPr>
              <w:rPr>
                <w:rFonts w:ascii="宋体"/>
              </w:rPr>
            </w:pPr>
          </w:p>
        </w:tc>
        <w:tc>
          <w:tcPr>
            <w:tcW w:w="1195" w:type="pct"/>
            <w:shd w:val="clear" w:color="auto" w:fill="auto"/>
            <w:vAlign w:val="bottom"/>
          </w:tcPr>
          <w:p w14:paraId="22CFA027" w14:textId="77777777" w:rsidR="002661BA" w:rsidRDefault="002661BA">
            <w:pPr>
              <w:rPr>
                <w:rFonts w:ascii="宋体"/>
              </w:rPr>
            </w:pPr>
          </w:p>
        </w:tc>
        <w:tc>
          <w:tcPr>
            <w:tcW w:w="5" w:type="pct"/>
            <w:shd w:val="clear" w:color="auto" w:fill="auto"/>
            <w:vAlign w:val="bottom"/>
          </w:tcPr>
          <w:p w14:paraId="22CFA028" w14:textId="77777777" w:rsidR="002661BA" w:rsidRDefault="002661BA">
            <w:pPr>
              <w:rPr>
                <w:rFonts w:ascii="宋体"/>
              </w:rPr>
            </w:pPr>
          </w:p>
        </w:tc>
        <w:tc>
          <w:tcPr>
            <w:tcW w:w="50" w:type="pct"/>
            <w:shd w:val="clear" w:color="auto" w:fill="auto"/>
            <w:vAlign w:val="bottom"/>
          </w:tcPr>
          <w:p w14:paraId="22CFA029" w14:textId="77777777" w:rsidR="002661BA" w:rsidRDefault="002661BA">
            <w:pPr>
              <w:rPr>
                <w:rFonts w:ascii="宋体"/>
              </w:rPr>
            </w:pPr>
          </w:p>
        </w:tc>
        <w:tc>
          <w:tcPr>
            <w:tcW w:w="142" w:type="pct"/>
            <w:shd w:val="clear" w:color="auto" w:fill="auto"/>
            <w:vAlign w:val="bottom"/>
          </w:tcPr>
          <w:p w14:paraId="22CFA02A" w14:textId="77777777" w:rsidR="002661BA" w:rsidRDefault="002661BA">
            <w:pPr>
              <w:rPr>
                <w:rFonts w:ascii="宋体"/>
              </w:rPr>
            </w:pPr>
          </w:p>
        </w:tc>
        <w:tc>
          <w:tcPr>
            <w:tcW w:w="5" w:type="pct"/>
            <w:shd w:val="clear" w:color="auto" w:fill="auto"/>
            <w:vAlign w:val="bottom"/>
          </w:tcPr>
          <w:p w14:paraId="22CFA02B" w14:textId="77777777" w:rsidR="002661BA" w:rsidRDefault="002661BA">
            <w:pPr>
              <w:rPr>
                <w:rFonts w:ascii="宋体"/>
              </w:rPr>
            </w:pPr>
          </w:p>
        </w:tc>
      </w:tr>
      <w:tr w:rsidR="002661BA" w14:paraId="22CFA032" w14:textId="77777777">
        <w:tc>
          <w:tcPr>
            <w:tcW w:w="0" w:type="auto"/>
            <w:gridSpan w:val="3"/>
            <w:shd w:val="clear" w:color="auto" w:fill="auto"/>
            <w:tcMar>
              <w:top w:w="40" w:type="dxa"/>
              <w:left w:w="20" w:type="dxa"/>
              <w:bottom w:w="40" w:type="dxa"/>
              <w:right w:w="20" w:type="dxa"/>
            </w:tcMar>
            <w:vAlign w:val="bottom"/>
          </w:tcPr>
          <w:p w14:paraId="22CFA02D" w14:textId="77777777" w:rsidR="002661BA" w:rsidRDefault="00D972BC">
            <w:pPr>
              <w:textAlignment w:val="bottom"/>
            </w:pPr>
            <w:r>
              <w:rPr>
                <w:rFonts w:ascii="Arial" w:eastAsia="宋体" w:hAnsi="Arial" w:cs="Arial"/>
                <w:color w:val="000000"/>
                <w:sz w:val="14"/>
                <w:szCs w:val="14"/>
              </w:rPr>
              <w:t>Large accelerated filer</w:t>
            </w:r>
          </w:p>
        </w:tc>
        <w:tc>
          <w:tcPr>
            <w:tcW w:w="0" w:type="auto"/>
            <w:gridSpan w:val="3"/>
            <w:shd w:val="clear" w:color="auto" w:fill="auto"/>
            <w:tcMar>
              <w:top w:w="40" w:type="dxa"/>
              <w:left w:w="20" w:type="dxa"/>
              <w:bottom w:w="40" w:type="dxa"/>
              <w:right w:w="20" w:type="dxa"/>
            </w:tcMar>
            <w:vAlign w:val="bottom"/>
          </w:tcPr>
          <w:p w14:paraId="22CFA02E" w14:textId="77777777" w:rsidR="002661BA" w:rsidRDefault="00D972BC">
            <w:pPr>
              <w:jc w:val="cente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vAlign w:val="bottom"/>
          </w:tcPr>
          <w:p w14:paraId="22CFA02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A030" w14:textId="77777777" w:rsidR="002661BA" w:rsidRDefault="00D972BC">
            <w:pPr>
              <w:textAlignment w:val="bottom"/>
            </w:pPr>
            <w:r>
              <w:rPr>
                <w:rFonts w:ascii="Arial" w:eastAsia="宋体" w:hAnsi="Arial" w:cs="Arial"/>
                <w:color w:val="000000"/>
                <w:sz w:val="14"/>
                <w:szCs w:val="14"/>
              </w:rPr>
              <w:t>Accelerated filer</w:t>
            </w:r>
          </w:p>
        </w:tc>
        <w:tc>
          <w:tcPr>
            <w:tcW w:w="0" w:type="auto"/>
            <w:gridSpan w:val="3"/>
            <w:shd w:val="clear" w:color="auto" w:fill="auto"/>
            <w:tcMar>
              <w:top w:w="40" w:type="dxa"/>
              <w:left w:w="20" w:type="dxa"/>
              <w:bottom w:w="40" w:type="dxa"/>
              <w:right w:w="20" w:type="dxa"/>
            </w:tcMar>
            <w:vAlign w:val="bottom"/>
          </w:tcPr>
          <w:p w14:paraId="22CFA031" w14:textId="77777777" w:rsidR="002661BA" w:rsidRDefault="00D972BC">
            <w:pPr>
              <w:jc w:val="center"/>
              <w:textAlignment w:val="bottom"/>
            </w:pPr>
            <w:r>
              <w:rPr>
                <w:rFonts w:ascii="Arial Unicode MS" w:eastAsia="Arial Unicode MS" w:hAnsi="Arial Unicode MS" w:cs="Arial Unicode MS" w:hint="eastAsia"/>
                <w:color w:val="000000"/>
                <w:sz w:val="18"/>
                <w:szCs w:val="18"/>
              </w:rPr>
              <w:t>☐</w:t>
            </w:r>
          </w:p>
        </w:tc>
      </w:tr>
      <w:tr w:rsidR="002661BA" w14:paraId="22CFA038" w14:textId="77777777">
        <w:tc>
          <w:tcPr>
            <w:tcW w:w="0" w:type="auto"/>
            <w:gridSpan w:val="3"/>
            <w:shd w:val="clear" w:color="auto" w:fill="auto"/>
            <w:tcMar>
              <w:top w:w="40" w:type="dxa"/>
              <w:left w:w="20" w:type="dxa"/>
              <w:bottom w:w="40" w:type="dxa"/>
              <w:right w:w="20" w:type="dxa"/>
            </w:tcMar>
            <w:vAlign w:val="bottom"/>
          </w:tcPr>
          <w:p w14:paraId="22CFA033" w14:textId="77777777" w:rsidR="002661BA" w:rsidRDefault="00D972BC">
            <w:pPr>
              <w:textAlignment w:val="bottom"/>
            </w:pPr>
            <w:r>
              <w:rPr>
                <w:rFonts w:ascii="Arial" w:eastAsia="宋体" w:hAnsi="Arial" w:cs="Arial"/>
                <w:color w:val="000000"/>
                <w:sz w:val="14"/>
                <w:szCs w:val="14"/>
              </w:rPr>
              <w:t>Non-accelerated filer</w:t>
            </w:r>
          </w:p>
        </w:tc>
        <w:tc>
          <w:tcPr>
            <w:tcW w:w="0" w:type="auto"/>
            <w:gridSpan w:val="3"/>
            <w:shd w:val="clear" w:color="auto" w:fill="auto"/>
            <w:tcMar>
              <w:top w:w="40" w:type="dxa"/>
              <w:left w:w="20" w:type="dxa"/>
              <w:bottom w:w="40" w:type="dxa"/>
              <w:right w:w="20" w:type="dxa"/>
            </w:tcMar>
            <w:vAlign w:val="bottom"/>
          </w:tcPr>
          <w:p w14:paraId="22CFA034" w14:textId="77777777" w:rsidR="002661BA" w:rsidRDefault="00D972BC">
            <w:pPr>
              <w:jc w:val="cente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vAlign w:val="bottom"/>
          </w:tcPr>
          <w:p w14:paraId="22CFA035"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A036" w14:textId="77777777" w:rsidR="002661BA" w:rsidRDefault="00D972BC">
            <w:pPr>
              <w:textAlignment w:val="bottom"/>
            </w:pPr>
            <w:r>
              <w:rPr>
                <w:rFonts w:ascii="Arial" w:eastAsia="宋体" w:hAnsi="Arial" w:cs="Arial"/>
                <w:color w:val="000000"/>
                <w:sz w:val="14"/>
                <w:szCs w:val="14"/>
              </w:rPr>
              <w:t>Smaller reporting company</w:t>
            </w:r>
          </w:p>
        </w:tc>
        <w:tc>
          <w:tcPr>
            <w:tcW w:w="0" w:type="auto"/>
            <w:gridSpan w:val="3"/>
            <w:shd w:val="clear" w:color="auto" w:fill="auto"/>
            <w:tcMar>
              <w:top w:w="40" w:type="dxa"/>
              <w:left w:w="20" w:type="dxa"/>
              <w:bottom w:w="40" w:type="dxa"/>
              <w:right w:w="20" w:type="dxa"/>
            </w:tcMar>
            <w:vAlign w:val="bottom"/>
          </w:tcPr>
          <w:p w14:paraId="22CFA037" w14:textId="77777777" w:rsidR="002661BA" w:rsidRDefault="00D972BC">
            <w:pPr>
              <w:jc w:val="center"/>
              <w:textAlignment w:val="bottom"/>
            </w:pPr>
            <w:r>
              <w:rPr>
                <w:rFonts w:ascii="Arial Unicode MS" w:eastAsia="Arial Unicode MS" w:hAnsi="Arial Unicode MS" w:cs="Arial Unicode MS" w:hint="eastAsia"/>
                <w:color w:val="000000"/>
                <w:sz w:val="18"/>
                <w:szCs w:val="18"/>
              </w:rPr>
              <w:t>☐</w:t>
            </w:r>
          </w:p>
        </w:tc>
      </w:tr>
      <w:tr w:rsidR="002661BA" w14:paraId="22CFA03E" w14:textId="77777777">
        <w:tc>
          <w:tcPr>
            <w:tcW w:w="0" w:type="auto"/>
            <w:gridSpan w:val="3"/>
            <w:shd w:val="clear" w:color="auto" w:fill="auto"/>
            <w:tcMar>
              <w:top w:w="0" w:type="dxa"/>
              <w:left w:w="20" w:type="dxa"/>
              <w:bottom w:w="0" w:type="dxa"/>
              <w:right w:w="20" w:type="dxa"/>
            </w:tcMar>
            <w:vAlign w:val="bottom"/>
          </w:tcPr>
          <w:p w14:paraId="22CFA03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03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03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A03C" w14:textId="77777777" w:rsidR="002661BA" w:rsidRDefault="00D972BC">
            <w:pPr>
              <w:textAlignment w:val="bottom"/>
            </w:pPr>
            <w:r>
              <w:rPr>
                <w:rFonts w:ascii="Arial" w:eastAsia="宋体" w:hAnsi="Arial" w:cs="Arial"/>
                <w:color w:val="000000"/>
                <w:sz w:val="14"/>
                <w:szCs w:val="14"/>
              </w:rPr>
              <w:t>Emerging growth company</w:t>
            </w:r>
          </w:p>
        </w:tc>
        <w:tc>
          <w:tcPr>
            <w:tcW w:w="0" w:type="auto"/>
            <w:gridSpan w:val="3"/>
            <w:shd w:val="clear" w:color="auto" w:fill="auto"/>
            <w:tcMar>
              <w:top w:w="40" w:type="dxa"/>
              <w:left w:w="20" w:type="dxa"/>
              <w:bottom w:w="40" w:type="dxa"/>
              <w:right w:w="20" w:type="dxa"/>
            </w:tcMar>
            <w:vAlign w:val="bottom"/>
          </w:tcPr>
          <w:p w14:paraId="22CFA03D" w14:textId="77777777" w:rsidR="002661BA" w:rsidRDefault="00D972BC">
            <w:pPr>
              <w:jc w:val="center"/>
              <w:textAlignment w:val="bottom"/>
            </w:pPr>
            <w:r>
              <w:rPr>
                <w:rFonts w:ascii="Arial Unicode MS" w:eastAsia="Arial Unicode MS" w:hAnsi="Arial Unicode MS" w:cs="Arial Unicode MS" w:hint="eastAsia"/>
                <w:color w:val="000000"/>
                <w:sz w:val="18"/>
                <w:szCs w:val="18"/>
              </w:rPr>
              <w:t>☐</w:t>
            </w:r>
          </w:p>
        </w:tc>
      </w:tr>
    </w:tbl>
    <w:p w14:paraId="22CFA03F" w14:textId="77777777" w:rsidR="002661BA" w:rsidRDefault="002661BA">
      <w:pPr>
        <w:jc w:val="center"/>
      </w:pPr>
    </w:p>
    <w:p w14:paraId="22CFA040" w14:textId="77777777" w:rsidR="002661BA" w:rsidRDefault="00D972BC">
      <w:pPr>
        <w:spacing w:after="120"/>
        <w:jc w:val="both"/>
      </w:pPr>
      <w:r>
        <w:rPr>
          <w:rFonts w:ascii="Arial" w:eastAsia="宋体" w:hAnsi="Arial" w:cs="Arial"/>
          <w:color w:val="000000"/>
          <w:sz w:val="14"/>
          <w:szCs w:val="14"/>
        </w:rPr>
        <w:t xml:space="preserve">If an emerging growth company, indicate by check mark if the </w:t>
      </w:r>
      <w:r>
        <w:rPr>
          <w:rFonts w:ascii="Arial" w:eastAsia="宋体" w:hAnsi="Arial" w:cs="Arial"/>
          <w:color w:val="000000"/>
          <w:sz w:val="14"/>
          <w:szCs w:val="14"/>
        </w:rPr>
        <w:t>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w:t>
      </w:r>
    </w:p>
    <w:p w14:paraId="22CFA041" w14:textId="77777777" w:rsidR="002661BA" w:rsidRDefault="002661BA"/>
    <w:p w14:paraId="22CFA042" w14:textId="77777777" w:rsidR="002661BA" w:rsidRDefault="00D972BC">
      <w:r>
        <w:pict w14:anchorId="22CFE4B0">
          <v:rect id="_x0000_i1025" style="width:415.3pt;height:1.5pt" o:hralign="center" o:hrstd="t" o:hr="t" fillcolor="#a0a0a0" stroked="f"/>
        </w:pict>
      </w:r>
    </w:p>
    <w:p w14:paraId="22CFA043" w14:textId="77777777" w:rsidR="002661BA" w:rsidRDefault="002661BA">
      <w:pPr>
        <w:jc w:val="center"/>
      </w:pPr>
    </w:p>
    <w:p w14:paraId="22CFA044" w14:textId="77777777" w:rsidR="002661BA" w:rsidRDefault="00D972BC">
      <w:pPr>
        <w:spacing w:after="120"/>
        <w:jc w:val="both"/>
      </w:pPr>
      <w:r>
        <w:rPr>
          <w:rFonts w:ascii="Arial" w:eastAsia="宋体" w:hAnsi="Arial" w:cs="Arial"/>
          <w:color w:val="000000"/>
          <w:sz w:val="14"/>
          <w:szCs w:val="14"/>
        </w:rPr>
        <w:t xml:space="preserve">Indicate by check mark whether the registrant has filed a </w:t>
      </w:r>
      <w:r>
        <w:rPr>
          <w:rFonts w:ascii="Arial" w:eastAsia="宋体" w:hAnsi="Arial" w:cs="Arial"/>
          <w:color w:val="000000"/>
          <w:sz w:val="14"/>
          <w:szCs w:val="14"/>
        </w:rPr>
        <w:t>report on and attestation to its management’s assessment of the effectiveness of its internal control over financial reporting under Section 404(b) of the Sarbanes-Oxley Act (15 U.S.C. 7262(b)) by the registered public accounting firm that prepared or issu</w:t>
      </w:r>
      <w:r>
        <w:rPr>
          <w:rFonts w:ascii="Arial" w:eastAsia="宋体" w:hAnsi="Arial" w:cs="Arial"/>
          <w:color w:val="000000"/>
          <w:sz w:val="14"/>
          <w:szCs w:val="14"/>
        </w:rPr>
        <w:t xml:space="preserve">ed its audit report. </w:t>
      </w:r>
      <w:r>
        <w:rPr>
          <w:rFonts w:ascii="Times New Roman" w:eastAsia="宋体" w:hAnsi="Times New Roman"/>
          <w:color w:val="000000"/>
          <w:sz w:val="20"/>
          <w:szCs w:val="20"/>
        </w:rPr>
        <w:t>☒</w:t>
      </w:r>
    </w:p>
    <w:p w14:paraId="22CFA045" w14:textId="77777777" w:rsidR="002661BA" w:rsidRDefault="00D972BC">
      <w:pPr>
        <w:spacing w:after="120"/>
        <w:jc w:val="both"/>
      </w:pPr>
      <w:r>
        <w:rPr>
          <w:rFonts w:ascii="Arial" w:eastAsia="宋体" w:hAnsi="Arial" w:cs="Arial"/>
          <w:color w:val="000000"/>
          <w:sz w:val="14"/>
          <w:szCs w:val="14"/>
        </w:rPr>
        <w:t xml:space="preserve">Indicate by check mark whether the registrant is a shell company (as defined in Rule 12b-2 of the Act).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8"/>
          <w:szCs w:val="18"/>
        </w:rPr>
        <w:t>☒</w:t>
      </w:r>
    </w:p>
    <w:p w14:paraId="22CFA046" w14:textId="77777777" w:rsidR="002661BA" w:rsidRDefault="00D972BC">
      <w:pPr>
        <w:spacing w:after="120"/>
        <w:jc w:val="both"/>
      </w:pPr>
      <w:r>
        <w:rPr>
          <w:rFonts w:ascii="Arial" w:eastAsia="宋体" w:hAnsi="Arial" w:cs="Arial"/>
          <w:color w:val="000000"/>
          <w:sz w:val="14"/>
          <w:szCs w:val="14"/>
        </w:rPr>
        <w:t xml:space="preserve">As of June 30, 2021, the aggregate market value of the registrant’s common stock held by non-affiliates of the registrant was $46,329,747,291 based on the closing sale price as reported on The Nasdaq Global Select Market. </w:t>
      </w:r>
    </w:p>
    <w:p w14:paraId="22CFA047" w14:textId="77777777" w:rsidR="002661BA" w:rsidRDefault="00D972BC">
      <w:pPr>
        <w:spacing w:after="120"/>
        <w:jc w:val="center"/>
      </w:pPr>
      <w:r>
        <w:rPr>
          <w:rFonts w:ascii="Arial" w:eastAsia="宋体" w:hAnsi="Arial" w:cs="Arial"/>
          <w:color w:val="000000"/>
          <w:sz w:val="14"/>
          <w:szCs w:val="14"/>
        </w:rPr>
        <w:t>587,528,915 shares of common stoc</w:t>
      </w:r>
      <w:r>
        <w:rPr>
          <w:rFonts w:ascii="Arial" w:eastAsia="宋体" w:hAnsi="Arial" w:cs="Arial"/>
          <w:color w:val="000000"/>
          <w:sz w:val="14"/>
          <w:szCs w:val="14"/>
        </w:rPr>
        <w:t xml:space="preserve">k issued and outstanding as of February 21, 2022. </w:t>
      </w:r>
    </w:p>
    <w:p w14:paraId="22CFA048" w14:textId="77777777" w:rsidR="002661BA" w:rsidRDefault="00D972BC">
      <w:pPr>
        <w:spacing w:after="120"/>
        <w:jc w:val="center"/>
      </w:pPr>
      <w:r>
        <w:rPr>
          <w:rFonts w:ascii="Arial" w:eastAsia="宋体" w:hAnsi="Arial" w:cs="Arial"/>
          <w:b/>
          <w:bCs/>
          <w:color w:val="000000"/>
          <w:sz w:val="14"/>
          <w:szCs w:val="14"/>
        </w:rPr>
        <w:t xml:space="preserve">DOCUMENTS INCORPORATED BY REFERENCE </w:t>
      </w:r>
    </w:p>
    <w:p w14:paraId="22CFA049" w14:textId="77777777" w:rsidR="002661BA" w:rsidRDefault="00D972BC">
      <w:pPr>
        <w:spacing w:after="120"/>
      </w:pPr>
      <w:r>
        <w:rPr>
          <w:rFonts w:ascii="Arial" w:eastAsia="宋体" w:hAnsi="Arial" w:cs="Arial"/>
          <w:color w:val="000000"/>
          <w:sz w:val="14"/>
          <w:szCs w:val="14"/>
        </w:rPr>
        <w:t>Part III incorporates information by reference from the definitive proxy statement for the registrant’s 2022 Annual Meeting of Stockholders.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2661BA" w14:paraId="22CFA04D" w14:textId="77777777">
        <w:tc>
          <w:tcPr>
            <w:tcW w:w="50" w:type="pct"/>
            <w:shd w:val="clear" w:color="auto" w:fill="auto"/>
            <w:vAlign w:val="bottom"/>
          </w:tcPr>
          <w:p w14:paraId="22CFA04A" w14:textId="77777777" w:rsidR="002661BA" w:rsidRDefault="002661BA">
            <w:pPr>
              <w:rPr>
                <w:rFonts w:ascii="宋体"/>
              </w:rPr>
            </w:pPr>
          </w:p>
        </w:tc>
        <w:tc>
          <w:tcPr>
            <w:tcW w:w="4945" w:type="pct"/>
            <w:shd w:val="clear" w:color="auto" w:fill="auto"/>
            <w:vAlign w:val="bottom"/>
          </w:tcPr>
          <w:p w14:paraId="22CFA04B" w14:textId="77777777" w:rsidR="002661BA" w:rsidRDefault="002661BA">
            <w:pPr>
              <w:rPr>
                <w:rFonts w:ascii="宋体"/>
              </w:rPr>
            </w:pPr>
          </w:p>
        </w:tc>
        <w:tc>
          <w:tcPr>
            <w:tcW w:w="5" w:type="pct"/>
            <w:shd w:val="clear" w:color="auto" w:fill="auto"/>
            <w:vAlign w:val="bottom"/>
          </w:tcPr>
          <w:p w14:paraId="22CFA04C" w14:textId="77777777" w:rsidR="002661BA" w:rsidRDefault="002661BA">
            <w:pPr>
              <w:rPr>
                <w:rFonts w:ascii="宋体"/>
              </w:rPr>
            </w:pPr>
          </w:p>
        </w:tc>
      </w:tr>
      <w:tr w:rsidR="002661BA" w14:paraId="22CFA04F" w14:textId="77777777">
        <w:trPr>
          <w:trHeight w:val="100"/>
        </w:trPr>
        <w:tc>
          <w:tcPr>
            <w:tcW w:w="0" w:type="auto"/>
            <w:gridSpan w:val="3"/>
            <w:tcBorders>
              <w:bottom w:val="single" w:sz="18" w:space="0" w:color="000000"/>
            </w:tcBorders>
            <w:shd w:val="clear" w:color="auto" w:fill="auto"/>
            <w:tcMar>
              <w:top w:w="0" w:type="dxa"/>
              <w:left w:w="20" w:type="dxa"/>
              <w:bottom w:w="0" w:type="dxa"/>
              <w:right w:w="20" w:type="dxa"/>
            </w:tcMar>
            <w:vAlign w:val="bottom"/>
          </w:tcPr>
          <w:p w14:paraId="22CFA04E" w14:textId="77777777" w:rsidR="002661BA" w:rsidRDefault="002661BA">
            <w:pPr>
              <w:rPr>
                <w:rFonts w:ascii="宋体"/>
              </w:rPr>
            </w:pPr>
          </w:p>
        </w:tc>
      </w:tr>
    </w:tbl>
    <w:p w14:paraId="22CFA050" w14:textId="77777777" w:rsidR="002661BA" w:rsidRDefault="002661BA">
      <w:pPr>
        <w:jc w:val="center"/>
      </w:pPr>
    </w:p>
    <w:p w14:paraId="22CFA051" w14:textId="77777777" w:rsidR="002661BA" w:rsidRDefault="002661BA"/>
    <w:p w14:paraId="22CFA052" w14:textId="77777777" w:rsidR="002661BA" w:rsidRDefault="00D972BC">
      <w:r>
        <w:pict w14:anchorId="22CFE4B1">
          <v:rect id="_x0000_i1026" style="width:415.3pt;height:1.5pt" o:hralign="center" o:hrstd="t" o:hr="t" fillcolor="#a0a0a0" stroked="f"/>
        </w:pict>
      </w:r>
    </w:p>
    <w:p w14:paraId="22CFA053" w14:textId="77777777" w:rsidR="002661BA" w:rsidRDefault="002661BA"/>
    <w:p w14:paraId="22CFA054" w14:textId="77777777" w:rsidR="002661BA" w:rsidRDefault="00D972BC">
      <w:pPr>
        <w:jc w:val="center"/>
      </w:pPr>
      <w:r>
        <w:rPr>
          <w:rFonts w:ascii="Arial" w:eastAsia="宋体" w:hAnsi="Arial" w:cs="Arial"/>
          <w:b/>
          <w:bCs/>
          <w:color w:val="000000"/>
          <w:sz w:val="20"/>
          <w:szCs w:val="20"/>
        </w:rPr>
        <w:t xml:space="preserve">eBay Inc. </w:t>
      </w:r>
    </w:p>
    <w:p w14:paraId="22CFA055" w14:textId="77777777" w:rsidR="002661BA" w:rsidRDefault="00D972BC">
      <w:pPr>
        <w:jc w:val="center"/>
      </w:pPr>
      <w:r>
        <w:rPr>
          <w:rFonts w:ascii="Arial" w:eastAsia="宋体" w:hAnsi="Arial" w:cs="Arial"/>
          <w:b/>
          <w:bCs/>
          <w:color w:val="000000"/>
          <w:sz w:val="20"/>
          <w:szCs w:val="20"/>
        </w:rPr>
        <w:t xml:space="preserve">Form 10-K </w:t>
      </w:r>
    </w:p>
    <w:p w14:paraId="22CFA056" w14:textId="77777777" w:rsidR="002661BA" w:rsidRDefault="00D972BC">
      <w:pPr>
        <w:spacing w:before="80"/>
        <w:jc w:val="center"/>
      </w:pPr>
      <w:r>
        <w:rPr>
          <w:rFonts w:ascii="Arial" w:eastAsia="宋体" w:hAnsi="Arial" w:cs="Arial"/>
          <w:b/>
          <w:bCs/>
          <w:color w:val="000000"/>
          <w:sz w:val="20"/>
          <w:szCs w:val="20"/>
        </w:rPr>
        <w:lastRenderedPageBreak/>
        <w:t xml:space="preserve">For the Fiscal Year Ended December 31, 2021 </w:t>
      </w:r>
    </w:p>
    <w:p w14:paraId="22CFA057" w14:textId="77777777" w:rsidR="002661BA" w:rsidRDefault="00D972BC">
      <w:pPr>
        <w:spacing w:before="80"/>
        <w:jc w:val="center"/>
      </w:pPr>
      <w:r>
        <w:rPr>
          <w:rFonts w:ascii="Arial" w:eastAsia="宋体" w:hAnsi="Arial" w:cs="Arial"/>
          <w:b/>
          <w:bCs/>
          <w:color w:val="000000"/>
          <w:sz w:val="20"/>
          <w:szCs w:val="20"/>
        </w:rPr>
        <w:t xml:space="preserve">TABLE OF CONTENTS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10"/>
        <w:gridCol w:w="36"/>
        <w:gridCol w:w="69"/>
        <w:gridCol w:w="6526"/>
        <w:gridCol w:w="39"/>
        <w:gridCol w:w="69"/>
        <w:gridCol w:w="783"/>
        <w:gridCol w:w="36"/>
      </w:tblGrid>
      <w:tr w:rsidR="002661BA" w14:paraId="22CFA061" w14:textId="77777777">
        <w:trPr>
          <w:jc w:val="center"/>
        </w:trPr>
        <w:tc>
          <w:tcPr>
            <w:tcW w:w="50" w:type="pct"/>
            <w:shd w:val="clear" w:color="auto" w:fill="auto"/>
            <w:vAlign w:val="bottom"/>
          </w:tcPr>
          <w:p w14:paraId="22CFA058" w14:textId="77777777" w:rsidR="002661BA" w:rsidRDefault="002661BA">
            <w:pPr>
              <w:rPr>
                <w:rFonts w:ascii="宋体"/>
              </w:rPr>
            </w:pPr>
          </w:p>
        </w:tc>
        <w:tc>
          <w:tcPr>
            <w:tcW w:w="434" w:type="pct"/>
            <w:shd w:val="clear" w:color="auto" w:fill="auto"/>
            <w:vAlign w:val="bottom"/>
          </w:tcPr>
          <w:p w14:paraId="22CFA059" w14:textId="77777777" w:rsidR="002661BA" w:rsidRDefault="002661BA">
            <w:pPr>
              <w:rPr>
                <w:rFonts w:ascii="宋体"/>
              </w:rPr>
            </w:pPr>
          </w:p>
        </w:tc>
        <w:tc>
          <w:tcPr>
            <w:tcW w:w="5" w:type="pct"/>
            <w:shd w:val="clear" w:color="auto" w:fill="auto"/>
            <w:vAlign w:val="bottom"/>
          </w:tcPr>
          <w:p w14:paraId="22CFA05A" w14:textId="77777777" w:rsidR="002661BA" w:rsidRDefault="002661BA">
            <w:pPr>
              <w:rPr>
                <w:rFonts w:ascii="宋体"/>
              </w:rPr>
            </w:pPr>
          </w:p>
        </w:tc>
        <w:tc>
          <w:tcPr>
            <w:tcW w:w="50" w:type="pct"/>
            <w:shd w:val="clear" w:color="auto" w:fill="auto"/>
            <w:vAlign w:val="bottom"/>
          </w:tcPr>
          <w:p w14:paraId="22CFA05B" w14:textId="77777777" w:rsidR="002661BA" w:rsidRDefault="002661BA">
            <w:pPr>
              <w:rPr>
                <w:rFonts w:ascii="宋体"/>
              </w:rPr>
            </w:pPr>
          </w:p>
        </w:tc>
        <w:tc>
          <w:tcPr>
            <w:tcW w:w="3921" w:type="pct"/>
            <w:shd w:val="clear" w:color="auto" w:fill="auto"/>
            <w:vAlign w:val="bottom"/>
          </w:tcPr>
          <w:p w14:paraId="22CFA05C" w14:textId="77777777" w:rsidR="002661BA" w:rsidRDefault="002661BA">
            <w:pPr>
              <w:rPr>
                <w:rFonts w:ascii="宋体"/>
              </w:rPr>
            </w:pPr>
          </w:p>
        </w:tc>
        <w:tc>
          <w:tcPr>
            <w:tcW w:w="5" w:type="pct"/>
            <w:shd w:val="clear" w:color="auto" w:fill="auto"/>
            <w:vAlign w:val="bottom"/>
          </w:tcPr>
          <w:p w14:paraId="22CFA05D" w14:textId="77777777" w:rsidR="002661BA" w:rsidRDefault="002661BA">
            <w:pPr>
              <w:rPr>
                <w:rFonts w:ascii="宋体"/>
              </w:rPr>
            </w:pPr>
          </w:p>
        </w:tc>
        <w:tc>
          <w:tcPr>
            <w:tcW w:w="50" w:type="pct"/>
            <w:shd w:val="clear" w:color="auto" w:fill="auto"/>
            <w:vAlign w:val="bottom"/>
          </w:tcPr>
          <w:p w14:paraId="22CFA05E" w14:textId="77777777" w:rsidR="002661BA" w:rsidRDefault="002661BA">
            <w:pPr>
              <w:rPr>
                <w:rFonts w:ascii="宋体"/>
              </w:rPr>
            </w:pPr>
          </w:p>
        </w:tc>
        <w:tc>
          <w:tcPr>
            <w:tcW w:w="478" w:type="pct"/>
            <w:shd w:val="clear" w:color="auto" w:fill="auto"/>
            <w:vAlign w:val="bottom"/>
          </w:tcPr>
          <w:p w14:paraId="22CFA05F" w14:textId="77777777" w:rsidR="002661BA" w:rsidRDefault="002661BA">
            <w:pPr>
              <w:rPr>
                <w:rFonts w:ascii="宋体"/>
              </w:rPr>
            </w:pPr>
          </w:p>
        </w:tc>
        <w:tc>
          <w:tcPr>
            <w:tcW w:w="5" w:type="pct"/>
            <w:shd w:val="clear" w:color="auto" w:fill="auto"/>
            <w:vAlign w:val="bottom"/>
          </w:tcPr>
          <w:p w14:paraId="22CFA060" w14:textId="77777777" w:rsidR="002661BA" w:rsidRDefault="002661BA">
            <w:pPr>
              <w:rPr>
                <w:rFonts w:ascii="宋体"/>
              </w:rPr>
            </w:pPr>
          </w:p>
        </w:tc>
      </w:tr>
      <w:tr w:rsidR="002661BA" w14:paraId="22CFA065" w14:textId="77777777">
        <w:trPr>
          <w:jc w:val="center"/>
        </w:trPr>
        <w:tc>
          <w:tcPr>
            <w:tcW w:w="0" w:type="auto"/>
            <w:gridSpan w:val="3"/>
            <w:shd w:val="clear" w:color="auto" w:fill="auto"/>
            <w:tcMar>
              <w:top w:w="0" w:type="dxa"/>
              <w:left w:w="20" w:type="dxa"/>
              <w:bottom w:w="0" w:type="dxa"/>
              <w:right w:w="20" w:type="dxa"/>
            </w:tcMar>
            <w:vAlign w:val="bottom"/>
          </w:tcPr>
          <w:p w14:paraId="22CFA06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063" w14:textId="77777777" w:rsidR="002661BA" w:rsidRDefault="002661B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2CFA064" w14:textId="77777777" w:rsidR="002661BA" w:rsidRDefault="00D972BC">
            <w:pPr>
              <w:jc w:val="center"/>
              <w:textAlignment w:val="bottom"/>
            </w:pPr>
            <w:r>
              <w:rPr>
                <w:rFonts w:ascii="Arial" w:eastAsia="宋体" w:hAnsi="Arial" w:cs="Arial"/>
                <w:b/>
                <w:bCs/>
                <w:color w:val="000000"/>
                <w:sz w:val="20"/>
                <w:szCs w:val="20"/>
              </w:rPr>
              <w:t>Page</w:t>
            </w:r>
          </w:p>
        </w:tc>
      </w:tr>
      <w:tr w:rsidR="002661BA" w14:paraId="22CFA067" w14:textId="77777777">
        <w:trPr>
          <w:jc w:val="center"/>
        </w:trPr>
        <w:tc>
          <w:tcPr>
            <w:tcW w:w="0" w:type="auto"/>
            <w:gridSpan w:val="9"/>
            <w:shd w:val="clear" w:color="auto" w:fill="auto"/>
            <w:tcMar>
              <w:top w:w="40" w:type="dxa"/>
              <w:left w:w="20" w:type="dxa"/>
              <w:bottom w:w="40" w:type="dxa"/>
              <w:right w:w="20" w:type="dxa"/>
            </w:tcMar>
            <w:vAlign w:val="bottom"/>
          </w:tcPr>
          <w:p w14:paraId="22CFA066" w14:textId="77777777" w:rsidR="002661BA" w:rsidRDefault="00D972BC">
            <w:pPr>
              <w:jc w:val="center"/>
              <w:textAlignment w:val="bottom"/>
            </w:pPr>
            <w:r>
              <w:rPr>
                <w:rFonts w:ascii="Arial" w:eastAsia="宋体" w:hAnsi="Arial" w:cs="Arial"/>
                <w:b/>
                <w:bCs/>
                <w:color w:val="000000"/>
                <w:sz w:val="20"/>
                <w:szCs w:val="20"/>
              </w:rPr>
              <w:t>Part I</w:t>
            </w:r>
          </w:p>
        </w:tc>
      </w:tr>
      <w:tr w:rsidR="002661BA" w14:paraId="22CFA06B" w14:textId="77777777">
        <w:trPr>
          <w:jc w:val="center"/>
        </w:trPr>
        <w:tc>
          <w:tcPr>
            <w:tcW w:w="0" w:type="auto"/>
            <w:gridSpan w:val="3"/>
            <w:shd w:val="clear" w:color="auto" w:fill="auto"/>
            <w:tcMar>
              <w:top w:w="40" w:type="dxa"/>
              <w:left w:w="20" w:type="dxa"/>
              <w:bottom w:w="40" w:type="dxa"/>
              <w:right w:w="20" w:type="dxa"/>
            </w:tcMar>
          </w:tcPr>
          <w:p w14:paraId="22CFA068" w14:textId="77777777" w:rsidR="002661BA" w:rsidRDefault="00D972BC">
            <w:pPr>
              <w:textAlignment w:val="top"/>
            </w:pPr>
            <w:r>
              <w:rPr>
                <w:rFonts w:ascii="Arial" w:eastAsia="宋体" w:hAnsi="Arial" w:cs="Arial"/>
                <w:color w:val="000000"/>
                <w:sz w:val="20"/>
                <w:szCs w:val="20"/>
              </w:rPr>
              <w:t>Item 1.</w:t>
            </w:r>
          </w:p>
        </w:tc>
        <w:tc>
          <w:tcPr>
            <w:tcW w:w="0" w:type="auto"/>
            <w:gridSpan w:val="3"/>
            <w:shd w:val="clear" w:color="auto" w:fill="auto"/>
            <w:tcMar>
              <w:top w:w="40" w:type="dxa"/>
              <w:left w:w="20" w:type="dxa"/>
              <w:bottom w:w="40" w:type="dxa"/>
              <w:right w:w="20" w:type="dxa"/>
            </w:tcMar>
          </w:tcPr>
          <w:p w14:paraId="22CFA069" w14:textId="77777777" w:rsidR="002661BA" w:rsidRDefault="00D972BC">
            <w:pPr>
              <w:textAlignment w:val="top"/>
            </w:pPr>
            <w:r>
              <w:rPr>
                <w:rFonts w:ascii="Arial" w:eastAsia="宋体" w:hAnsi="Arial" w:cs="Arial"/>
                <w:color w:val="000000"/>
                <w:sz w:val="20"/>
                <w:szCs w:val="20"/>
              </w:rPr>
              <w:t>Business</w:t>
            </w:r>
          </w:p>
        </w:tc>
        <w:tc>
          <w:tcPr>
            <w:tcW w:w="0" w:type="auto"/>
            <w:gridSpan w:val="3"/>
            <w:shd w:val="clear" w:color="auto" w:fill="auto"/>
            <w:tcMar>
              <w:top w:w="40" w:type="dxa"/>
              <w:left w:w="20" w:type="dxa"/>
              <w:bottom w:w="40" w:type="dxa"/>
              <w:right w:w="20" w:type="dxa"/>
            </w:tcMar>
          </w:tcPr>
          <w:p w14:paraId="22CFA06A" w14:textId="77777777" w:rsidR="002661BA" w:rsidRDefault="00D972BC">
            <w:pPr>
              <w:jc w:val="center"/>
              <w:textAlignment w:val="top"/>
            </w:pPr>
            <w:hyperlink r:id="rId7" w:anchor="id0d7a71b05ce452ea9fdb54f3cb359c7_13" w:history="1">
              <w:r>
                <w:rPr>
                  <w:rStyle w:val="a5"/>
                  <w:rFonts w:ascii="Arial" w:eastAsia="宋体" w:hAnsi="Arial" w:cs="Arial"/>
                  <w:sz w:val="20"/>
                  <w:szCs w:val="20"/>
                </w:rPr>
                <w:t>4</w:t>
              </w:r>
            </w:hyperlink>
          </w:p>
        </w:tc>
      </w:tr>
      <w:tr w:rsidR="002661BA" w14:paraId="22CFA06F" w14:textId="77777777">
        <w:trPr>
          <w:jc w:val="center"/>
        </w:trPr>
        <w:tc>
          <w:tcPr>
            <w:tcW w:w="0" w:type="auto"/>
            <w:gridSpan w:val="3"/>
            <w:shd w:val="clear" w:color="auto" w:fill="auto"/>
            <w:tcMar>
              <w:top w:w="40" w:type="dxa"/>
              <w:left w:w="20" w:type="dxa"/>
              <w:bottom w:w="40" w:type="dxa"/>
              <w:right w:w="20" w:type="dxa"/>
            </w:tcMar>
          </w:tcPr>
          <w:p w14:paraId="22CFA06C" w14:textId="77777777" w:rsidR="002661BA" w:rsidRDefault="00D972BC">
            <w:pPr>
              <w:textAlignment w:val="top"/>
            </w:pPr>
            <w:r>
              <w:rPr>
                <w:rFonts w:ascii="Arial" w:eastAsia="宋体" w:hAnsi="Arial" w:cs="Arial"/>
                <w:color w:val="000000"/>
                <w:sz w:val="20"/>
                <w:szCs w:val="20"/>
              </w:rPr>
              <w:t>Item 1A.</w:t>
            </w:r>
          </w:p>
        </w:tc>
        <w:tc>
          <w:tcPr>
            <w:tcW w:w="0" w:type="auto"/>
            <w:gridSpan w:val="3"/>
            <w:shd w:val="clear" w:color="auto" w:fill="auto"/>
            <w:tcMar>
              <w:top w:w="40" w:type="dxa"/>
              <w:left w:w="20" w:type="dxa"/>
              <w:bottom w:w="40" w:type="dxa"/>
              <w:right w:w="20" w:type="dxa"/>
            </w:tcMar>
          </w:tcPr>
          <w:p w14:paraId="22CFA06D" w14:textId="77777777" w:rsidR="002661BA" w:rsidRDefault="00D972BC">
            <w:pPr>
              <w:textAlignment w:val="top"/>
            </w:pPr>
            <w:r>
              <w:rPr>
                <w:rFonts w:ascii="Arial" w:eastAsia="宋体" w:hAnsi="Arial" w:cs="Arial"/>
                <w:color w:val="000000"/>
                <w:sz w:val="20"/>
                <w:szCs w:val="20"/>
              </w:rPr>
              <w:t>Risk Factors</w:t>
            </w:r>
          </w:p>
        </w:tc>
        <w:tc>
          <w:tcPr>
            <w:tcW w:w="0" w:type="auto"/>
            <w:gridSpan w:val="3"/>
            <w:shd w:val="clear" w:color="auto" w:fill="auto"/>
            <w:tcMar>
              <w:top w:w="40" w:type="dxa"/>
              <w:left w:w="20" w:type="dxa"/>
              <w:bottom w:w="40" w:type="dxa"/>
              <w:right w:w="20" w:type="dxa"/>
            </w:tcMar>
          </w:tcPr>
          <w:p w14:paraId="22CFA06E" w14:textId="77777777" w:rsidR="002661BA" w:rsidRDefault="00D972BC">
            <w:pPr>
              <w:jc w:val="center"/>
              <w:textAlignment w:val="top"/>
            </w:pPr>
            <w:hyperlink r:id="rId8" w:anchor="id0d7a71b05ce452ea9fdb54f3cb359c7_16" w:history="1">
              <w:r>
                <w:rPr>
                  <w:rStyle w:val="a5"/>
                  <w:rFonts w:ascii="Arial" w:eastAsia="宋体" w:hAnsi="Arial" w:cs="Arial"/>
                  <w:sz w:val="20"/>
                  <w:szCs w:val="20"/>
                </w:rPr>
                <w:t>11</w:t>
              </w:r>
            </w:hyperlink>
          </w:p>
        </w:tc>
      </w:tr>
      <w:tr w:rsidR="002661BA" w14:paraId="22CFA073" w14:textId="77777777">
        <w:trPr>
          <w:jc w:val="center"/>
        </w:trPr>
        <w:tc>
          <w:tcPr>
            <w:tcW w:w="0" w:type="auto"/>
            <w:gridSpan w:val="3"/>
            <w:shd w:val="clear" w:color="auto" w:fill="auto"/>
            <w:tcMar>
              <w:top w:w="40" w:type="dxa"/>
              <w:left w:w="20" w:type="dxa"/>
              <w:bottom w:w="40" w:type="dxa"/>
              <w:right w:w="20" w:type="dxa"/>
            </w:tcMar>
          </w:tcPr>
          <w:p w14:paraId="22CFA070" w14:textId="77777777" w:rsidR="002661BA" w:rsidRDefault="00D972BC">
            <w:pPr>
              <w:textAlignment w:val="top"/>
            </w:pPr>
            <w:r>
              <w:rPr>
                <w:rFonts w:ascii="Arial" w:eastAsia="宋体" w:hAnsi="Arial" w:cs="Arial"/>
                <w:color w:val="000000"/>
                <w:sz w:val="20"/>
                <w:szCs w:val="20"/>
              </w:rPr>
              <w:t>Item 1B.</w:t>
            </w:r>
          </w:p>
        </w:tc>
        <w:tc>
          <w:tcPr>
            <w:tcW w:w="0" w:type="auto"/>
            <w:gridSpan w:val="3"/>
            <w:shd w:val="clear" w:color="auto" w:fill="auto"/>
            <w:tcMar>
              <w:top w:w="40" w:type="dxa"/>
              <w:left w:w="20" w:type="dxa"/>
              <w:bottom w:w="40" w:type="dxa"/>
              <w:right w:w="20" w:type="dxa"/>
            </w:tcMar>
          </w:tcPr>
          <w:p w14:paraId="22CFA071" w14:textId="77777777" w:rsidR="002661BA" w:rsidRDefault="00D972BC">
            <w:pPr>
              <w:textAlignment w:val="top"/>
            </w:pPr>
            <w:r>
              <w:rPr>
                <w:rFonts w:ascii="Arial" w:eastAsia="宋体" w:hAnsi="Arial" w:cs="Arial"/>
                <w:color w:val="000000"/>
                <w:sz w:val="20"/>
                <w:szCs w:val="20"/>
              </w:rPr>
              <w:t>Unresolved Staff Comments</w:t>
            </w:r>
          </w:p>
        </w:tc>
        <w:tc>
          <w:tcPr>
            <w:tcW w:w="0" w:type="auto"/>
            <w:gridSpan w:val="3"/>
            <w:shd w:val="clear" w:color="auto" w:fill="auto"/>
            <w:tcMar>
              <w:top w:w="40" w:type="dxa"/>
              <w:left w:w="20" w:type="dxa"/>
              <w:bottom w:w="40" w:type="dxa"/>
              <w:right w:w="20" w:type="dxa"/>
            </w:tcMar>
          </w:tcPr>
          <w:p w14:paraId="22CFA072" w14:textId="77777777" w:rsidR="002661BA" w:rsidRDefault="00D972BC">
            <w:pPr>
              <w:jc w:val="center"/>
              <w:textAlignment w:val="top"/>
            </w:pPr>
            <w:hyperlink r:id="rId9" w:anchor="id0d7a71b05ce452ea9fdb54f3cb359c7_19" w:history="1">
              <w:r>
                <w:rPr>
                  <w:rStyle w:val="a5"/>
                  <w:rFonts w:ascii="Arial" w:eastAsia="宋体" w:hAnsi="Arial" w:cs="Arial"/>
                  <w:sz w:val="20"/>
                  <w:szCs w:val="20"/>
                </w:rPr>
                <w:t>28</w:t>
              </w:r>
            </w:hyperlink>
          </w:p>
        </w:tc>
      </w:tr>
      <w:tr w:rsidR="002661BA" w14:paraId="22CFA077" w14:textId="77777777">
        <w:trPr>
          <w:jc w:val="center"/>
        </w:trPr>
        <w:tc>
          <w:tcPr>
            <w:tcW w:w="0" w:type="auto"/>
            <w:gridSpan w:val="3"/>
            <w:shd w:val="clear" w:color="auto" w:fill="auto"/>
            <w:tcMar>
              <w:top w:w="40" w:type="dxa"/>
              <w:left w:w="20" w:type="dxa"/>
              <w:bottom w:w="40" w:type="dxa"/>
              <w:right w:w="20" w:type="dxa"/>
            </w:tcMar>
          </w:tcPr>
          <w:p w14:paraId="22CFA074" w14:textId="77777777" w:rsidR="002661BA" w:rsidRDefault="00D972BC">
            <w:pPr>
              <w:textAlignment w:val="top"/>
            </w:pPr>
            <w:r>
              <w:rPr>
                <w:rFonts w:ascii="Arial" w:eastAsia="宋体" w:hAnsi="Arial" w:cs="Arial"/>
                <w:color w:val="000000"/>
                <w:sz w:val="20"/>
                <w:szCs w:val="20"/>
              </w:rPr>
              <w:t>Item 2.</w:t>
            </w:r>
          </w:p>
        </w:tc>
        <w:tc>
          <w:tcPr>
            <w:tcW w:w="0" w:type="auto"/>
            <w:gridSpan w:val="3"/>
            <w:shd w:val="clear" w:color="auto" w:fill="auto"/>
            <w:tcMar>
              <w:top w:w="40" w:type="dxa"/>
              <w:left w:w="20" w:type="dxa"/>
              <w:bottom w:w="40" w:type="dxa"/>
              <w:right w:w="20" w:type="dxa"/>
            </w:tcMar>
          </w:tcPr>
          <w:p w14:paraId="22CFA075" w14:textId="77777777" w:rsidR="002661BA" w:rsidRDefault="00D972BC">
            <w:pPr>
              <w:textAlignment w:val="top"/>
            </w:pPr>
            <w:r>
              <w:rPr>
                <w:rFonts w:ascii="Arial" w:eastAsia="宋体" w:hAnsi="Arial" w:cs="Arial"/>
                <w:color w:val="000000"/>
                <w:sz w:val="20"/>
                <w:szCs w:val="20"/>
              </w:rPr>
              <w:t>Properties</w:t>
            </w:r>
          </w:p>
        </w:tc>
        <w:tc>
          <w:tcPr>
            <w:tcW w:w="0" w:type="auto"/>
            <w:gridSpan w:val="3"/>
            <w:shd w:val="clear" w:color="auto" w:fill="auto"/>
            <w:tcMar>
              <w:top w:w="40" w:type="dxa"/>
              <w:left w:w="20" w:type="dxa"/>
              <w:bottom w:w="40" w:type="dxa"/>
              <w:right w:w="20" w:type="dxa"/>
            </w:tcMar>
          </w:tcPr>
          <w:p w14:paraId="22CFA076" w14:textId="77777777" w:rsidR="002661BA" w:rsidRDefault="00D972BC">
            <w:pPr>
              <w:jc w:val="center"/>
              <w:textAlignment w:val="top"/>
            </w:pPr>
            <w:hyperlink r:id="rId10" w:anchor="id0d7a71b05ce452ea9fdb54f3cb359c7_22" w:history="1">
              <w:r>
                <w:rPr>
                  <w:rStyle w:val="a5"/>
                  <w:rFonts w:ascii="Arial" w:eastAsia="宋体" w:hAnsi="Arial" w:cs="Arial"/>
                  <w:sz w:val="20"/>
                  <w:szCs w:val="20"/>
                </w:rPr>
                <w:t>28</w:t>
              </w:r>
            </w:hyperlink>
          </w:p>
        </w:tc>
      </w:tr>
      <w:tr w:rsidR="002661BA" w14:paraId="22CFA07B" w14:textId="77777777">
        <w:trPr>
          <w:jc w:val="center"/>
        </w:trPr>
        <w:tc>
          <w:tcPr>
            <w:tcW w:w="0" w:type="auto"/>
            <w:gridSpan w:val="3"/>
            <w:shd w:val="clear" w:color="auto" w:fill="auto"/>
            <w:tcMar>
              <w:top w:w="40" w:type="dxa"/>
              <w:left w:w="20" w:type="dxa"/>
              <w:bottom w:w="40" w:type="dxa"/>
              <w:right w:w="20" w:type="dxa"/>
            </w:tcMar>
          </w:tcPr>
          <w:p w14:paraId="22CFA078" w14:textId="77777777" w:rsidR="002661BA" w:rsidRDefault="00D972BC">
            <w:pPr>
              <w:textAlignment w:val="top"/>
            </w:pPr>
            <w:r>
              <w:rPr>
                <w:rFonts w:ascii="Arial" w:eastAsia="宋体" w:hAnsi="Arial" w:cs="Arial"/>
                <w:color w:val="000000"/>
                <w:sz w:val="20"/>
                <w:szCs w:val="20"/>
              </w:rPr>
              <w:t>Item 3.</w:t>
            </w:r>
          </w:p>
        </w:tc>
        <w:tc>
          <w:tcPr>
            <w:tcW w:w="0" w:type="auto"/>
            <w:gridSpan w:val="3"/>
            <w:shd w:val="clear" w:color="auto" w:fill="auto"/>
            <w:tcMar>
              <w:top w:w="40" w:type="dxa"/>
              <w:left w:w="20" w:type="dxa"/>
              <w:bottom w:w="40" w:type="dxa"/>
              <w:right w:w="20" w:type="dxa"/>
            </w:tcMar>
          </w:tcPr>
          <w:p w14:paraId="22CFA079" w14:textId="77777777" w:rsidR="002661BA" w:rsidRDefault="00D972BC">
            <w:pPr>
              <w:textAlignment w:val="top"/>
            </w:pPr>
            <w:r>
              <w:rPr>
                <w:rFonts w:ascii="Arial" w:eastAsia="宋体" w:hAnsi="Arial" w:cs="Arial"/>
                <w:color w:val="000000"/>
                <w:sz w:val="20"/>
                <w:szCs w:val="20"/>
              </w:rPr>
              <w:t>Legal Proceedings</w:t>
            </w:r>
          </w:p>
        </w:tc>
        <w:tc>
          <w:tcPr>
            <w:tcW w:w="0" w:type="auto"/>
            <w:gridSpan w:val="3"/>
            <w:shd w:val="clear" w:color="auto" w:fill="auto"/>
            <w:tcMar>
              <w:top w:w="40" w:type="dxa"/>
              <w:left w:w="20" w:type="dxa"/>
              <w:bottom w:w="40" w:type="dxa"/>
              <w:right w:w="20" w:type="dxa"/>
            </w:tcMar>
          </w:tcPr>
          <w:p w14:paraId="22CFA07A" w14:textId="77777777" w:rsidR="002661BA" w:rsidRDefault="00D972BC">
            <w:pPr>
              <w:jc w:val="center"/>
              <w:textAlignment w:val="top"/>
            </w:pPr>
            <w:hyperlink r:id="rId11" w:anchor="id0d7a71b05ce452ea9fdb54f3cb359c7_25" w:history="1">
              <w:r>
                <w:rPr>
                  <w:rStyle w:val="a5"/>
                  <w:rFonts w:ascii="Arial" w:eastAsia="宋体" w:hAnsi="Arial" w:cs="Arial"/>
                  <w:sz w:val="20"/>
                  <w:szCs w:val="20"/>
                </w:rPr>
                <w:t>28</w:t>
              </w:r>
            </w:hyperlink>
          </w:p>
        </w:tc>
      </w:tr>
      <w:tr w:rsidR="002661BA" w14:paraId="22CFA07F" w14:textId="77777777">
        <w:trPr>
          <w:jc w:val="center"/>
        </w:trPr>
        <w:tc>
          <w:tcPr>
            <w:tcW w:w="0" w:type="auto"/>
            <w:gridSpan w:val="3"/>
            <w:shd w:val="clear" w:color="auto" w:fill="auto"/>
            <w:tcMar>
              <w:top w:w="40" w:type="dxa"/>
              <w:left w:w="20" w:type="dxa"/>
              <w:bottom w:w="40" w:type="dxa"/>
              <w:right w:w="20" w:type="dxa"/>
            </w:tcMar>
          </w:tcPr>
          <w:p w14:paraId="22CFA07C" w14:textId="77777777" w:rsidR="002661BA" w:rsidRDefault="00D972BC">
            <w:pPr>
              <w:textAlignment w:val="top"/>
            </w:pPr>
            <w:r>
              <w:rPr>
                <w:rFonts w:ascii="Arial" w:eastAsia="宋体" w:hAnsi="Arial" w:cs="Arial"/>
                <w:color w:val="000000"/>
                <w:sz w:val="20"/>
                <w:szCs w:val="20"/>
              </w:rPr>
              <w:t>Item 4.</w:t>
            </w:r>
          </w:p>
        </w:tc>
        <w:tc>
          <w:tcPr>
            <w:tcW w:w="0" w:type="auto"/>
            <w:gridSpan w:val="3"/>
            <w:shd w:val="clear" w:color="auto" w:fill="auto"/>
            <w:tcMar>
              <w:top w:w="40" w:type="dxa"/>
              <w:left w:w="20" w:type="dxa"/>
              <w:bottom w:w="40" w:type="dxa"/>
              <w:right w:w="20" w:type="dxa"/>
            </w:tcMar>
          </w:tcPr>
          <w:p w14:paraId="22CFA07D" w14:textId="77777777" w:rsidR="002661BA" w:rsidRDefault="00D972BC">
            <w:pPr>
              <w:textAlignment w:val="top"/>
            </w:pPr>
            <w:r>
              <w:rPr>
                <w:rFonts w:ascii="Arial" w:eastAsia="宋体" w:hAnsi="Arial" w:cs="Arial"/>
                <w:color w:val="000000"/>
                <w:sz w:val="20"/>
                <w:szCs w:val="20"/>
              </w:rPr>
              <w:t>Mine Safety Disclosures</w:t>
            </w:r>
          </w:p>
        </w:tc>
        <w:tc>
          <w:tcPr>
            <w:tcW w:w="0" w:type="auto"/>
            <w:gridSpan w:val="3"/>
            <w:shd w:val="clear" w:color="auto" w:fill="auto"/>
            <w:tcMar>
              <w:top w:w="40" w:type="dxa"/>
              <w:left w:w="20" w:type="dxa"/>
              <w:bottom w:w="40" w:type="dxa"/>
              <w:right w:w="20" w:type="dxa"/>
            </w:tcMar>
          </w:tcPr>
          <w:p w14:paraId="22CFA07E" w14:textId="77777777" w:rsidR="002661BA" w:rsidRDefault="00D972BC">
            <w:pPr>
              <w:jc w:val="center"/>
              <w:textAlignment w:val="top"/>
            </w:pPr>
            <w:hyperlink r:id="rId12" w:anchor="id0d7a71b05ce452ea9fdb54f3cb359c7_28" w:history="1">
              <w:r>
                <w:rPr>
                  <w:rStyle w:val="a5"/>
                  <w:rFonts w:ascii="Arial" w:eastAsia="宋体" w:hAnsi="Arial" w:cs="Arial"/>
                  <w:sz w:val="20"/>
                  <w:szCs w:val="20"/>
                </w:rPr>
                <w:t>28</w:t>
              </w:r>
            </w:hyperlink>
          </w:p>
        </w:tc>
      </w:tr>
      <w:tr w:rsidR="002661BA" w14:paraId="22CFA081" w14:textId="77777777">
        <w:trPr>
          <w:jc w:val="center"/>
        </w:trPr>
        <w:tc>
          <w:tcPr>
            <w:tcW w:w="0" w:type="auto"/>
            <w:gridSpan w:val="9"/>
            <w:shd w:val="clear" w:color="auto" w:fill="auto"/>
            <w:tcMar>
              <w:top w:w="40" w:type="dxa"/>
              <w:left w:w="20" w:type="dxa"/>
              <w:bottom w:w="40" w:type="dxa"/>
              <w:right w:w="20" w:type="dxa"/>
            </w:tcMar>
          </w:tcPr>
          <w:p w14:paraId="22CFA080" w14:textId="77777777" w:rsidR="002661BA" w:rsidRDefault="00D972BC">
            <w:pPr>
              <w:jc w:val="center"/>
              <w:textAlignment w:val="top"/>
            </w:pPr>
            <w:r>
              <w:rPr>
                <w:rFonts w:ascii="Arial" w:eastAsia="宋体" w:hAnsi="Arial" w:cs="Arial"/>
                <w:b/>
                <w:bCs/>
                <w:color w:val="000000"/>
                <w:sz w:val="20"/>
                <w:szCs w:val="20"/>
              </w:rPr>
              <w:t>Part II</w:t>
            </w:r>
          </w:p>
        </w:tc>
      </w:tr>
      <w:tr w:rsidR="002661BA" w14:paraId="22CFA085" w14:textId="77777777">
        <w:trPr>
          <w:jc w:val="center"/>
        </w:trPr>
        <w:tc>
          <w:tcPr>
            <w:tcW w:w="0" w:type="auto"/>
            <w:gridSpan w:val="3"/>
            <w:shd w:val="clear" w:color="auto" w:fill="auto"/>
            <w:tcMar>
              <w:top w:w="40" w:type="dxa"/>
              <w:left w:w="20" w:type="dxa"/>
              <w:bottom w:w="40" w:type="dxa"/>
              <w:right w:w="20" w:type="dxa"/>
            </w:tcMar>
          </w:tcPr>
          <w:p w14:paraId="22CFA082" w14:textId="77777777" w:rsidR="002661BA" w:rsidRDefault="00D972BC">
            <w:pPr>
              <w:textAlignment w:val="top"/>
            </w:pPr>
            <w:r>
              <w:rPr>
                <w:rFonts w:ascii="Arial" w:eastAsia="宋体" w:hAnsi="Arial" w:cs="Arial"/>
                <w:color w:val="000000"/>
                <w:sz w:val="20"/>
                <w:szCs w:val="20"/>
              </w:rPr>
              <w:t>Item 5.</w:t>
            </w:r>
          </w:p>
        </w:tc>
        <w:tc>
          <w:tcPr>
            <w:tcW w:w="0" w:type="auto"/>
            <w:gridSpan w:val="3"/>
            <w:shd w:val="clear" w:color="auto" w:fill="auto"/>
            <w:tcMar>
              <w:top w:w="40" w:type="dxa"/>
              <w:left w:w="20" w:type="dxa"/>
              <w:bottom w:w="40" w:type="dxa"/>
              <w:right w:w="20" w:type="dxa"/>
            </w:tcMar>
          </w:tcPr>
          <w:p w14:paraId="22CFA083" w14:textId="77777777" w:rsidR="002661BA" w:rsidRDefault="00D972BC">
            <w:pPr>
              <w:textAlignment w:val="top"/>
            </w:pPr>
            <w:r>
              <w:rPr>
                <w:rFonts w:ascii="Arial" w:eastAsia="宋体" w:hAnsi="Arial" w:cs="Arial"/>
                <w:color w:val="000000"/>
                <w:sz w:val="20"/>
                <w:szCs w:val="20"/>
              </w:rPr>
              <w:t>Market for Registrant’s Common Equity, Related Stockholder Matters and Issuer Pur</w:t>
            </w:r>
            <w:r>
              <w:rPr>
                <w:rFonts w:ascii="Arial" w:eastAsia="宋体" w:hAnsi="Arial" w:cs="Arial"/>
                <w:color w:val="000000"/>
                <w:sz w:val="20"/>
                <w:szCs w:val="20"/>
              </w:rPr>
              <w:t>chases of Equity Securities</w:t>
            </w:r>
          </w:p>
        </w:tc>
        <w:tc>
          <w:tcPr>
            <w:tcW w:w="0" w:type="auto"/>
            <w:gridSpan w:val="3"/>
            <w:shd w:val="clear" w:color="auto" w:fill="auto"/>
            <w:tcMar>
              <w:top w:w="40" w:type="dxa"/>
              <w:left w:w="20" w:type="dxa"/>
              <w:bottom w:w="40" w:type="dxa"/>
              <w:right w:w="20" w:type="dxa"/>
            </w:tcMar>
          </w:tcPr>
          <w:p w14:paraId="22CFA084" w14:textId="77777777" w:rsidR="002661BA" w:rsidRDefault="00D972BC">
            <w:pPr>
              <w:jc w:val="center"/>
              <w:textAlignment w:val="top"/>
            </w:pPr>
            <w:hyperlink r:id="rId13" w:anchor="id0d7a71b05ce452ea9fdb54f3cb359c7_34" w:history="1">
              <w:r>
                <w:rPr>
                  <w:rStyle w:val="a5"/>
                  <w:rFonts w:ascii="Arial" w:eastAsia="宋体" w:hAnsi="Arial" w:cs="Arial"/>
                  <w:sz w:val="20"/>
                  <w:szCs w:val="20"/>
                </w:rPr>
                <w:t>29</w:t>
              </w:r>
            </w:hyperlink>
          </w:p>
        </w:tc>
      </w:tr>
      <w:tr w:rsidR="002661BA" w14:paraId="22CFA089" w14:textId="77777777">
        <w:trPr>
          <w:jc w:val="center"/>
        </w:trPr>
        <w:tc>
          <w:tcPr>
            <w:tcW w:w="0" w:type="auto"/>
            <w:gridSpan w:val="3"/>
            <w:shd w:val="clear" w:color="auto" w:fill="auto"/>
            <w:tcMar>
              <w:top w:w="40" w:type="dxa"/>
              <w:left w:w="20" w:type="dxa"/>
              <w:bottom w:w="40" w:type="dxa"/>
              <w:right w:w="20" w:type="dxa"/>
            </w:tcMar>
          </w:tcPr>
          <w:p w14:paraId="22CFA086" w14:textId="77777777" w:rsidR="002661BA" w:rsidRDefault="00D972BC">
            <w:pPr>
              <w:textAlignment w:val="top"/>
            </w:pPr>
            <w:r>
              <w:rPr>
                <w:rFonts w:ascii="Arial" w:eastAsia="宋体" w:hAnsi="Arial" w:cs="Arial"/>
                <w:color w:val="000000"/>
                <w:sz w:val="20"/>
                <w:szCs w:val="20"/>
              </w:rPr>
              <w:t>Item 6.</w:t>
            </w:r>
          </w:p>
        </w:tc>
        <w:tc>
          <w:tcPr>
            <w:tcW w:w="0" w:type="auto"/>
            <w:gridSpan w:val="3"/>
            <w:shd w:val="clear" w:color="auto" w:fill="auto"/>
            <w:tcMar>
              <w:top w:w="40" w:type="dxa"/>
              <w:left w:w="20" w:type="dxa"/>
              <w:bottom w:w="40" w:type="dxa"/>
              <w:right w:w="20" w:type="dxa"/>
            </w:tcMar>
          </w:tcPr>
          <w:p w14:paraId="22CFA087" w14:textId="77777777" w:rsidR="002661BA" w:rsidRDefault="00D972BC">
            <w:pPr>
              <w:textAlignment w:val="top"/>
            </w:pPr>
            <w:r>
              <w:rPr>
                <w:rFonts w:ascii="Arial" w:eastAsia="宋体" w:hAnsi="Arial" w:cs="Arial"/>
                <w:color w:val="000000"/>
                <w:sz w:val="20"/>
                <w:szCs w:val="20"/>
              </w:rPr>
              <w:t>[Reserved]</w:t>
            </w:r>
          </w:p>
        </w:tc>
        <w:tc>
          <w:tcPr>
            <w:tcW w:w="0" w:type="auto"/>
            <w:gridSpan w:val="3"/>
            <w:shd w:val="clear" w:color="auto" w:fill="auto"/>
            <w:tcMar>
              <w:top w:w="40" w:type="dxa"/>
              <w:left w:w="20" w:type="dxa"/>
              <w:bottom w:w="40" w:type="dxa"/>
              <w:right w:w="20" w:type="dxa"/>
            </w:tcMar>
          </w:tcPr>
          <w:p w14:paraId="22CFA088" w14:textId="77777777" w:rsidR="002661BA" w:rsidRDefault="00D972BC">
            <w:pPr>
              <w:jc w:val="center"/>
              <w:textAlignment w:val="top"/>
            </w:pPr>
            <w:hyperlink r:id="rId14" w:anchor="id0d7a71b05ce452ea9fdb54f3cb359c7_2521" w:history="1">
              <w:r>
                <w:rPr>
                  <w:rStyle w:val="a5"/>
                  <w:rFonts w:ascii="Arial" w:eastAsia="宋体" w:hAnsi="Arial" w:cs="Arial"/>
                  <w:sz w:val="20"/>
                  <w:szCs w:val="20"/>
                </w:rPr>
                <w:t>30</w:t>
              </w:r>
            </w:hyperlink>
          </w:p>
        </w:tc>
      </w:tr>
      <w:tr w:rsidR="002661BA" w14:paraId="22CFA08D" w14:textId="77777777">
        <w:trPr>
          <w:jc w:val="center"/>
        </w:trPr>
        <w:tc>
          <w:tcPr>
            <w:tcW w:w="0" w:type="auto"/>
            <w:gridSpan w:val="3"/>
            <w:shd w:val="clear" w:color="auto" w:fill="auto"/>
            <w:tcMar>
              <w:top w:w="40" w:type="dxa"/>
              <w:left w:w="20" w:type="dxa"/>
              <w:bottom w:w="40" w:type="dxa"/>
              <w:right w:w="20" w:type="dxa"/>
            </w:tcMar>
          </w:tcPr>
          <w:p w14:paraId="22CFA08A" w14:textId="77777777" w:rsidR="002661BA" w:rsidRDefault="00D972BC">
            <w:pPr>
              <w:textAlignment w:val="top"/>
            </w:pPr>
            <w:r>
              <w:rPr>
                <w:rFonts w:ascii="Arial" w:eastAsia="宋体" w:hAnsi="Arial" w:cs="Arial"/>
                <w:color w:val="000000"/>
                <w:sz w:val="20"/>
                <w:szCs w:val="20"/>
              </w:rPr>
              <w:t>Item 7.</w:t>
            </w:r>
          </w:p>
        </w:tc>
        <w:tc>
          <w:tcPr>
            <w:tcW w:w="0" w:type="auto"/>
            <w:gridSpan w:val="3"/>
            <w:shd w:val="clear" w:color="auto" w:fill="auto"/>
            <w:tcMar>
              <w:top w:w="40" w:type="dxa"/>
              <w:left w:w="20" w:type="dxa"/>
              <w:bottom w:w="40" w:type="dxa"/>
              <w:right w:w="20" w:type="dxa"/>
            </w:tcMar>
          </w:tcPr>
          <w:p w14:paraId="22CFA08B" w14:textId="77777777" w:rsidR="002661BA" w:rsidRDefault="00D972BC">
            <w:pPr>
              <w:textAlignment w:val="top"/>
            </w:pPr>
            <w:r>
              <w:rPr>
                <w:rFonts w:ascii="Arial" w:eastAsia="宋体" w:hAnsi="Arial" w:cs="Arial"/>
                <w:color w:val="000000"/>
                <w:sz w:val="20"/>
                <w:szCs w:val="20"/>
              </w:rPr>
              <w:t>Management’s Discussion and Analysis of Financial Condition and Results of Operations</w:t>
            </w:r>
          </w:p>
        </w:tc>
        <w:tc>
          <w:tcPr>
            <w:tcW w:w="0" w:type="auto"/>
            <w:gridSpan w:val="3"/>
            <w:shd w:val="clear" w:color="auto" w:fill="auto"/>
            <w:tcMar>
              <w:top w:w="40" w:type="dxa"/>
              <w:left w:w="20" w:type="dxa"/>
              <w:bottom w:w="40" w:type="dxa"/>
              <w:right w:w="20" w:type="dxa"/>
            </w:tcMar>
          </w:tcPr>
          <w:p w14:paraId="22CFA08C" w14:textId="77777777" w:rsidR="002661BA" w:rsidRDefault="00D972BC">
            <w:pPr>
              <w:jc w:val="center"/>
              <w:textAlignment w:val="top"/>
            </w:pPr>
            <w:hyperlink r:id="rId15" w:anchor="id0d7a71b05ce452ea9fdb54f3cb359c7_40" w:history="1">
              <w:r>
                <w:rPr>
                  <w:rStyle w:val="a5"/>
                  <w:rFonts w:ascii="Arial" w:eastAsia="宋体" w:hAnsi="Arial" w:cs="Arial"/>
                  <w:sz w:val="20"/>
                  <w:szCs w:val="20"/>
                </w:rPr>
                <w:t>31</w:t>
              </w:r>
            </w:hyperlink>
          </w:p>
        </w:tc>
      </w:tr>
      <w:tr w:rsidR="002661BA" w14:paraId="22CFA091" w14:textId="77777777">
        <w:trPr>
          <w:jc w:val="center"/>
        </w:trPr>
        <w:tc>
          <w:tcPr>
            <w:tcW w:w="0" w:type="auto"/>
            <w:gridSpan w:val="3"/>
            <w:shd w:val="clear" w:color="auto" w:fill="auto"/>
            <w:tcMar>
              <w:top w:w="40" w:type="dxa"/>
              <w:left w:w="20" w:type="dxa"/>
              <w:bottom w:w="40" w:type="dxa"/>
              <w:right w:w="20" w:type="dxa"/>
            </w:tcMar>
          </w:tcPr>
          <w:p w14:paraId="22CFA08E" w14:textId="77777777" w:rsidR="002661BA" w:rsidRDefault="00D972BC">
            <w:pPr>
              <w:textAlignment w:val="top"/>
            </w:pPr>
            <w:r>
              <w:rPr>
                <w:rFonts w:ascii="Arial" w:eastAsia="宋体" w:hAnsi="Arial" w:cs="Arial"/>
                <w:color w:val="000000"/>
                <w:sz w:val="20"/>
                <w:szCs w:val="20"/>
              </w:rPr>
              <w:t>Item 7A.</w:t>
            </w:r>
          </w:p>
        </w:tc>
        <w:tc>
          <w:tcPr>
            <w:tcW w:w="0" w:type="auto"/>
            <w:gridSpan w:val="3"/>
            <w:shd w:val="clear" w:color="auto" w:fill="auto"/>
            <w:tcMar>
              <w:top w:w="40" w:type="dxa"/>
              <w:left w:w="20" w:type="dxa"/>
              <w:bottom w:w="40" w:type="dxa"/>
              <w:right w:w="20" w:type="dxa"/>
            </w:tcMar>
          </w:tcPr>
          <w:p w14:paraId="22CFA08F" w14:textId="77777777" w:rsidR="002661BA" w:rsidRDefault="00D972BC">
            <w:pPr>
              <w:textAlignment w:val="top"/>
            </w:pPr>
            <w:r>
              <w:rPr>
                <w:rFonts w:ascii="Arial" w:eastAsia="宋体" w:hAnsi="Arial" w:cs="Arial"/>
                <w:color w:val="000000"/>
                <w:sz w:val="20"/>
                <w:szCs w:val="20"/>
              </w:rPr>
              <w:t>Quantitative and Qualitative Disclosures About Market Risk</w:t>
            </w:r>
          </w:p>
        </w:tc>
        <w:tc>
          <w:tcPr>
            <w:tcW w:w="0" w:type="auto"/>
            <w:gridSpan w:val="3"/>
            <w:shd w:val="clear" w:color="auto" w:fill="auto"/>
            <w:tcMar>
              <w:top w:w="40" w:type="dxa"/>
              <w:left w:w="20" w:type="dxa"/>
              <w:bottom w:w="40" w:type="dxa"/>
              <w:right w:w="20" w:type="dxa"/>
            </w:tcMar>
          </w:tcPr>
          <w:p w14:paraId="22CFA090" w14:textId="77777777" w:rsidR="002661BA" w:rsidRDefault="00D972BC">
            <w:pPr>
              <w:jc w:val="center"/>
              <w:textAlignment w:val="top"/>
            </w:pPr>
            <w:hyperlink r:id="rId16" w:anchor="id0d7a71b05ce452ea9fdb54f3cb359c7_67" w:history="1">
              <w:r>
                <w:rPr>
                  <w:rStyle w:val="a5"/>
                  <w:rFonts w:ascii="Arial" w:eastAsia="宋体" w:hAnsi="Arial" w:cs="Arial"/>
                  <w:sz w:val="20"/>
                  <w:szCs w:val="20"/>
                </w:rPr>
                <w:t>49</w:t>
              </w:r>
            </w:hyperlink>
          </w:p>
        </w:tc>
      </w:tr>
      <w:tr w:rsidR="002661BA" w14:paraId="22CFA095" w14:textId="77777777">
        <w:trPr>
          <w:jc w:val="center"/>
        </w:trPr>
        <w:tc>
          <w:tcPr>
            <w:tcW w:w="0" w:type="auto"/>
            <w:gridSpan w:val="3"/>
            <w:shd w:val="clear" w:color="auto" w:fill="auto"/>
            <w:tcMar>
              <w:top w:w="40" w:type="dxa"/>
              <w:left w:w="20" w:type="dxa"/>
              <w:bottom w:w="40" w:type="dxa"/>
              <w:right w:w="20" w:type="dxa"/>
            </w:tcMar>
          </w:tcPr>
          <w:p w14:paraId="22CFA092" w14:textId="77777777" w:rsidR="002661BA" w:rsidRDefault="00D972BC">
            <w:pPr>
              <w:textAlignment w:val="top"/>
            </w:pPr>
            <w:r>
              <w:rPr>
                <w:rFonts w:ascii="Arial" w:eastAsia="宋体" w:hAnsi="Arial" w:cs="Arial"/>
                <w:color w:val="000000"/>
                <w:sz w:val="20"/>
                <w:szCs w:val="20"/>
              </w:rPr>
              <w:t>Item 8.</w:t>
            </w:r>
          </w:p>
        </w:tc>
        <w:tc>
          <w:tcPr>
            <w:tcW w:w="0" w:type="auto"/>
            <w:gridSpan w:val="3"/>
            <w:shd w:val="clear" w:color="auto" w:fill="auto"/>
            <w:tcMar>
              <w:top w:w="40" w:type="dxa"/>
              <w:left w:w="20" w:type="dxa"/>
              <w:bottom w:w="40" w:type="dxa"/>
              <w:right w:w="20" w:type="dxa"/>
            </w:tcMar>
          </w:tcPr>
          <w:p w14:paraId="22CFA093" w14:textId="77777777" w:rsidR="002661BA" w:rsidRDefault="00D972BC">
            <w:pPr>
              <w:textAlignment w:val="top"/>
            </w:pPr>
            <w:r>
              <w:rPr>
                <w:rFonts w:ascii="Arial" w:eastAsia="宋体" w:hAnsi="Arial" w:cs="Arial"/>
                <w:color w:val="000000"/>
                <w:sz w:val="20"/>
                <w:szCs w:val="20"/>
              </w:rPr>
              <w:t>Financial Statements and Supplementary Data</w:t>
            </w:r>
          </w:p>
        </w:tc>
        <w:tc>
          <w:tcPr>
            <w:tcW w:w="0" w:type="auto"/>
            <w:gridSpan w:val="3"/>
            <w:shd w:val="clear" w:color="auto" w:fill="auto"/>
            <w:tcMar>
              <w:top w:w="40" w:type="dxa"/>
              <w:left w:w="20" w:type="dxa"/>
              <w:bottom w:w="40" w:type="dxa"/>
              <w:right w:w="20" w:type="dxa"/>
            </w:tcMar>
          </w:tcPr>
          <w:p w14:paraId="22CFA094" w14:textId="77777777" w:rsidR="002661BA" w:rsidRDefault="00D972BC">
            <w:pPr>
              <w:jc w:val="center"/>
              <w:textAlignment w:val="top"/>
            </w:pPr>
            <w:hyperlink r:id="rId17" w:anchor="id0d7a71b05ce452ea9fdb54f3cb359c7_70" w:history="1">
              <w:r>
                <w:rPr>
                  <w:rStyle w:val="a5"/>
                  <w:rFonts w:ascii="Arial" w:eastAsia="宋体" w:hAnsi="Arial" w:cs="Arial"/>
                  <w:sz w:val="20"/>
                  <w:szCs w:val="20"/>
                </w:rPr>
                <w:t>52</w:t>
              </w:r>
            </w:hyperlink>
          </w:p>
        </w:tc>
      </w:tr>
      <w:tr w:rsidR="002661BA" w14:paraId="22CFA099" w14:textId="77777777">
        <w:trPr>
          <w:jc w:val="center"/>
        </w:trPr>
        <w:tc>
          <w:tcPr>
            <w:tcW w:w="0" w:type="auto"/>
            <w:gridSpan w:val="3"/>
            <w:shd w:val="clear" w:color="auto" w:fill="auto"/>
            <w:tcMar>
              <w:top w:w="40" w:type="dxa"/>
              <w:left w:w="20" w:type="dxa"/>
              <w:bottom w:w="40" w:type="dxa"/>
              <w:right w:w="20" w:type="dxa"/>
            </w:tcMar>
          </w:tcPr>
          <w:p w14:paraId="22CFA096" w14:textId="77777777" w:rsidR="002661BA" w:rsidRDefault="00D972BC">
            <w:pPr>
              <w:textAlignment w:val="top"/>
            </w:pPr>
            <w:r>
              <w:rPr>
                <w:rFonts w:ascii="Arial" w:eastAsia="宋体" w:hAnsi="Arial" w:cs="Arial"/>
                <w:color w:val="000000"/>
                <w:sz w:val="20"/>
                <w:szCs w:val="20"/>
              </w:rPr>
              <w:t>Item 9.</w:t>
            </w:r>
          </w:p>
        </w:tc>
        <w:tc>
          <w:tcPr>
            <w:tcW w:w="0" w:type="auto"/>
            <w:gridSpan w:val="3"/>
            <w:shd w:val="clear" w:color="auto" w:fill="auto"/>
            <w:tcMar>
              <w:top w:w="40" w:type="dxa"/>
              <w:left w:w="20" w:type="dxa"/>
              <w:bottom w:w="40" w:type="dxa"/>
              <w:right w:w="20" w:type="dxa"/>
            </w:tcMar>
          </w:tcPr>
          <w:p w14:paraId="22CFA097" w14:textId="77777777" w:rsidR="002661BA" w:rsidRDefault="00D972BC">
            <w:pPr>
              <w:textAlignment w:val="top"/>
            </w:pPr>
            <w:r>
              <w:rPr>
                <w:rFonts w:ascii="Arial" w:eastAsia="宋体" w:hAnsi="Arial" w:cs="Arial"/>
                <w:color w:val="000000"/>
                <w:sz w:val="20"/>
                <w:szCs w:val="20"/>
              </w:rPr>
              <w:t>Changes in and Disagreements With Accountants on Accounting and Financial Disclosure</w:t>
            </w:r>
          </w:p>
        </w:tc>
        <w:tc>
          <w:tcPr>
            <w:tcW w:w="0" w:type="auto"/>
            <w:gridSpan w:val="3"/>
            <w:shd w:val="clear" w:color="auto" w:fill="auto"/>
            <w:tcMar>
              <w:top w:w="40" w:type="dxa"/>
              <w:left w:w="20" w:type="dxa"/>
              <w:bottom w:w="40" w:type="dxa"/>
              <w:right w:w="20" w:type="dxa"/>
            </w:tcMar>
          </w:tcPr>
          <w:p w14:paraId="22CFA098" w14:textId="77777777" w:rsidR="002661BA" w:rsidRDefault="00D972BC">
            <w:pPr>
              <w:jc w:val="center"/>
              <w:textAlignment w:val="top"/>
            </w:pPr>
            <w:hyperlink r:id="rId18" w:anchor="id0d7a71b05ce452ea9fdb54f3cb359c7_73" w:history="1">
              <w:r>
                <w:rPr>
                  <w:rStyle w:val="a5"/>
                  <w:rFonts w:ascii="Arial" w:eastAsia="宋体" w:hAnsi="Arial" w:cs="Arial"/>
                  <w:sz w:val="20"/>
                  <w:szCs w:val="20"/>
                </w:rPr>
                <w:t>52</w:t>
              </w:r>
            </w:hyperlink>
          </w:p>
        </w:tc>
      </w:tr>
      <w:tr w:rsidR="002661BA" w14:paraId="22CFA09D" w14:textId="77777777">
        <w:trPr>
          <w:jc w:val="center"/>
        </w:trPr>
        <w:tc>
          <w:tcPr>
            <w:tcW w:w="0" w:type="auto"/>
            <w:gridSpan w:val="3"/>
            <w:shd w:val="clear" w:color="auto" w:fill="auto"/>
            <w:tcMar>
              <w:top w:w="40" w:type="dxa"/>
              <w:left w:w="20" w:type="dxa"/>
              <w:bottom w:w="40" w:type="dxa"/>
              <w:right w:w="20" w:type="dxa"/>
            </w:tcMar>
          </w:tcPr>
          <w:p w14:paraId="22CFA09A" w14:textId="77777777" w:rsidR="002661BA" w:rsidRDefault="00D972BC">
            <w:pPr>
              <w:textAlignment w:val="top"/>
            </w:pPr>
            <w:r>
              <w:rPr>
                <w:rFonts w:ascii="Arial" w:eastAsia="宋体" w:hAnsi="Arial" w:cs="Arial"/>
                <w:color w:val="000000"/>
                <w:sz w:val="20"/>
                <w:szCs w:val="20"/>
              </w:rPr>
              <w:t>Item 9A.</w:t>
            </w:r>
          </w:p>
        </w:tc>
        <w:tc>
          <w:tcPr>
            <w:tcW w:w="0" w:type="auto"/>
            <w:gridSpan w:val="3"/>
            <w:shd w:val="clear" w:color="auto" w:fill="auto"/>
            <w:tcMar>
              <w:top w:w="40" w:type="dxa"/>
              <w:left w:w="20" w:type="dxa"/>
              <w:bottom w:w="40" w:type="dxa"/>
              <w:right w:w="20" w:type="dxa"/>
            </w:tcMar>
          </w:tcPr>
          <w:p w14:paraId="22CFA09B" w14:textId="77777777" w:rsidR="002661BA" w:rsidRDefault="00D972BC">
            <w:pPr>
              <w:textAlignment w:val="top"/>
            </w:pPr>
            <w:r>
              <w:rPr>
                <w:rFonts w:ascii="Arial" w:eastAsia="宋体" w:hAnsi="Arial" w:cs="Arial"/>
                <w:color w:val="000000"/>
                <w:sz w:val="20"/>
                <w:szCs w:val="20"/>
              </w:rPr>
              <w:t>Controls and Procedures</w:t>
            </w:r>
          </w:p>
        </w:tc>
        <w:tc>
          <w:tcPr>
            <w:tcW w:w="0" w:type="auto"/>
            <w:gridSpan w:val="3"/>
            <w:shd w:val="clear" w:color="auto" w:fill="auto"/>
            <w:tcMar>
              <w:top w:w="40" w:type="dxa"/>
              <w:left w:w="20" w:type="dxa"/>
              <w:bottom w:w="40" w:type="dxa"/>
              <w:right w:w="20" w:type="dxa"/>
            </w:tcMar>
          </w:tcPr>
          <w:p w14:paraId="22CFA09C" w14:textId="77777777" w:rsidR="002661BA" w:rsidRDefault="00D972BC">
            <w:pPr>
              <w:jc w:val="center"/>
              <w:textAlignment w:val="top"/>
            </w:pPr>
            <w:hyperlink r:id="rId19" w:anchor="id0d7a71b05ce452ea9fdb54f3cb359c7_76" w:history="1">
              <w:r>
                <w:rPr>
                  <w:rStyle w:val="a5"/>
                  <w:rFonts w:ascii="Arial" w:eastAsia="宋体" w:hAnsi="Arial" w:cs="Arial"/>
                  <w:sz w:val="20"/>
                  <w:szCs w:val="20"/>
                </w:rPr>
                <w:t>52</w:t>
              </w:r>
            </w:hyperlink>
          </w:p>
        </w:tc>
      </w:tr>
      <w:tr w:rsidR="002661BA" w14:paraId="22CFA0A1" w14:textId="77777777">
        <w:trPr>
          <w:jc w:val="center"/>
        </w:trPr>
        <w:tc>
          <w:tcPr>
            <w:tcW w:w="0" w:type="auto"/>
            <w:gridSpan w:val="3"/>
            <w:shd w:val="clear" w:color="auto" w:fill="auto"/>
            <w:tcMar>
              <w:top w:w="40" w:type="dxa"/>
              <w:left w:w="20" w:type="dxa"/>
              <w:bottom w:w="40" w:type="dxa"/>
              <w:right w:w="20" w:type="dxa"/>
            </w:tcMar>
          </w:tcPr>
          <w:p w14:paraId="22CFA09E" w14:textId="77777777" w:rsidR="002661BA" w:rsidRDefault="00D972BC">
            <w:pPr>
              <w:textAlignment w:val="top"/>
            </w:pPr>
            <w:r>
              <w:rPr>
                <w:rFonts w:ascii="Arial" w:eastAsia="宋体" w:hAnsi="Arial" w:cs="Arial"/>
                <w:color w:val="000000"/>
                <w:sz w:val="20"/>
                <w:szCs w:val="20"/>
              </w:rPr>
              <w:t>Item 9B.</w:t>
            </w:r>
          </w:p>
        </w:tc>
        <w:tc>
          <w:tcPr>
            <w:tcW w:w="0" w:type="auto"/>
            <w:gridSpan w:val="3"/>
            <w:shd w:val="clear" w:color="auto" w:fill="auto"/>
            <w:tcMar>
              <w:top w:w="40" w:type="dxa"/>
              <w:left w:w="20" w:type="dxa"/>
              <w:bottom w:w="40" w:type="dxa"/>
              <w:right w:w="20" w:type="dxa"/>
            </w:tcMar>
          </w:tcPr>
          <w:p w14:paraId="22CFA09F" w14:textId="77777777" w:rsidR="002661BA" w:rsidRDefault="00D972BC">
            <w:pPr>
              <w:textAlignment w:val="top"/>
            </w:pPr>
            <w:r>
              <w:rPr>
                <w:rFonts w:ascii="Arial" w:eastAsia="宋体" w:hAnsi="Arial" w:cs="Arial"/>
                <w:color w:val="000000"/>
                <w:sz w:val="20"/>
                <w:szCs w:val="20"/>
              </w:rPr>
              <w:t>Other Information</w:t>
            </w:r>
          </w:p>
        </w:tc>
        <w:tc>
          <w:tcPr>
            <w:tcW w:w="0" w:type="auto"/>
            <w:gridSpan w:val="3"/>
            <w:shd w:val="clear" w:color="auto" w:fill="auto"/>
            <w:tcMar>
              <w:top w:w="40" w:type="dxa"/>
              <w:left w:w="20" w:type="dxa"/>
              <w:bottom w:w="40" w:type="dxa"/>
              <w:right w:w="20" w:type="dxa"/>
            </w:tcMar>
          </w:tcPr>
          <w:p w14:paraId="22CFA0A0" w14:textId="77777777" w:rsidR="002661BA" w:rsidRDefault="00D972BC">
            <w:pPr>
              <w:jc w:val="center"/>
              <w:textAlignment w:val="top"/>
            </w:pPr>
            <w:hyperlink r:id="rId20" w:anchor="id0d7a71b05ce452ea9fdb54f3cb359c7_79" w:history="1">
              <w:r>
                <w:rPr>
                  <w:rStyle w:val="a5"/>
                  <w:rFonts w:ascii="Arial" w:eastAsia="宋体" w:hAnsi="Arial" w:cs="Arial"/>
                  <w:sz w:val="20"/>
                  <w:szCs w:val="20"/>
                </w:rPr>
                <w:t>52</w:t>
              </w:r>
            </w:hyperlink>
          </w:p>
        </w:tc>
      </w:tr>
      <w:tr w:rsidR="002661BA" w14:paraId="22CFA0A5" w14:textId="77777777">
        <w:trPr>
          <w:jc w:val="center"/>
        </w:trPr>
        <w:tc>
          <w:tcPr>
            <w:tcW w:w="0" w:type="auto"/>
            <w:gridSpan w:val="3"/>
            <w:shd w:val="clear" w:color="auto" w:fill="auto"/>
            <w:tcMar>
              <w:top w:w="40" w:type="dxa"/>
              <w:left w:w="20" w:type="dxa"/>
              <w:bottom w:w="40" w:type="dxa"/>
              <w:right w:w="20" w:type="dxa"/>
            </w:tcMar>
          </w:tcPr>
          <w:p w14:paraId="22CFA0A2" w14:textId="77777777" w:rsidR="002661BA" w:rsidRDefault="00D972BC">
            <w:pPr>
              <w:textAlignment w:val="top"/>
            </w:pPr>
            <w:r>
              <w:rPr>
                <w:rFonts w:ascii="Arial" w:eastAsia="宋体" w:hAnsi="Arial" w:cs="Arial"/>
                <w:color w:val="000000"/>
                <w:sz w:val="20"/>
                <w:szCs w:val="20"/>
              </w:rPr>
              <w:t>Item 9C.</w:t>
            </w:r>
          </w:p>
        </w:tc>
        <w:tc>
          <w:tcPr>
            <w:tcW w:w="0" w:type="auto"/>
            <w:gridSpan w:val="3"/>
            <w:shd w:val="clear" w:color="auto" w:fill="auto"/>
            <w:tcMar>
              <w:top w:w="40" w:type="dxa"/>
              <w:left w:w="20" w:type="dxa"/>
              <w:bottom w:w="40" w:type="dxa"/>
              <w:right w:w="20" w:type="dxa"/>
            </w:tcMar>
          </w:tcPr>
          <w:p w14:paraId="22CFA0A3" w14:textId="77777777" w:rsidR="002661BA" w:rsidRDefault="00D972BC">
            <w:pPr>
              <w:textAlignment w:val="top"/>
            </w:pPr>
            <w:r>
              <w:rPr>
                <w:rFonts w:ascii="Arial" w:eastAsia="宋体" w:hAnsi="Arial" w:cs="Arial"/>
                <w:color w:val="000000"/>
                <w:sz w:val="20"/>
                <w:szCs w:val="20"/>
              </w:rPr>
              <w:t>Disclosure Regarding Foreign Jurisdictions that Prevent Inspections.</w:t>
            </w:r>
          </w:p>
        </w:tc>
        <w:tc>
          <w:tcPr>
            <w:tcW w:w="0" w:type="auto"/>
            <w:gridSpan w:val="3"/>
            <w:shd w:val="clear" w:color="auto" w:fill="auto"/>
            <w:tcMar>
              <w:top w:w="40" w:type="dxa"/>
              <w:left w:w="20" w:type="dxa"/>
              <w:bottom w:w="40" w:type="dxa"/>
              <w:right w:w="20" w:type="dxa"/>
            </w:tcMar>
          </w:tcPr>
          <w:p w14:paraId="22CFA0A4" w14:textId="77777777" w:rsidR="002661BA" w:rsidRDefault="00D972BC">
            <w:pPr>
              <w:jc w:val="center"/>
              <w:textAlignment w:val="top"/>
            </w:pPr>
            <w:hyperlink r:id="rId21" w:anchor="id0d7a71b05ce452ea9fdb54f3cb359c7_2511" w:history="1">
              <w:r>
                <w:rPr>
                  <w:rStyle w:val="a5"/>
                  <w:rFonts w:ascii="Arial" w:eastAsia="宋体" w:hAnsi="Arial" w:cs="Arial"/>
                  <w:sz w:val="20"/>
                  <w:szCs w:val="20"/>
                </w:rPr>
                <w:t>52</w:t>
              </w:r>
            </w:hyperlink>
          </w:p>
        </w:tc>
      </w:tr>
      <w:tr w:rsidR="002661BA" w14:paraId="22CFA0A7" w14:textId="77777777">
        <w:trPr>
          <w:jc w:val="center"/>
        </w:trPr>
        <w:tc>
          <w:tcPr>
            <w:tcW w:w="0" w:type="auto"/>
            <w:gridSpan w:val="9"/>
            <w:shd w:val="clear" w:color="auto" w:fill="auto"/>
            <w:tcMar>
              <w:top w:w="40" w:type="dxa"/>
              <w:left w:w="20" w:type="dxa"/>
              <w:bottom w:w="40" w:type="dxa"/>
              <w:right w:w="20" w:type="dxa"/>
            </w:tcMar>
          </w:tcPr>
          <w:p w14:paraId="22CFA0A6" w14:textId="77777777" w:rsidR="002661BA" w:rsidRDefault="00D972BC">
            <w:pPr>
              <w:jc w:val="center"/>
              <w:textAlignment w:val="top"/>
            </w:pPr>
            <w:r>
              <w:rPr>
                <w:rFonts w:ascii="Arial" w:eastAsia="宋体" w:hAnsi="Arial" w:cs="Arial"/>
                <w:b/>
                <w:bCs/>
                <w:color w:val="000000"/>
                <w:sz w:val="20"/>
                <w:szCs w:val="20"/>
              </w:rPr>
              <w:t>Part III</w:t>
            </w:r>
          </w:p>
        </w:tc>
      </w:tr>
      <w:tr w:rsidR="002661BA" w14:paraId="22CFA0AB" w14:textId="77777777">
        <w:trPr>
          <w:jc w:val="center"/>
        </w:trPr>
        <w:tc>
          <w:tcPr>
            <w:tcW w:w="0" w:type="auto"/>
            <w:gridSpan w:val="3"/>
            <w:shd w:val="clear" w:color="auto" w:fill="auto"/>
            <w:tcMar>
              <w:top w:w="40" w:type="dxa"/>
              <w:left w:w="20" w:type="dxa"/>
              <w:bottom w:w="40" w:type="dxa"/>
              <w:right w:w="20" w:type="dxa"/>
            </w:tcMar>
          </w:tcPr>
          <w:p w14:paraId="22CFA0A8" w14:textId="77777777" w:rsidR="002661BA" w:rsidRDefault="00D972BC">
            <w:pPr>
              <w:textAlignment w:val="top"/>
            </w:pPr>
            <w:r>
              <w:rPr>
                <w:rFonts w:ascii="Arial" w:eastAsia="宋体" w:hAnsi="Arial" w:cs="Arial"/>
                <w:color w:val="000000"/>
                <w:sz w:val="20"/>
                <w:szCs w:val="20"/>
              </w:rPr>
              <w:t>Item 10.</w:t>
            </w:r>
          </w:p>
        </w:tc>
        <w:tc>
          <w:tcPr>
            <w:tcW w:w="0" w:type="auto"/>
            <w:gridSpan w:val="3"/>
            <w:shd w:val="clear" w:color="auto" w:fill="auto"/>
            <w:tcMar>
              <w:top w:w="40" w:type="dxa"/>
              <w:left w:w="20" w:type="dxa"/>
              <w:bottom w:w="40" w:type="dxa"/>
              <w:right w:w="20" w:type="dxa"/>
            </w:tcMar>
          </w:tcPr>
          <w:p w14:paraId="22CFA0A9" w14:textId="77777777" w:rsidR="002661BA" w:rsidRDefault="00D972BC">
            <w:pPr>
              <w:textAlignment w:val="top"/>
            </w:pPr>
            <w:r>
              <w:rPr>
                <w:rFonts w:ascii="Arial" w:eastAsia="宋体" w:hAnsi="Arial" w:cs="Arial"/>
                <w:color w:val="000000"/>
                <w:sz w:val="20"/>
                <w:szCs w:val="20"/>
              </w:rPr>
              <w:t>Directors, Executive Officers and Corporate Governance</w:t>
            </w:r>
          </w:p>
        </w:tc>
        <w:tc>
          <w:tcPr>
            <w:tcW w:w="0" w:type="auto"/>
            <w:gridSpan w:val="3"/>
            <w:shd w:val="clear" w:color="auto" w:fill="auto"/>
            <w:tcMar>
              <w:top w:w="40" w:type="dxa"/>
              <w:left w:w="20" w:type="dxa"/>
              <w:bottom w:w="40" w:type="dxa"/>
              <w:right w:w="20" w:type="dxa"/>
            </w:tcMar>
          </w:tcPr>
          <w:p w14:paraId="22CFA0AA" w14:textId="77777777" w:rsidR="002661BA" w:rsidRDefault="00D972BC">
            <w:pPr>
              <w:jc w:val="center"/>
              <w:textAlignment w:val="top"/>
            </w:pPr>
            <w:hyperlink r:id="rId22" w:anchor="id0d7a71b05ce452ea9fdb54f3cb359c7_85" w:history="1">
              <w:r>
                <w:rPr>
                  <w:rStyle w:val="a5"/>
                  <w:rFonts w:ascii="Arial" w:eastAsia="宋体" w:hAnsi="Arial" w:cs="Arial"/>
                  <w:sz w:val="20"/>
                  <w:szCs w:val="20"/>
                </w:rPr>
                <w:t>53</w:t>
              </w:r>
            </w:hyperlink>
          </w:p>
        </w:tc>
      </w:tr>
      <w:tr w:rsidR="002661BA" w14:paraId="22CFA0AF" w14:textId="77777777">
        <w:trPr>
          <w:jc w:val="center"/>
        </w:trPr>
        <w:tc>
          <w:tcPr>
            <w:tcW w:w="0" w:type="auto"/>
            <w:gridSpan w:val="3"/>
            <w:shd w:val="clear" w:color="auto" w:fill="auto"/>
            <w:tcMar>
              <w:top w:w="40" w:type="dxa"/>
              <w:left w:w="20" w:type="dxa"/>
              <w:bottom w:w="40" w:type="dxa"/>
              <w:right w:w="20" w:type="dxa"/>
            </w:tcMar>
          </w:tcPr>
          <w:p w14:paraId="22CFA0AC" w14:textId="77777777" w:rsidR="002661BA" w:rsidRDefault="00D972BC">
            <w:pPr>
              <w:textAlignment w:val="top"/>
            </w:pPr>
            <w:r>
              <w:rPr>
                <w:rFonts w:ascii="Arial" w:eastAsia="宋体" w:hAnsi="Arial" w:cs="Arial"/>
                <w:color w:val="000000"/>
                <w:sz w:val="20"/>
                <w:szCs w:val="20"/>
              </w:rPr>
              <w:t>Item 11.</w:t>
            </w:r>
          </w:p>
        </w:tc>
        <w:tc>
          <w:tcPr>
            <w:tcW w:w="0" w:type="auto"/>
            <w:gridSpan w:val="3"/>
            <w:shd w:val="clear" w:color="auto" w:fill="auto"/>
            <w:tcMar>
              <w:top w:w="40" w:type="dxa"/>
              <w:left w:w="20" w:type="dxa"/>
              <w:bottom w:w="40" w:type="dxa"/>
              <w:right w:w="20" w:type="dxa"/>
            </w:tcMar>
          </w:tcPr>
          <w:p w14:paraId="22CFA0AD" w14:textId="77777777" w:rsidR="002661BA" w:rsidRDefault="00D972BC">
            <w:pPr>
              <w:textAlignment w:val="top"/>
            </w:pPr>
            <w:r>
              <w:rPr>
                <w:rFonts w:ascii="Arial" w:eastAsia="宋体" w:hAnsi="Arial" w:cs="Arial"/>
                <w:color w:val="000000"/>
                <w:sz w:val="20"/>
                <w:szCs w:val="20"/>
              </w:rPr>
              <w:t>Executive Compensation</w:t>
            </w:r>
          </w:p>
        </w:tc>
        <w:tc>
          <w:tcPr>
            <w:tcW w:w="0" w:type="auto"/>
            <w:gridSpan w:val="3"/>
            <w:shd w:val="clear" w:color="auto" w:fill="auto"/>
            <w:tcMar>
              <w:top w:w="40" w:type="dxa"/>
              <w:left w:w="20" w:type="dxa"/>
              <w:bottom w:w="40" w:type="dxa"/>
              <w:right w:w="20" w:type="dxa"/>
            </w:tcMar>
          </w:tcPr>
          <w:p w14:paraId="22CFA0AE" w14:textId="77777777" w:rsidR="002661BA" w:rsidRDefault="00D972BC">
            <w:pPr>
              <w:jc w:val="center"/>
              <w:textAlignment w:val="top"/>
            </w:pPr>
            <w:hyperlink r:id="rId23" w:anchor="id0d7a71b05ce452ea9fdb54f3cb359c7_88" w:history="1">
              <w:r>
                <w:rPr>
                  <w:rStyle w:val="a5"/>
                  <w:rFonts w:ascii="Arial" w:eastAsia="宋体" w:hAnsi="Arial" w:cs="Arial"/>
                  <w:sz w:val="20"/>
                  <w:szCs w:val="20"/>
                </w:rPr>
                <w:t>53</w:t>
              </w:r>
            </w:hyperlink>
          </w:p>
        </w:tc>
      </w:tr>
      <w:tr w:rsidR="002661BA" w14:paraId="22CFA0B3" w14:textId="77777777">
        <w:trPr>
          <w:jc w:val="center"/>
        </w:trPr>
        <w:tc>
          <w:tcPr>
            <w:tcW w:w="0" w:type="auto"/>
            <w:gridSpan w:val="3"/>
            <w:shd w:val="clear" w:color="auto" w:fill="auto"/>
            <w:tcMar>
              <w:top w:w="40" w:type="dxa"/>
              <w:left w:w="20" w:type="dxa"/>
              <w:bottom w:w="40" w:type="dxa"/>
              <w:right w:w="20" w:type="dxa"/>
            </w:tcMar>
          </w:tcPr>
          <w:p w14:paraId="22CFA0B0" w14:textId="77777777" w:rsidR="002661BA" w:rsidRDefault="00D972BC">
            <w:pPr>
              <w:textAlignment w:val="top"/>
            </w:pPr>
            <w:r>
              <w:rPr>
                <w:rFonts w:ascii="Arial" w:eastAsia="宋体" w:hAnsi="Arial" w:cs="Arial"/>
                <w:color w:val="000000"/>
                <w:sz w:val="20"/>
                <w:szCs w:val="20"/>
              </w:rPr>
              <w:t>Item 12.</w:t>
            </w:r>
          </w:p>
        </w:tc>
        <w:tc>
          <w:tcPr>
            <w:tcW w:w="0" w:type="auto"/>
            <w:gridSpan w:val="3"/>
            <w:shd w:val="clear" w:color="auto" w:fill="auto"/>
            <w:tcMar>
              <w:top w:w="40" w:type="dxa"/>
              <w:left w:w="20" w:type="dxa"/>
              <w:bottom w:w="40" w:type="dxa"/>
              <w:right w:w="20" w:type="dxa"/>
            </w:tcMar>
          </w:tcPr>
          <w:p w14:paraId="22CFA0B1" w14:textId="77777777" w:rsidR="002661BA" w:rsidRDefault="00D972BC">
            <w:pPr>
              <w:textAlignment w:val="top"/>
            </w:pPr>
            <w:r>
              <w:rPr>
                <w:rFonts w:ascii="Arial" w:eastAsia="宋体" w:hAnsi="Arial" w:cs="Arial"/>
                <w:color w:val="000000"/>
                <w:sz w:val="20"/>
                <w:szCs w:val="20"/>
              </w:rPr>
              <w:t>Security Ownership of Certain Beneficial Owners and Management and Related Stockholder Matters</w:t>
            </w:r>
          </w:p>
        </w:tc>
        <w:tc>
          <w:tcPr>
            <w:tcW w:w="0" w:type="auto"/>
            <w:gridSpan w:val="3"/>
            <w:shd w:val="clear" w:color="auto" w:fill="auto"/>
            <w:tcMar>
              <w:top w:w="40" w:type="dxa"/>
              <w:left w:w="20" w:type="dxa"/>
              <w:bottom w:w="40" w:type="dxa"/>
              <w:right w:w="20" w:type="dxa"/>
            </w:tcMar>
          </w:tcPr>
          <w:p w14:paraId="22CFA0B2" w14:textId="77777777" w:rsidR="002661BA" w:rsidRDefault="00D972BC">
            <w:pPr>
              <w:jc w:val="center"/>
              <w:textAlignment w:val="top"/>
            </w:pPr>
            <w:hyperlink r:id="rId24" w:anchor="id0d7a71b05ce452ea9fdb54f3cb359c7_91" w:history="1">
              <w:r>
                <w:rPr>
                  <w:rStyle w:val="a5"/>
                  <w:rFonts w:ascii="Arial" w:eastAsia="宋体" w:hAnsi="Arial" w:cs="Arial"/>
                  <w:sz w:val="20"/>
                  <w:szCs w:val="20"/>
                </w:rPr>
                <w:t>53</w:t>
              </w:r>
            </w:hyperlink>
          </w:p>
        </w:tc>
      </w:tr>
      <w:tr w:rsidR="002661BA" w14:paraId="22CFA0B7" w14:textId="77777777">
        <w:trPr>
          <w:jc w:val="center"/>
        </w:trPr>
        <w:tc>
          <w:tcPr>
            <w:tcW w:w="0" w:type="auto"/>
            <w:gridSpan w:val="3"/>
            <w:shd w:val="clear" w:color="auto" w:fill="auto"/>
            <w:tcMar>
              <w:top w:w="40" w:type="dxa"/>
              <w:left w:w="20" w:type="dxa"/>
              <w:bottom w:w="40" w:type="dxa"/>
              <w:right w:w="20" w:type="dxa"/>
            </w:tcMar>
          </w:tcPr>
          <w:p w14:paraId="22CFA0B4" w14:textId="77777777" w:rsidR="002661BA" w:rsidRDefault="00D972BC">
            <w:pPr>
              <w:textAlignment w:val="top"/>
            </w:pPr>
            <w:r>
              <w:rPr>
                <w:rFonts w:ascii="Arial" w:eastAsia="宋体" w:hAnsi="Arial" w:cs="Arial"/>
                <w:color w:val="000000"/>
                <w:sz w:val="20"/>
                <w:szCs w:val="20"/>
              </w:rPr>
              <w:t xml:space="preserve">Item 13. </w:t>
            </w:r>
          </w:p>
        </w:tc>
        <w:tc>
          <w:tcPr>
            <w:tcW w:w="0" w:type="auto"/>
            <w:gridSpan w:val="3"/>
            <w:shd w:val="clear" w:color="auto" w:fill="auto"/>
            <w:tcMar>
              <w:top w:w="40" w:type="dxa"/>
              <w:left w:w="20" w:type="dxa"/>
              <w:bottom w:w="40" w:type="dxa"/>
              <w:right w:w="20" w:type="dxa"/>
            </w:tcMar>
          </w:tcPr>
          <w:p w14:paraId="22CFA0B5" w14:textId="77777777" w:rsidR="002661BA" w:rsidRDefault="00D972BC">
            <w:pPr>
              <w:textAlignment w:val="top"/>
            </w:pPr>
            <w:r>
              <w:rPr>
                <w:rFonts w:ascii="Arial" w:eastAsia="宋体" w:hAnsi="Arial" w:cs="Arial"/>
                <w:color w:val="000000"/>
                <w:sz w:val="20"/>
                <w:szCs w:val="20"/>
              </w:rPr>
              <w:t>Certain Relationships and Related Transactions, and Director Independence</w:t>
            </w:r>
          </w:p>
        </w:tc>
        <w:tc>
          <w:tcPr>
            <w:tcW w:w="0" w:type="auto"/>
            <w:gridSpan w:val="3"/>
            <w:shd w:val="clear" w:color="auto" w:fill="auto"/>
            <w:tcMar>
              <w:top w:w="40" w:type="dxa"/>
              <w:left w:w="20" w:type="dxa"/>
              <w:bottom w:w="40" w:type="dxa"/>
              <w:right w:w="20" w:type="dxa"/>
            </w:tcMar>
          </w:tcPr>
          <w:p w14:paraId="22CFA0B6" w14:textId="77777777" w:rsidR="002661BA" w:rsidRDefault="00D972BC">
            <w:pPr>
              <w:jc w:val="center"/>
              <w:textAlignment w:val="top"/>
            </w:pPr>
            <w:hyperlink r:id="rId25" w:anchor="id0d7a71b05ce452ea9fdb54f3cb359c7_94" w:history="1">
              <w:r>
                <w:rPr>
                  <w:rStyle w:val="a5"/>
                  <w:rFonts w:ascii="Arial" w:eastAsia="宋体" w:hAnsi="Arial" w:cs="Arial"/>
                  <w:sz w:val="20"/>
                  <w:szCs w:val="20"/>
                </w:rPr>
                <w:t>53</w:t>
              </w:r>
            </w:hyperlink>
          </w:p>
        </w:tc>
      </w:tr>
      <w:tr w:rsidR="002661BA" w14:paraId="22CFA0BB" w14:textId="77777777">
        <w:trPr>
          <w:jc w:val="center"/>
        </w:trPr>
        <w:tc>
          <w:tcPr>
            <w:tcW w:w="0" w:type="auto"/>
            <w:gridSpan w:val="3"/>
            <w:shd w:val="clear" w:color="auto" w:fill="auto"/>
            <w:tcMar>
              <w:top w:w="40" w:type="dxa"/>
              <w:left w:w="20" w:type="dxa"/>
              <w:bottom w:w="40" w:type="dxa"/>
              <w:right w:w="20" w:type="dxa"/>
            </w:tcMar>
          </w:tcPr>
          <w:p w14:paraId="22CFA0B8" w14:textId="77777777" w:rsidR="002661BA" w:rsidRDefault="00D972BC">
            <w:pPr>
              <w:textAlignment w:val="top"/>
            </w:pPr>
            <w:r>
              <w:rPr>
                <w:rFonts w:ascii="Arial" w:eastAsia="宋体" w:hAnsi="Arial" w:cs="Arial"/>
                <w:color w:val="000000"/>
                <w:sz w:val="20"/>
                <w:szCs w:val="20"/>
              </w:rPr>
              <w:t xml:space="preserve">Item 14. </w:t>
            </w:r>
          </w:p>
        </w:tc>
        <w:tc>
          <w:tcPr>
            <w:tcW w:w="0" w:type="auto"/>
            <w:gridSpan w:val="3"/>
            <w:shd w:val="clear" w:color="auto" w:fill="auto"/>
            <w:tcMar>
              <w:top w:w="40" w:type="dxa"/>
              <w:left w:w="20" w:type="dxa"/>
              <w:bottom w:w="40" w:type="dxa"/>
              <w:right w:w="20" w:type="dxa"/>
            </w:tcMar>
          </w:tcPr>
          <w:p w14:paraId="22CFA0B9" w14:textId="77777777" w:rsidR="002661BA" w:rsidRDefault="00D972BC">
            <w:pPr>
              <w:textAlignment w:val="top"/>
            </w:pPr>
            <w:r>
              <w:rPr>
                <w:rFonts w:ascii="Arial" w:eastAsia="宋体" w:hAnsi="Arial" w:cs="Arial"/>
                <w:color w:val="000000"/>
                <w:sz w:val="20"/>
                <w:szCs w:val="20"/>
              </w:rPr>
              <w:t>Principal Accountant Fees and Services</w:t>
            </w:r>
          </w:p>
        </w:tc>
        <w:tc>
          <w:tcPr>
            <w:tcW w:w="0" w:type="auto"/>
            <w:gridSpan w:val="3"/>
            <w:shd w:val="clear" w:color="auto" w:fill="auto"/>
            <w:tcMar>
              <w:top w:w="40" w:type="dxa"/>
              <w:left w:w="20" w:type="dxa"/>
              <w:bottom w:w="40" w:type="dxa"/>
              <w:right w:w="20" w:type="dxa"/>
            </w:tcMar>
          </w:tcPr>
          <w:p w14:paraId="22CFA0BA" w14:textId="77777777" w:rsidR="002661BA" w:rsidRDefault="00D972BC">
            <w:pPr>
              <w:jc w:val="center"/>
              <w:textAlignment w:val="top"/>
            </w:pPr>
            <w:hyperlink r:id="rId26" w:anchor="id0d7a71b05ce452ea9fdb54f3cb359c7_97" w:history="1">
              <w:r>
                <w:rPr>
                  <w:rStyle w:val="a5"/>
                  <w:rFonts w:ascii="Arial" w:eastAsia="宋体" w:hAnsi="Arial" w:cs="Arial"/>
                  <w:sz w:val="20"/>
                  <w:szCs w:val="20"/>
                </w:rPr>
                <w:t>53</w:t>
              </w:r>
            </w:hyperlink>
          </w:p>
        </w:tc>
      </w:tr>
      <w:tr w:rsidR="002661BA" w14:paraId="22CFA0BD" w14:textId="77777777">
        <w:trPr>
          <w:jc w:val="center"/>
        </w:trPr>
        <w:tc>
          <w:tcPr>
            <w:tcW w:w="0" w:type="auto"/>
            <w:gridSpan w:val="9"/>
            <w:shd w:val="clear" w:color="auto" w:fill="auto"/>
            <w:tcMar>
              <w:top w:w="40" w:type="dxa"/>
              <w:left w:w="20" w:type="dxa"/>
              <w:bottom w:w="40" w:type="dxa"/>
              <w:right w:w="20" w:type="dxa"/>
            </w:tcMar>
          </w:tcPr>
          <w:p w14:paraId="22CFA0BC" w14:textId="77777777" w:rsidR="002661BA" w:rsidRDefault="00D972BC">
            <w:pPr>
              <w:jc w:val="center"/>
              <w:textAlignment w:val="top"/>
            </w:pPr>
            <w:r>
              <w:rPr>
                <w:rFonts w:ascii="Arial" w:eastAsia="宋体" w:hAnsi="Arial" w:cs="Arial"/>
                <w:b/>
                <w:bCs/>
                <w:color w:val="000000"/>
                <w:sz w:val="20"/>
                <w:szCs w:val="20"/>
              </w:rPr>
              <w:t>Part IV</w:t>
            </w:r>
          </w:p>
        </w:tc>
      </w:tr>
      <w:tr w:rsidR="002661BA" w14:paraId="22CFA0C1" w14:textId="77777777">
        <w:trPr>
          <w:jc w:val="center"/>
        </w:trPr>
        <w:tc>
          <w:tcPr>
            <w:tcW w:w="0" w:type="auto"/>
            <w:gridSpan w:val="3"/>
            <w:shd w:val="clear" w:color="auto" w:fill="auto"/>
            <w:tcMar>
              <w:top w:w="40" w:type="dxa"/>
              <w:left w:w="20" w:type="dxa"/>
              <w:bottom w:w="40" w:type="dxa"/>
              <w:right w:w="20" w:type="dxa"/>
            </w:tcMar>
          </w:tcPr>
          <w:p w14:paraId="22CFA0BE" w14:textId="77777777" w:rsidR="002661BA" w:rsidRDefault="00D972BC">
            <w:pPr>
              <w:textAlignment w:val="top"/>
            </w:pPr>
            <w:r>
              <w:rPr>
                <w:rFonts w:ascii="Arial" w:eastAsia="宋体" w:hAnsi="Arial" w:cs="Arial"/>
                <w:color w:val="000000"/>
                <w:sz w:val="20"/>
                <w:szCs w:val="20"/>
              </w:rPr>
              <w:t>Item 15.</w:t>
            </w:r>
          </w:p>
        </w:tc>
        <w:tc>
          <w:tcPr>
            <w:tcW w:w="0" w:type="auto"/>
            <w:gridSpan w:val="3"/>
            <w:shd w:val="clear" w:color="auto" w:fill="auto"/>
            <w:tcMar>
              <w:top w:w="40" w:type="dxa"/>
              <w:left w:w="20" w:type="dxa"/>
              <w:bottom w:w="40" w:type="dxa"/>
              <w:right w:w="20" w:type="dxa"/>
            </w:tcMar>
          </w:tcPr>
          <w:p w14:paraId="22CFA0BF" w14:textId="77777777" w:rsidR="002661BA" w:rsidRDefault="00D972BC">
            <w:pPr>
              <w:textAlignment w:val="top"/>
            </w:pPr>
            <w:r>
              <w:rPr>
                <w:rFonts w:ascii="Arial" w:eastAsia="宋体" w:hAnsi="Arial" w:cs="Arial"/>
                <w:color w:val="000000"/>
                <w:sz w:val="20"/>
                <w:szCs w:val="20"/>
              </w:rPr>
              <w:t>Exhibits and Financial Statement Schedule</w:t>
            </w:r>
          </w:p>
        </w:tc>
        <w:tc>
          <w:tcPr>
            <w:tcW w:w="0" w:type="auto"/>
            <w:gridSpan w:val="3"/>
            <w:shd w:val="clear" w:color="auto" w:fill="auto"/>
            <w:tcMar>
              <w:top w:w="40" w:type="dxa"/>
              <w:left w:w="20" w:type="dxa"/>
              <w:bottom w:w="40" w:type="dxa"/>
              <w:right w:w="20" w:type="dxa"/>
            </w:tcMar>
          </w:tcPr>
          <w:p w14:paraId="22CFA0C0" w14:textId="77777777" w:rsidR="002661BA" w:rsidRDefault="00D972BC">
            <w:pPr>
              <w:jc w:val="center"/>
              <w:textAlignment w:val="top"/>
            </w:pPr>
            <w:hyperlink r:id="rId27" w:anchor="id0d7a71b05ce452ea9fdb54f3cb359c7_100" w:history="1">
              <w:r>
                <w:rPr>
                  <w:rStyle w:val="a5"/>
                  <w:rFonts w:ascii="Arial" w:eastAsia="宋体" w:hAnsi="Arial" w:cs="Arial"/>
                  <w:sz w:val="20"/>
                  <w:szCs w:val="20"/>
                </w:rPr>
                <w:t>54</w:t>
              </w:r>
            </w:hyperlink>
          </w:p>
        </w:tc>
      </w:tr>
      <w:tr w:rsidR="002661BA" w14:paraId="22CFA0C5" w14:textId="77777777">
        <w:trPr>
          <w:jc w:val="center"/>
        </w:trPr>
        <w:tc>
          <w:tcPr>
            <w:tcW w:w="0" w:type="auto"/>
            <w:gridSpan w:val="3"/>
            <w:shd w:val="clear" w:color="auto" w:fill="auto"/>
            <w:tcMar>
              <w:top w:w="40" w:type="dxa"/>
              <w:left w:w="20" w:type="dxa"/>
              <w:bottom w:w="40" w:type="dxa"/>
              <w:right w:w="20" w:type="dxa"/>
            </w:tcMar>
          </w:tcPr>
          <w:p w14:paraId="22CFA0C2" w14:textId="77777777" w:rsidR="002661BA" w:rsidRDefault="00D972BC">
            <w:pPr>
              <w:textAlignment w:val="top"/>
            </w:pPr>
            <w:r>
              <w:rPr>
                <w:rFonts w:ascii="Arial" w:eastAsia="宋体" w:hAnsi="Arial" w:cs="Arial"/>
                <w:color w:val="000000"/>
                <w:sz w:val="20"/>
                <w:szCs w:val="20"/>
              </w:rPr>
              <w:t>Item 16.</w:t>
            </w:r>
          </w:p>
        </w:tc>
        <w:tc>
          <w:tcPr>
            <w:tcW w:w="0" w:type="auto"/>
            <w:gridSpan w:val="3"/>
            <w:shd w:val="clear" w:color="auto" w:fill="auto"/>
            <w:tcMar>
              <w:top w:w="40" w:type="dxa"/>
              <w:left w:w="20" w:type="dxa"/>
              <w:bottom w:w="40" w:type="dxa"/>
              <w:right w:w="20" w:type="dxa"/>
            </w:tcMar>
          </w:tcPr>
          <w:p w14:paraId="22CFA0C3" w14:textId="77777777" w:rsidR="002661BA" w:rsidRDefault="00D972BC">
            <w:pPr>
              <w:textAlignment w:val="top"/>
            </w:pPr>
            <w:r>
              <w:rPr>
                <w:rFonts w:ascii="Arial" w:eastAsia="宋体" w:hAnsi="Arial" w:cs="Arial"/>
                <w:color w:val="000000"/>
                <w:sz w:val="20"/>
                <w:szCs w:val="20"/>
              </w:rPr>
              <w:t>Form 10-K Summary</w:t>
            </w:r>
          </w:p>
        </w:tc>
        <w:tc>
          <w:tcPr>
            <w:tcW w:w="0" w:type="auto"/>
            <w:gridSpan w:val="3"/>
            <w:shd w:val="clear" w:color="auto" w:fill="auto"/>
            <w:tcMar>
              <w:top w:w="40" w:type="dxa"/>
              <w:left w:w="20" w:type="dxa"/>
              <w:bottom w:w="40" w:type="dxa"/>
              <w:right w:w="20" w:type="dxa"/>
            </w:tcMar>
          </w:tcPr>
          <w:p w14:paraId="22CFA0C4" w14:textId="77777777" w:rsidR="002661BA" w:rsidRDefault="00D972BC">
            <w:pPr>
              <w:jc w:val="center"/>
              <w:textAlignment w:val="top"/>
            </w:pPr>
            <w:hyperlink r:id="rId28" w:anchor="id0d7a71b05ce452ea9fdb54f3cb359c7_100" w:history="1">
              <w:r>
                <w:rPr>
                  <w:rStyle w:val="a5"/>
                  <w:rFonts w:ascii="Arial" w:eastAsia="宋体" w:hAnsi="Arial" w:cs="Arial"/>
                  <w:sz w:val="20"/>
                  <w:szCs w:val="20"/>
                </w:rPr>
                <w:t>54</w:t>
              </w:r>
            </w:hyperlink>
          </w:p>
        </w:tc>
      </w:tr>
    </w:tbl>
    <w:p w14:paraId="22CFA0C6" w14:textId="77777777" w:rsidR="002661BA" w:rsidRDefault="002661BA"/>
    <w:p w14:paraId="22CFA0C7" w14:textId="77777777" w:rsidR="002661BA" w:rsidRDefault="002661BA"/>
    <w:p w14:paraId="22CFA0C8" w14:textId="77777777" w:rsidR="002661BA" w:rsidRDefault="00D972BC">
      <w:pPr>
        <w:jc w:val="center"/>
      </w:pPr>
      <w:r>
        <w:rPr>
          <w:rFonts w:ascii="Arial" w:eastAsia="宋体" w:hAnsi="Arial" w:cs="Arial"/>
          <w:color w:val="000000"/>
          <w:sz w:val="18"/>
          <w:szCs w:val="18"/>
        </w:rPr>
        <w:t>3</w:t>
      </w:r>
    </w:p>
    <w:p w14:paraId="22CFA0C9" w14:textId="77777777" w:rsidR="002661BA" w:rsidRDefault="00D972BC">
      <w:r>
        <w:pict w14:anchorId="22CFE4B2">
          <v:rect id="_x0000_i1027" style="width:415.3pt;height:1.5pt" o:hralign="center" o:hrstd="t" o:hr="t" fillcolor="#a0a0a0" stroked="f"/>
        </w:pict>
      </w:r>
    </w:p>
    <w:p w14:paraId="22CFA0CA" w14:textId="77777777" w:rsidR="002661BA" w:rsidRDefault="00D972BC">
      <w:hyperlink r:id="rId29" w:anchor="id0d7a71b05ce452ea9fdb54f3cb359c7_7" w:history="1">
        <w:r>
          <w:rPr>
            <w:rStyle w:val="a5"/>
            <w:rFonts w:ascii="Arial" w:eastAsia="宋体" w:hAnsi="Arial" w:cs="Arial"/>
            <w:sz w:val="18"/>
            <w:szCs w:val="18"/>
          </w:rPr>
          <w:t>Table of Co</w:t>
        </w:r>
        <w:r>
          <w:rPr>
            <w:rStyle w:val="a5"/>
            <w:rFonts w:ascii="Arial" w:eastAsia="宋体" w:hAnsi="Arial" w:cs="Arial"/>
            <w:sz w:val="18"/>
            <w:szCs w:val="18"/>
          </w:rPr>
          <w:t>ntents</w:t>
        </w:r>
      </w:hyperlink>
    </w:p>
    <w:p w14:paraId="22CFA0CB" w14:textId="77777777" w:rsidR="002661BA" w:rsidRDefault="00D972BC">
      <w:pPr>
        <w:spacing w:after="100"/>
        <w:jc w:val="center"/>
      </w:pPr>
      <w:r>
        <w:rPr>
          <w:rFonts w:ascii="Arial" w:eastAsia="宋体" w:hAnsi="Arial" w:cs="Arial"/>
          <w:b/>
          <w:bCs/>
          <w:color w:val="000000"/>
          <w:sz w:val="20"/>
          <w:szCs w:val="20"/>
        </w:rPr>
        <w:t xml:space="preserve">PART I </w:t>
      </w:r>
    </w:p>
    <w:p w14:paraId="22CFA0CC" w14:textId="77777777" w:rsidR="002661BA" w:rsidRDefault="00D972BC">
      <w:pPr>
        <w:spacing w:before="100" w:after="100"/>
      </w:pPr>
      <w:r>
        <w:rPr>
          <w:rFonts w:ascii="Arial" w:eastAsia="宋体" w:hAnsi="Arial" w:cs="Arial"/>
          <w:b/>
          <w:bCs/>
          <w:color w:val="000000"/>
          <w:sz w:val="20"/>
          <w:szCs w:val="20"/>
        </w:rPr>
        <w:t xml:space="preserve">FORWARD-LOOKING STATEMENTS </w:t>
      </w:r>
    </w:p>
    <w:p w14:paraId="22CFA0CD" w14:textId="77777777" w:rsidR="002661BA" w:rsidRDefault="00D972BC">
      <w:pPr>
        <w:ind w:firstLine="540"/>
        <w:jc w:val="both"/>
      </w:pPr>
      <w:r>
        <w:rPr>
          <w:rFonts w:ascii="Arial" w:eastAsia="宋体" w:hAnsi="Arial" w:cs="Arial"/>
          <w:i/>
          <w:iCs/>
          <w:color w:val="000000"/>
          <w:sz w:val="20"/>
          <w:szCs w:val="20"/>
        </w:rPr>
        <w:t xml:space="preserve">This Annual Report on Form 10-K contains forward-looking statements within the meaning of Section 27A of the Securities Act of 1933 and Section 21E of the Securities Exchange Act of 1934, including statements that involve expectations, plans or intentions </w:t>
      </w:r>
      <w:r>
        <w:rPr>
          <w:rFonts w:ascii="Arial" w:eastAsia="宋体" w:hAnsi="Arial" w:cs="Arial"/>
          <w:i/>
          <w:iCs/>
          <w:color w:val="000000"/>
          <w:sz w:val="20"/>
          <w:szCs w:val="20"/>
        </w:rPr>
        <w:t>(such as those relating to future business, future results of operations or financial condition, including with respect to the ongoing effects of COVID-19, new or planned features or services, or management strategies). You can identify these forward-looki</w:t>
      </w:r>
      <w:r>
        <w:rPr>
          <w:rFonts w:ascii="Arial" w:eastAsia="宋体" w:hAnsi="Arial" w:cs="Arial"/>
          <w:i/>
          <w:iCs/>
          <w:color w:val="000000"/>
          <w:sz w:val="20"/>
          <w:szCs w:val="20"/>
        </w:rPr>
        <w:t>ng statements by words such as “may,” “will,” “would,” “should,” “could,” “expect,” “anticipate,” “believe,” “estimate,” “intend,” “plan” and other similar expressions. These forward-looking statements involve risks and uncertainties that could cause our a</w:t>
      </w:r>
      <w:r>
        <w:rPr>
          <w:rFonts w:ascii="Arial" w:eastAsia="宋体" w:hAnsi="Arial" w:cs="Arial"/>
          <w:i/>
          <w:iCs/>
          <w:color w:val="000000"/>
          <w:sz w:val="20"/>
          <w:szCs w:val="20"/>
        </w:rPr>
        <w:t>ctual results to differ materially from those expressed or implied in our forward-looking statements. Such risks and uncertainties include, among others, those discussed in “Item 1A: Risk Factors” of this Annual Report on Form 10-K, as well as in our conso</w:t>
      </w:r>
      <w:r>
        <w:rPr>
          <w:rFonts w:ascii="Arial" w:eastAsia="宋体" w:hAnsi="Arial" w:cs="Arial"/>
          <w:i/>
          <w:iCs/>
          <w:color w:val="000000"/>
          <w:sz w:val="20"/>
          <w:szCs w:val="20"/>
        </w:rPr>
        <w:t>lidated financial statements, related notes, and the other information appearing elsewhere in this report and our other filings with the Securities and Exchange Commission (“SEC”). We do not intend, and undertake no obligation, to update any of our forward</w:t>
      </w:r>
      <w:r>
        <w:rPr>
          <w:rFonts w:ascii="Arial" w:eastAsia="宋体" w:hAnsi="Arial" w:cs="Arial"/>
          <w:i/>
          <w:iCs/>
          <w:color w:val="000000"/>
          <w:sz w:val="20"/>
          <w:szCs w:val="20"/>
        </w:rPr>
        <w:t xml:space="preserve">-looking statements after the date of this report to reflect actual results or future events or circumstances. Given these risks and uncertainties, readers are cautioned not to place undue reliance on such forward-looking statements. </w:t>
      </w:r>
    </w:p>
    <w:p w14:paraId="22CFA0CE" w14:textId="77777777" w:rsidR="002661BA" w:rsidRDefault="002661BA"/>
    <w:p w14:paraId="22CFA0CF" w14:textId="77777777" w:rsidR="002661BA" w:rsidRDefault="00D972BC">
      <w:pPr>
        <w:ind w:hanging="1440"/>
        <w:jc w:val="both"/>
      </w:pPr>
      <w:r>
        <w:rPr>
          <w:rFonts w:ascii="Arial" w:eastAsia="宋体" w:hAnsi="Arial" w:cs="Arial"/>
          <w:b/>
          <w:bCs/>
          <w:color w:val="000000"/>
          <w:sz w:val="20"/>
          <w:szCs w:val="20"/>
        </w:rPr>
        <w:t xml:space="preserve">ITEM 1: </w:t>
      </w:r>
      <w:r>
        <w:rPr>
          <w:rFonts w:ascii="Arial" w:eastAsia="宋体" w:hAnsi="Arial" w:cs="Arial"/>
          <w:b/>
          <w:bCs/>
          <w:i/>
          <w:iCs/>
          <w:color w:val="000000"/>
          <w:sz w:val="20"/>
          <w:szCs w:val="20"/>
        </w:rPr>
        <w:t xml:space="preserve">BUSINESS </w:t>
      </w:r>
    </w:p>
    <w:p w14:paraId="22CFA0D0" w14:textId="77777777" w:rsidR="002661BA" w:rsidRDefault="002661BA">
      <w:pPr>
        <w:ind w:hanging="1440"/>
        <w:jc w:val="both"/>
      </w:pPr>
    </w:p>
    <w:p w14:paraId="22CFA0D1" w14:textId="77777777" w:rsidR="002661BA" w:rsidRDefault="00D972BC">
      <w:pPr>
        <w:ind w:firstLine="270"/>
        <w:jc w:val="both"/>
      </w:pPr>
      <w:r>
        <w:rPr>
          <w:rFonts w:ascii="Arial" w:eastAsia="宋体" w:hAnsi="Arial" w:cs="Arial"/>
          <w:b/>
          <w:bCs/>
          <w:i/>
          <w:iCs/>
          <w:color w:val="000000"/>
          <w:sz w:val="20"/>
          <w:szCs w:val="20"/>
        </w:rPr>
        <w:t>O</w:t>
      </w:r>
      <w:r>
        <w:rPr>
          <w:rFonts w:ascii="Arial" w:eastAsia="宋体" w:hAnsi="Arial" w:cs="Arial"/>
          <w:b/>
          <w:bCs/>
          <w:i/>
          <w:iCs/>
          <w:color w:val="000000"/>
          <w:sz w:val="20"/>
          <w:szCs w:val="20"/>
        </w:rPr>
        <w:t>verview</w:t>
      </w:r>
    </w:p>
    <w:p w14:paraId="22CFA0D2" w14:textId="77777777" w:rsidR="002661BA" w:rsidRDefault="002661BA">
      <w:pPr>
        <w:ind w:firstLine="540"/>
        <w:jc w:val="both"/>
      </w:pPr>
    </w:p>
    <w:p w14:paraId="22CFA0D3" w14:textId="77777777" w:rsidR="002661BA" w:rsidRDefault="00D972BC">
      <w:pPr>
        <w:ind w:firstLine="540"/>
        <w:jc w:val="both"/>
      </w:pPr>
      <w:r>
        <w:rPr>
          <w:rFonts w:ascii="Arial" w:eastAsia="宋体" w:hAnsi="Arial" w:cs="Arial"/>
          <w:color w:val="000000"/>
          <w:sz w:val="20"/>
          <w:szCs w:val="20"/>
        </w:rPr>
        <w:t xml:space="preserve">eBay Inc. was formed as a sole proprietorship in September 1995 and was incorporated in California in May 1996. In April 1998, we reincorporated in Delaware, and in September 1998, we completed the initial public offering of our common stock. Our </w:t>
      </w:r>
      <w:r>
        <w:rPr>
          <w:rFonts w:ascii="Arial" w:eastAsia="宋体" w:hAnsi="Arial" w:cs="Arial"/>
          <w:color w:val="000000"/>
          <w:sz w:val="20"/>
          <w:szCs w:val="20"/>
        </w:rPr>
        <w:t xml:space="preserve">principal executive offices are located at 2025 Hamilton Avenue, San Jose, California, 95125, and our telephone number is (408) 376-7008. Unless otherwise expressly stated or the context otherwise requires, when we refer to “we,” “our,” “us,” or “eBay” in </w:t>
      </w:r>
      <w:r>
        <w:rPr>
          <w:rFonts w:ascii="Arial" w:eastAsia="宋体" w:hAnsi="Arial" w:cs="Arial"/>
          <w:color w:val="000000"/>
          <w:sz w:val="20"/>
          <w:szCs w:val="20"/>
        </w:rPr>
        <w:t xml:space="preserve">this annual report on Form 10-K, we mean eBay Inc. and its consolidated subsidiaries. </w:t>
      </w:r>
    </w:p>
    <w:p w14:paraId="22CFA0D4" w14:textId="77777777" w:rsidR="002661BA" w:rsidRDefault="002661BA">
      <w:pPr>
        <w:ind w:firstLine="540"/>
        <w:jc w:val="both"/>
      </w:pPr>
    </w:p>
    <w:p w14:paraId="22CFA0D5" w14:textId="77777777" w:rsidR="002661BA" w:rsidRDefault="00D972BC">
      <w:pPr>
        <w:ind w:firstLine="540"/>
        <w:jc w:val="both"/>
      </w:pPr>
      <w:r>
        <w:rPr>
          <w:rFonts w:ascii="Arial" w:eastAsia="宋体" w:hAnsi="Arial" w:cs="Arial"/>
          <w:color w:val="000000"/>
          <w:sz w:val="20"/>
          <w:szCs w:val="20"/>
        </w:rPr>
        <w:t>eBay is a global commerce leader through our Marketplace platforms which connect millions of buyers and sellers in more than 190 markets around the world. The platforms</w:t>
      </w:r>
      <w:r>
        <w:rPr>
          <w:rFonts w:ascii="Arial" w:eastAsia="宋体" w:hAnsi="Arial" w:cs="Arial"/>
          <w:color w:val="000000"/>
          <w:sz w:val="20"/>
          <w:szCs w:val="20"/>
        </w:rPr>
        <w:t xml:space="preserve"> include our online marketplace located at www.ebay.com and its localized counterparts, including off-platform businesses in Japan and Turkey, as well as eBay’s suite of mobile apps. Our platforms are accessible through an online experience (e.g. desktop a</w:t>
      </w:r>
      <w:r>
        <w:rPr>
          <w:rFonts w:ascii="Arial" w:eastAsia="宋体" w:hAnsi="Arial" w:cs="Arial"/>
          <w:color w:val="000000"/>
          <w:sz w:val="20"/>
          <w:szCs w:val="20"/>
        </w:rPr>
        <w:t>nd laptop computers), iOS and Android mobile devices (e.g. smartphones and tablets) and our application programming interfaces (“APIs,” platform access for third party software developers).</w:t>
      </w:r>
    </w:p>
    <w:p w14:paraId="22CFA0D6" w14:textId="77777777" w:rsidR="002661BA" w:rsidRDefault="002661BA">
      <w:pPr>
        <w:ind w:firstLine="540"/>
        <w:jc w:val="both"/>
      </w:pPr>
    </w:p>
    <w:p w14:paraId="22CFA0D7" w14:textId="77777777" w:rsidR="002661BA" w:rsidRDefault="00D972BC">
      <w:pPr>
        <w:ind w:firstLine="540"/>
        <w:jc w:val="both"/>
      </w:pPr>
      <w:r>
        <w:rPr>
          <w:rFonts w:ascii="Arial" w:eastAsia="宋体" w:hAnsi="Arial" w:cs="Arial"/>
          <w:color w:val="000000"/>
          <w:sz w:val="20"/>
          <w:szCs w:val="20"/>
        </w:rPr>
        <w:t>Notably, on June 24 , 2021, we completed the sale of our Classifi</w:t>
      </w:r>
      <w:r>
        <w:rPr>
          <w:rFonts w:ascii="Arial" w:eastAsia="宋体" w:hAnsi="Arial" w:cs="Arial"/>
          <w:color w:val="000000"/>
          <w:sz w:val="20"/>
          <w:szCs w:val="20"/>
        </w:rPr>
        <w:t>eds business to Adevinta ASA (“Adevinta”) for $2.5 billion in cash, subject to certain adjustments, and 540 million Adevinta shares, and on November 18, 2021, eBay completed the sale of approximately 135 million shares of Adevinta to Astinlux Finco S.a.r.l</w:t>
      </w:r>
      <w:r>
        <w:rPr>
          <w:rFonts w:ascii="Arial" w:eastAsia="宋体" w:hAnsi="Arial" w:cs="Arial"/>
          <w:color w:val="000000"/>
          <w:sz w:val="20"/>
          <w:szCs w:val="20"/>
        </w:rPr>
        <w:t xml:space="preserve">. (“Permira”) for approximately $2.3 billion in cash. Further, on November 14, 2021, we completed the sale of 80.01% of our ownership stake in eBay Korea LLC to E-mart Inc. (“Emart”) for approximately $3.0 billion of gross cash proceeds subject to certain </w:t>
      </w:r>
      <w:r>
        <w:rPr>
          <w:rFonts w:ascii="Arial" w:eastAsia="宋体" w:hAnsi="Arial" w:cs="Arial"/>
          <w:color w:val="000000"/>
          <w:sz w:val="20"/>
          <w:szCs w:val="20"/>
        </w:rPr>
        <w:t>adjustments.</w:t>
      </w:r>
    </w:p>
    <w:p w14:paraId="22CFA0D8" w14:textId="77777777" w:rsidR="002661BA" w:rsidRDefault="002661BA">
      <w:pPr>
        <w:ind w:firstLine="540"/>
        <w:jc w:val="both"/>
      </w:pPr>
    </w:p>
    <w:p w14:paraId="22CFA0D9" w14:textId="77777777" w:rsidR="002661BA" w:rsidRDefault="00D972BC">
      <w:pPr>
        <w:ind w:firstLine="270"/>
      </w:pPr>
      <w:r>
        <w:rPr>
          <w:rFonts w:ascii="Arial" w:eastAsia="宋体" w:hAnsi="Arial" w:cs="Arial"/>
          <w:b/>
          <w:bCs/>
          <w:i/>
          <w:iCs/>
          <w:color w:val="000000"/>
          <w:sz w:val="20"/>
          <w:szCs w:val="20"/>
        </w:rPr>
        <w:t>Our Strategy</w:t>
      </w:r>
    </w:p>
    <w:p w14:paraId="22CFA0DA" w14:textId="77777777" w:rsidR="002661BA" w:rsidRDefault="002661BA">
      <w:pPr>
        <w:jc w:val="both"/>
      </w:pPr>
    </w:p>
    <w:p w14:paraId="22CFA0DB" w14:textId="77777777" w:rsidR="002661BA" w:rsidRDefault="00D972BC">
      <w:pPr>
        <w:ind w:firstLine="540"/>
        <w:jc w:val="both"/>
      </w:pPr>
      <w:r>
        <w:rPr>
          <w:rFonts w:ascii="Arial" w:eastAsia="宋体" w:hAnsi="Arial" w:cs="Arial"/>
          <w:color w:val="000000"/>
          <w:sz w:val="20"/>
          <w:szCs w:val="20"/>
        </w:rPr>
        <w:t>As a global commerce leader and third-party marketplace, our technologies and services are designed to provide buyers choice and a breadth of relevant inventory from around the globe, and to enable sellers’ access to eBay’s 147 </w:t>
      </w:r>
      <w:r>
        <w:rPr>
          <w:rFonts w:ascii="Arial" w:eastAsia="宋体" w:hAnsi="Arial" w:cs="Arial"/>
          <w:color w:val="000000"/>
          <w:sz w:val="20"/>
          <w:szCs w:val="20"/>
        </w:rPr>
        <w:t xml:space="preserve">million buyers worldwide. Our business model and pricing are designed so that our business is successful when our sellers are successful. We earn revenue primarily through fees collected on paid sales, payment processing and first-party advertising. </w:t>
      </w:r>
    </w:p>
    <w:p w14:paraId="22CFA0DC" w14:textId="77777777" w:rsidR="002661BA" w:rsidRDefault="002661BA">
      <w:pPr>
        <w:ind w:firstLine="540"/>
        <w:jc w:val="both"/>
      </w:pPr>
    </w:p>
    <w:p w14:paraId="22CFA0DD" w14:textId="77777777" w:rsidR="002661BA" w:rsidRDefault="00D972BC">
      <w:pPr>
        <w:ind w:firstLine="540"/>
        <w:jc w:val="both"/>
      </w:pPr>
      <w:r>
        <w:rPr>
          <w:rFonts w:ascii="Arial" w:eastAsia="宋体" w:hAnsi="Arial" w:cs="Arial"/>
          <w:color w:val="000000"/>
          <w:sz w:val="20"/>
          <w:szCs w:val="20"/>
        </w:rPr>
        <w:t>eBay</w:t>
      </w:r>
      <w:r>
        <w:rPr>
          <w:rFonts w:ascii="Arial" w:eastAsia="宋体" w:hAnsi="Arial" w:cs="Arial"/>
          <w:color w:val="000000"/>
          <w:sz w:val="20"/>
          <w:szCs w:val="20"/>
        </w:rPr>
        <w:t>’s strategy is to leverage technology to enhance the marketplace experience for our customers to drive growth in Gross Merchandise Volume (“GMV”), while increasing the rate of revenue growth through our managed payments and advertising initiatives and deli</w:t>
      </w:r>
      <w:r>
        <w:rPr>
          <w:rFonts w:ascii="Arial" w:eastAsia="宋体" w:hAnsi="Arial" w:cs="Arial"/>
          <w:color w:val="000000"/>
          <w:sz w:val="20"/>
          <w:szCs w:val="20"/>
        </w:rPr>
        <w:t>vering healthy operating margins. In 2020, we embarked on a multi-year journey to build more compelling category experiences for enthusiastic consumers, to become the partner of choice for sellers and to strengthen trust in relationships with buyers on our</w:t>
      </w:r>
      <w:r>
        <w:rPr>
          <w:rFonts w:ascii="Arial" w:eastAsia="宋体" w:hAnsi="Arial" w:cs="Arial"/>
          <w:color w:val="000000"/>
          <w:sz w:val="20"/>
          <w:szCs w:val="20"/>
        </w:rPr>
        <w:t xml:space="preserve"> platforms. We derived a majority of GMV in 2021 from the following product categories — parts &amp; accessories, consumer electronics and home &amp; garden.</w:t>
      </w:r>
    </w:p>
    <w:p w14:paraId="22CFA0DE" w14:textId="77777777" w:rsidR="002661BA" w:rsidRDefault="002661BA">
      <w:pPr>
        <w:ind w:firstLine="540"/>
        <w:jc w:val="both"/>
      </w:pPr>
    </w:p>
    <w:p w14:paraId="22CFA0DF" w14:textId="77777777" w:rsidR="002661BA" w:rsidRDefault="00D972BC">
      <w:pPr>
        <w:jc w:val="center"/>
      </w:pPr>
      <w:r>
        <w:rPr>
          <w:rFonts w:ascii="Arial" w:eastAsia="宋体" w:hAnsi="Arial" w:cs="Arial"/>
          <w:color w:val="000000"/>
          <w:sz w:val="18"/>
          <w:szCs w:val="18"/>
        </w:rPr>
        <w:t>4</w:t>
      </w:r>
    </w:p>
    <w:p w14:paraId="22CFA0E0" w14:textId="77777777" w:rsidR="002661BA" w:rsidRDefault="00D972BC">
      <w:r>
        <w:pict w14:anchorId="22CFE4B3">
          <v:rect id="_x0000_i1028" style="width:415.3pt;height:1.5pt" o:hralign="center" o:hrstd="t" o:hr="t" fillcolor="#a0a0a0" stroked="f"/>
        </w:pict>
      </w:r>
    </w:p>
    <w:p w14:paraId="22CFA0E1" w14:textId="77777777" w:rsidR="002661BA" w:rsidRDefault="00D972BC">
      <w:hyperlink r:id="rId30" w:anchor="id0d7a71b05ce452ea9fdb54f3cb359c7_7" w:history="1">
        <w:r>
          <w:rPr>
            <w:rStyle w:val="a5"/>
            <w:rFonts w:ascii="Arial" w:eastAsia="宋体" w:hAnsi="Arial" w:cs="Arial"/>
            <w:sz w:val="18"/>
            <w:szCs w:val="18"/>
          </w:rPr>
          <w:t>Table of Contents</w:t>
        </w:r>
      </w:hyperlink>
    </w:p>
    <w:p w14:paraId="22CFA0E2" w14:textId="77777777" w:rsidR="002661BA" w:rsidRDefault="00D972BC">
      <w:pPr>
        <w:ind w:firstLine="540"/>
        <w:jc w:val="both"/>
      </w:pPr>
      <w:r>
        <w:rPr>
          <w:rFonts w:ascii="Arial" w:eastAsia="宋体" w:hAnsi="Arial" w:cs="Arial"/>
          <w:color w:val="000000"/>
          <w:sz w:val="20"/>
          <w:szCs w:val="20"/>
        </w:rPr>
        <w:t>During 2021, we completed the migration of eBay’s managed payments in all markets, delivering buyers and sellers a simplified end-to-end payments experience. Through managed payments, we are able to provide a frictionless experience for current and next-ge</w:t>
      </w:r>
      <w:r>
        <w:rPr>
          <w:rFonts w:ascii="Arial" w:eastAsia="宋体" w:hAnsi="Arial" w:cs="Arial"/>
          <w:color w:val="000000"/>
          <w:sz w:val="20"/>
          <w:szCs w:val="20"/>
        </w:rPr>
        <w:t xml:space="preserve">neration customers, consistent with today’s retail standards. We offer buyers more flexibility and choice in how they’d like to pay and offer sellers a more streamlined way to run their businesses. </w:t>
      </w:r>
    </w:p>
    <w:p w14:paraId="22CFA0E3" w14:textId="77777777" w:rsidR="002661BA" w:rsidRDefault="002661BA"/>
    <w:p w14:paraId="22CFA0E4" w14:textId="77777777" w:rsidR="002661BA" w:rsidRDefault="00D972BC">
      <w:pPr>
        <w:ind w:firstLine="540"/>
        <w:jc w:val="both"/>
      </w:pPr>
      <w:r>
        <w:rPr>
          <w:rFonts w:ascii="Arial" w:eastAsia="宋体" w:hAnsi="Arial" w:cs="Arial"/>
          <w:color w:val="000000"/>
          <w:sz w:val="20"/>
          <w:szCs w:val="20"/>
        </w:rPr>
        <w:t xml:space="preserve">Our advertising business remains focused on growing our </w:t>
      </w:r>
      <w:r>
        <w:rPr>
          <w:rFonts w:ascii="Arial" w:eastAsia="宋体" w:hAnsi="Arial" w:cs="Arial"/>
          <w:color w:val="000000"/>
          <w:sz w:val="20"/>
          <w:szCs w:val="20"/>
        </w:rPr>
        <w:t>Promoted Listings offerings (our first-party advertising products) while reducing non-strategic, third-party advertising. In 2021, we launched three new products: Promoted Listings Express (a cost-per-acquisition product for auction listings), Promoted Lis</w:t>
      </w:r>
      <w:r>
        <w:rPr>
          <w:rFonts w:ascii="Arial" w:eastAsia="宋体" w:hAnsi="Arial" w:cs="Arial"/>
          <w:color w:val="000000"/>
          <w:sz w:val="20"/>
          <w:szCs w:val="20"/>
        </w:rPr>
        <w:t>tings Advanced (a cost-per-click product) and External Promoted Listings (an off-platform advertising product). These new products complement our existing first-party advertising offering, Promoted Listings Standard (a cost-per-acquisition product for fixe</w:t>
      </w:r>
      <w:r>
        <w:rPr>
          <w:rFonts w:ascii="Arial" w:eastAsia="宋体" w:hAnsi="Arial" w:cs="Arial"/>
          <w:color w:val="000000"/>
          <w:sz w:val="20"/>
          <w:szCs w:val="20"/>
        </w:rPr>
        <w:t>d-priced listings). Through our portfolio of Promoted Listings offerings, we are providing sellers with data-driven recommendations to optimize their conversion and drive velocity, while testing and building more technology features to drive growth, positi</w:t>
      </w:r>
      <w:r>
        <w:rPr>
          <w:rFonts w:ascii="Arial" w:eastAsia="宋体" w:hAnsi="Arial" w:cs="Arial"/>
          <w:color w:val="000000"/>
          <w:sz w:val="20"/>
          <w:szCs w:val="20"/>
        </w:rPr>
        <w:t xml:space="preserve">on eBay as the seller’s platform of choice and surface relevant inventory to buyers. </w:t>
      </w:r>
    </w:p>
    <w:p w14:paraId="22CFA0E5" w14:textId="77777777" w:rsidR="002661BA" w:rsidRDefault="002661BA"/>
    <w:p w14:paraId="22CFA0E6" w14:textId="77777777" w:rsidR="002661BA" w:rsidRDefault="00D972BC">
      <w:pPr>
        <w:ind w:firstLine="270"/>
        <w:jc w:val="both"/>
      </w:pPr>
      <w:r>
        <w:rPr>
          <w:rFonts w:ascii="Arial" w:eastAsia="宋体" w:hAnsi="Arial" w:cs="Arial"/>
          <w:b/>
          <w:bCs/>
          <w:i/>
          <w:iCs/>
          <w:color w:val="000000"/>
          <w:sz w:val="20"/>
          <w:szCs w:val="20"/>
        </w:rPr>
        <w:t>Our Customer Offerings</w:t>
      </w:r>
    </w:p>
    <w:p w14:paraId="22CFA0E7" w14:textId="77777777" w:rsidR="002661BA" w:rsidRDefault="002661BA">
      <w:pPr>
        <w:jc w:val="both"/>
      </w:pPr>
    </w:p>
    <w:p w14:paraId="22CFA0E8" w14:textId="77777777" w:rsidR="002661BA" w:rsidRDefault="00D972BC">
      <w:pPr>
        <w:ind w:firstLine="540"/>
        <w:jc w:val="both"/>
      </w:pPr>
      <w:r>
        <w:rPr>
          <w:rFonts w:ascii="Arial" w:eastAsia="宋体" w:hAnsi="Arial" w:cs="Arial"/>
          <w:color w:val="000000"/>
          <w:sz w:val="20"/>
          <w:szCs w:val="20"/>
        </w:rPr>
        <w:t>We provide a number of features for our sellers and buyers that align with our approach to becoming the partner of choice for sellers and building life-long, trusted buyer relationships. These offerings are designed to build trust and confidence on our pla</w:t>
      </w:r>
      <w:r>
        <w:rPr>
          <w:rFonts w:ascii="Arial" w:eastAsia="宋体" w:hAnsi="Arial" w:cs="Arial"/>
          <w:color w:val="000000"/>
          <w:sz w:val="20"/>
          <w:szCs w:val="20"/>
        </w:rPr>
        <w:t xml:space="preserve">tform and drive GMV. </w:t>
      </w:r>
    </w:p>
    <w:p w14:paraId="22CFA0E9" w14:textId="77777777" w:rsidR="002661BA" w:rsidRDefault="002661BA">
      <w:pPr>
        <w:ind w:firstLine="540"/>
        <w:jc w:val="both"/>
      </w:pPr>
    </w:p>
    <w:p w14:paraId="22CFA0EA" w14:textId="77777777" w:rsidR="002661BA" w:rsidRDefault="00D972BC">
      <w:pPr>
        <w:ind w:firstLine="540"/>
        <w:jc w:val="both"/>
      </w:pPr>
      <w:r>
        <w:rPr>
          <w:rFonts w:ascii="Arial" w:eastAsia="宋体" w:hAnsi="Arial" w:cs="Arial"/>
          <w:color w:val="000000"/>
          <w:sz w:val="20"/>
          <w:szCs w:val="20"/>
        </w:rPr>
        <w:t>To become the partner of choice for sellers, eBay continuously invests in technology to enhance the selling experience and products to grow the seller tools ecosystem. The new unified listing experience offers an intuitive and cohesi</w:t>
      </w:r>
      <w:r>
        <w:rPr>
          <w:rFonts w:ascii="Arial" w:eastAsia="宋体" w:hAnsi="Arial" w:cs="Arial"/>
          <w:color w:val="000000"/>
          <w:sz w:val="20"/>
          <w:szCs w:val="20"/>
        </w:rPr>
        <w:t xml:space="preserve">ve design across all platforms — desktop, mobile and app — simplifying the listing flow and enhancing seller benefits. Using computer vision technology, we launched a tool that allows sellers to scan select trading cards using eBay’s mobile apps to create </w:t>
      </w:r>
      <w:r>
        <w:rPr>
          <w:rFonts w:ascii="Arial" w:eastAsia="宋体" w:hAnsi="Arial" w:cs="Arial"/>
          <w:color w:val="000000"/>
          <w:sz w:val="20"/>
          <w:szCs w:val="20"/>
        </w:rPr>
        <w:t xml:space="preserve">a listing in less time. eBay expanded the Promoted Listings offerings to make it easier for sellers to drive velocity. We also launched personalized tools, such as coded coupons, to support a richer online seller experience. Coded coupons make it possible </w:t>
      </w:r>
      <w:r>
        <w:rPr>
          <w:rFonts w:ascii="Arial" w:eastAsia="宋体" w:hAnsi="Arial" w:cs="Arial"/>
          <w:color w:val="000000"/>
          <w:sz w:val="20"/>
          <w:szCs w:val="20"/>
        </w:rPr>
        <w:t>for sellers to personalize and distribute offers to their target customers, and 6.2 million unique buyers have made purchases using coded coupons and 69 thousand sellers have made sales with the use of coded coupons since launching in early 2021. In additi</w:t>
      </w:r>
      <w:r>
        <w:rPr>
          <w:rFonts w:ascii="Arial" w:eastAsia="宋体" w:hAnsi="Arial" w:cs="Arial"/>
          <w:color w:val="000000"/>
          <w:sz w:val="20"/>
          <w:szCs w:val="20"/>
        </w:rPr>
        <w:t>on, all Seller Hub users are able to access Terapeak Product Research for free across a number of our markets — U.S., U.K., Germany, Australia, France, Italy, Spain and Canada — providing pricing insights and listing quality reports without any barriers.</w:t>
      </w:r>
    </w:p>
    <w:p w14:paraId="22CFA0EB" w14:textId="77777777" w:rsidR="002661BA" w:rsidRDefault="002661BA">
      <w:pPr>
        <w:ind w:firstLine="540"/>
        <w:jc w:val="both"/>
      </w:pPr>
    </w:p>
    <w:p w14:paraId="22CFA0EC" w14:textId="77777777" w:rsidR="002661BA" w:rsidRDefault="00D972BC">
      <w:pPr>
        <w:ind w:firstLine="540"/>
        <w:jc w:val="both"/>
      </w:pPr>
      <w:r>
        <w:rPr>
          <w:rFonts w:ascii="Arial" w:eastAsia="宋体" w:hAnsi="Arial" w:cs="Arial"/>
          <w:color w:val="000000"/>
          <w:sz w:val="20"/>
          <w:szCs w:val="20"/>
        </w:rPr>
        <w:t>In order to further strengthen our buyers’ confidence and trust in our services, we offer “eBay Money Back Guarantee,” which allows buyers to receive their money back if the item they ordered does not arrive, is faulty or damaged or does not match the list</w:t>
      </w:r>
      <w:r>
        <w:rPr>
          <w:rFonts w:ascii="Arial" w:eastAsia="宋体" w:hAnsi="Arial" w:cs="Arial"/>
          <w:color w:val="000000"/>
          <w:sz w:val="20"/>
          <w:szCs w:val="20"/>
        </w:rPr>
        <w:t xml:space="preserve">ing. eBay Money Back Guarantee covers most items purchased on the eBay platform in the U.S., the U.K., Germany, Australia, Canada, France, Italy and Spain through a qualifying payment method. In 2021, eBay expanded "Authenticity Guarantee," an independent </w:t>
      </w:r>
      <w:r>
        <w:rPr>
          <w:rFonts w:ascii="Arial" w:eastAsia="宋体" w:hAnsi="Arial" w:cs="Arial"/>
          <w:color w:val="000000"/>
          <w:sz w:val="20"/>
          <w:szCs w:val="20"/>
        </w:rPr>
        <w:t>authentication service, to more luxury categories and more markets. We now authenticate watches sold over $2,000 in the U.S., the U.K. and Germany; select sneakers sold over $100 in the U.S., U.K., Germany, Australia and Canada; and select handbags sold ov</w:t>
      </w:r>
      <w:r>
        <w:rPr>
          <w:rFonts w:ascii="Arial" w:eastAsia="宋体" w:hAnsi="Arial" w:cs="Arial"/>
          <w:color w:val="000000"/>
          <w:sz w:val="20"/>
          <w:szCs w:val="20"/>
        </w:rPr>
        <w:t>er $500 in the U.S. Additionally, to meet consumer demand for top products, we expanded our eBay Refurbished offering, a dedicated destination that brings inventory from pre-selected brands and top rated sellers with standardized condition grading.</w:t>
      </w:r>
    </w:p>
    <w:p w14:paraId="22CFA0ED" w14:textId="77777777" w:rsidR="002661BA" w:rsidRDefault="002661BA">
      <w:pPr>
        <w:ind w:firstLine="540"/>
        <w:jc w:val="both"/>
      </w:pPr>
    </w:p>
    <w:p w14:paraId="22CFA0EE" w14:textId="77777777" w:rsidR="002661BA" w:rsidRDefault="00D972BC">
      <w:pPr>
        <w:ind w:firstLine="540"/>
        <w:jc w:val="both"/>
      </w:pPr>
      <w:r>
        <w:rPr>
          <w:rFonts w:ascii="Arial" w:eastAsia="宋体" w:hAnsi="Arial" w:cs="Arial"/>
          <w:color w:val="000000"/>
          <w:sz w:val="20"/>
          <w:szCs w:val="20"/>
        </w:rPr>
        <w:t>eBay a</w:t>
      </w:r>
      <w:r>
        <w:rPr>
          <w:rFonts w:ascii="Arial" w:eastAsia="宋体" w:hAnsi="Arial" w:cs="Arial"/>
          <w:color w:val="000000"/>
          <w:sz w:val="20"/>
          <w:szCs w:val="20"/>
        </w:rPr>
        <w:t>lso invests in product experiences that delight our customers and enhance the buying experience for our enthusiasts. Our Collection tool allows enthusiasts to view, manage and to track the value of their trading card collection. eBay has increased the tool</w:t>
      </w:r>
      <w:r>
        <w:rPr>
          <w:rFonts w:ascii="Arial" w:eastAsia="宋体" w:hAnsi="Arial" w:cs="Arial"/>
          <w:color w:val="000000"/>
          <w:sz w:val="20"/>
          <w:szCs w:val="20"/>
        </w:rPr>
        <w:t>s available for our Motors enthusiasts by expanding the My Garage feature to Canada, Italy, France and Spain and adding a motorcycle parts finder to the fitment shopping experience. In the U.S., we added our entire parts and accessories inventory to the eB</w:t>
      </w:r>
      <w:r>
        <w:rPr>
          <w:rFonts w:ascii="Arial" w:eastAsia="宋体" w:hAnsi="Arial" w:cs="Arial"/>
          <w:color w:val="000000"/>
          <w:sz w:val="20"/>
          <w:szCs w:val="20"/>
        </w:rPr>
        <w:t>ay Motors app, making it easier to find the most relevant inventory.</w:t>
      </w:r>
    </w:p>
    <w:p w14:paraId="22CFA0EF" w14:textId="77777777" w:rsidR="002661BA" w:rsidRDefault="002661BA">
      <w:pPr>
        <w:ind w:firstLine="540"/>
        <w:jc w:val="both"/>
      </w:pPr>
    </w:p>
    <w:p w14:paraId="22CFA0F0" w14:textId="77777777" w:rsidR="002661BA" w:rsidRDefault="00D972BC">
      <w:pPr>
        <w:jc w:val="center"/>
      </w:pPr>
      <w:r>
        <w:rPr>
          <w:rFonts w:ascii="Arial" w:eastAsia="宋体" w:hAnsi="Arial" w:cs="Arial"/>
          <w:color w:val="000000"/>
          <w:sz w:val="18"/>
          <w:szCs w:val="18"/>
        </w:rPr>
        <w:t>5</w:t>
      </w:r>
    </w:p>
    <w:p w14:paraId="22CFA0F1" w14:textId="77777777" w:rsidR="002661BA" w:rsidRDefault="00D972BC">
      <w:r>
        <w:pict w14:anchorId="22CFE4B4">
          <v:rect id="_x0000_i1029" style="width:415.3pt;height:1.5pt" o:hralign="center" o:hrstd="t" o:hr="t" fillcolor="#a0a0a0" stroked="f"/>
        </w:pict>
      </w:r>
    </w:p>
    <w:p w14:paraId="22CFA0F2" w14:textId="77777777" w:rsidR="002661BA" w:rsidRDefault="00D972BC">
      <w:hyperlink r:id="rId31" w:anchor="id0d7a71b05ce452ea9fdb54f3cb359c7_7" w:history="1">
        <w:r>
          <w:rPr>
            <w:rStyle w:val="a5"/>
            <w:rFonts w:ascii="Arial" w:eastAsia="宋体" w:hAnsi="Arial" w:cs="Arial"/>
            <w:sz w:val="18"/>
            <w:szCs w:val="18"/>
          </w:rPr>
          <w:t>Table of Contents</w:t>
        </w:r>
      </w:hyperlink>
    </w:p>
    <w:p w14:paraId="22CFA0F3" w14:textId="77777777" w:rsidR="002661BA" w:rsidRDefault="00D972BC">
      <w:pPr>
        <w:ind w:firstLine="270"/>
        <w:jc w:val="both"/>
      </w:pPr>
      <w:r>
        <w:rPr>
          <w:rFonts w:ascii="Arial" w:eastAsia="宋体" w:hAnsi="Arial" w:cs="Arial"/>
          <w:b/>
          <w:bCs/>
          <w:i/>
          <w:iCs/>
          <w:color w:val="000000"/>
          <w:sz w:val="20"/>
          <w:szCs w:val="20"/>
        </w:rPr>
        <w:t xml:space="preserve">Our Impact </w:t>
      </w:r>
      <w:r>
        <w:rPr>
          <w:rFonts w:ascii="Arial" w:eastAsia="宋体" w:hAnsi="Arial" w:cs="Arial"/>
          <w:b/>
          <w:bCs/>
          <w:i/>
          <w:iCs/>
          <w:color w:val="000000"/>
          <w:sz w:val="20"/>
          <w:szCs w:val="20"/>
        </w:rPr>
        <w:t>and Responsibility</w:t>
      </w:r>
    </w:p>
    <w:p w14:paraId="22CFA0F4" w14:textId="77777777" w:rsidR="002661BA" w:rsidRDefault="002661BA">
      <w:pPr>
        <w:ind w:firstLine="540"/>
        <w:jc w:val="both"/>
      </w:pPr>
    </w:p>
    <w:p w14:paraId="22CFA0F5" w14:textId="77777777" w:rsidR="002661BA" w:rsidRDefault="00D972BC">
      <w:pPr>
        <w:ind w:firstLine="540"/>
        <w:jc w:val="both"/>
      </w:pPr>
      <w:r>
        <w:rPr>
          <w:rFonts w:ascii="Arial" w:eastAsia="宋体" w:hAnsi="Arial" w:cs="Arial"/>
          <w:color w:val="000000"/>
          <w:sz w:val="20"/>
          <w:szCs w:val="20"/>
        </w:rPr>
        <w:t xml:space="preserve">eBay’s purpose is to empower people and create economic opportunity for all through our technology for our global community of users. Every day, people build businesses on our platforms. With a low cost of entry for sellers, we offer a </w:t>
      </w:r>
      <w:r>
        <w:rPr>
          <w:rFonts w:ascii="Arial" w:eastAsia="宋体" w:hAnsi="Arial" w:cs="Arial"/>
          <w:color w:val="000000"/>
          <w:sz w:val="20"/>
          <w:szCs w:val="20"/>
        </w:rPr>
        <w:t>highly accessible way for all types of users to interact in a global marketplace that’s inclusive and connects people of all backgrounds. Accordingly, we prioritize our corporate responsibility efforts to impact the areas of economic empowerment and sustai</w:t>
      </w:r>
      <w:r>
        <w:rPr>
          <w:rFonts w:ascii="Arial" w:eastAsia="宋体" w:hAnsi="Arial" w:cs="Arial"/>
          <w:color w:val="000000"/>
          <w:sz w:val="20"/>
          <w:szCs w:val="20"/>
        </w:rPr>
        <w:t xml:space="preserve">nable commerce. Key economic programs include eBay for Charity, the eBay Foundation and our small business enablement efforts, such as our Up &amp; Running Grants program. </w:t>
      </w:r>
    </w:p>
    <w:p w14:paraId="22CFA0F6" w14:textId="77777777" w:rsidR="002661BA" w:rsidRDefault="002661BA"/>
    <w:p w14:paraId="22CFA0F7" w14:textId="77777777" w:rsidR="002661BA" w:rsidRDefault="00D972BC">
      <w:pPr>
        <w:ind w:firstLine="540"/>
        <w:jc w:val="both"/>
      </w:pPr>
      <w:r>
        <w:rPr>
          <w:rFonts w:ascii="Arial" w:eastAsia="宋体" w:hAnsi="Arial" w:cs="Arial"/>
          <w:color w:val="000000"/>
          <w:sz w:val="20"/>
          <w:szCs w:val="20"/>
        </w:rPr>
        <w:t>eBay for Charity empowers buyers and sellers to support charities around the world. In</w:t>
      </w:r>
      <w:r>
        <w:rPr>
          <w:rFonts w:ascii="Arial" w:eastAsia="宋体" w:hAnsi="Arial" w:cs="Arial"/>
          <w:color w:val="000000"/>
          <w:sz w:val="20"/>
          <w:szCs w:val="20"/>
        </w:rPr>
        <w:t xml:space="preserve"> 2021, eBay for Charity matched donations made to Direct Relief and partnered with OXFAM, Make a Wish Foundation, Stop AAPI Hate and The Andy Warhol Foundation. In 2021, more than $145 million was raised by buyers and sellers to support charities via eBay </w:t>
      </w:r>
      <w:r>
        <w:rPr>
          <w:rFonts w:ascii="Arial" w:eastAsia="宋体" w:hAnsi="Arial" w:cs="Arial"/>
          <w:color w:val="000000"/>
          <w:sz w:val="20"/>
          <w:szCs w:val="20"/>
        </w:rPr>
        <w:t>for Charity.</w:t>
      </w:r>
    </w:p>
    <w:p w14:paraId="22CFA0F8" w14:textId="77777777" w:rsidR="002661BA" w:rsidRDefault="002661BA"/>
    <w:p w14:paraId="22CFA0F9" w14:textId="77777777" w:rsidR="002661BA" w:rsidRDefault="00D972BC">
      <w:pPr>
        <w:ind w:firstLine="540"/>
        <w:jc w:val="both"/>
      </w:pPr>
      <w:r>
        <w:rPr>
          <w:rFonts w:ascii="Arial" w:eastAsia="宋体" w:hAnsi="Arial" w:cs="Arial"/>
          <w:color w:val="000000"/>
          <w:sz w:val="20"/>
          <w:szCs w:val="20"/>
        </w:rPr>
        <w:t>The eBay Foundation helps to build economically vibrant and thriving communities. During 2021, the eBay Foundation granted over $14 million to support historically excluded entrepreneurs and our employee gift-matching program. The eBay Founda</w:t>
      </w:r>
      <w:r>
        <w:rPr>
          <w:rFonts w:ascii="Arial" w:eastAsia="宋体" w:hAnsi="Arial" w:cs="Arial"/>
          <w:color w:val="000000"/>
          <w:sz w:val="20"/>
          <w:szCs w:val="20"/>
        </w:rPr>
        <w:t xml:space="preserve">tion also increased our employee gift-matching annual cap to $10,000 per employee, per year. To date, the eBay Foundation has awarded more than $76 million to more than 1,800 nonprofits. </w:t>
      </w:r>
    </w:p>
    <w:p w14:paraId="22CFA0FA" w14:textId="77777777" w:rsidR="002661BA" w:rsidRDefault="002661BA">
      <w:pPr>
        <w:ind w:firstLine="540"/>
        <w:jc w:val="both"/>
      </w:pPr>
    </w:p>
    <w:p w14:paraId="22CFA0FB" w14:textId="77777777" w:rsidR="002661BA" w:rsidRDefault="00D972BC">
      <w:pPr>
        <w:ind w:firstLine="540"/>
        <w:jc w:val="both"/>
      </w:pPr>
      <w:r>
        <w:rPr>
          <w:rFonts w:ascii="Arial" w:eastAsia="宋体" w:hAnsi="Arial" w:cs="Arial"/>
          <w:color w:val="000000"/>
          <w:sz w:val="20"/>
          <w:szCs w:val="20"/>
        </w:rPr>
        <w:t>In 2021, eBay committed to invest $25 million in the Clear Vision I</w:t>
      </w:r>
      <w:r>
        <w:rPr>
          <w:rFonts w:ascii="Arial" w:eastAsia="宋体" w:hAnsi="Arial" w:cs="Arial"/>
          <w:color w:val="000000"/>
          <w:sz w:val="20"/>
          <w:szCs w:val="20"/>
        </w:rPr>
        <w:t>mpact Fund to bolster small- and medium-sized minority-owned businesses that support historically under-served communities.</w:t>
      </w:r>
    </w:p>
    <w:p w14:paraId="22CFA0FC" w14:textId="77777777" w:rsidR="002661BA" w:rsidRDefault="002661BA">
      <w:pPr>
        <w:ind w:firstLine="540"/>
        <w:jc w:val="both"/>
      </w:pPr>
    </w:p>
    <w:p w14:paraId="22CFA0FD" w14:textId="77777777" w:rsidR="002661BA" w:rsidRDefault="00D972BC">
      <w:pPr>
        <w:ind w:firstLine="540"/>
        <w:jc w:val="both"/>
      </w:pPr>
      <w:r>
        <w:rPr>
          <w:rFonts w:ascii="Arial" w:eastAsia="宋体" w:hAnsi="Arial" w:cs="Arial"/>
          <w:color w:val="000000"/>
          <w:sz w:val="20"/>
          <w:szCs w:val="20"/>
        </w:rPr>
        <w:t>Recommerce has been an integral part of eBay’s purpose since the Company was founded in 1995. As a pioneer of the circular economy,</w:t>
      </w:r>
      <w:r>
        <w:rPr>
          <w:rFonts w:ascii="Arial" w:eastAsia="宋体" w:hAnsi="Arial" w:cs="Arial"/>
          <w:color w:val="000000"/>
          <w:sz w:val="20"/>
          <w:szCs w:val="20"/>
        </w:rPr>
        <w:t xml:space="preserve"> eBay has created a space where people can buy and sell pre-owned goods. This helps preserve the world’s natural resources and reduces the Company’s carbon footprint by saving on the water and energy typically used in producing new goods and saves them fro</w:t>
      </w:r>
      <w:r>
        <w:rPr>
          <w:rFonts w:ascii="Arial" w:eastAsia="宋体" w:hAnsi="Arial" w:cs="Arial"/>
          <w:color w:val="000000"/>
          <w:sz w:val="20"/>
          <w:szCs w:val="20"/>
        </w:rPr>
        <w:t xml:space="preserve">m being sent to landfills. </w:t>
      </w:r>
    </w:p>
    <w:p w14:paraId="22CFA0FE" w14:textId="77777777" w:rsidR="002661BA" w:rsidRDefault="002661BA"/>
    <w:p w14:paraId="22CFA0FF" w14:textId="77777777" w:rsidR="002661BA" w:rsidRDefault="00D972BC">
      <w:pPr>
        <w:ind w:firstLine="540"/>
        <w:jc w:val="both"/>
      </w:pPr>
      <w:r>
        <w:rPr>
          <w:rFonts w:ascii="Arial" w:eastAsia="宋体" w:hAnsi="Arial" w:cs="Arial"/>
          <w:color w:val="000000"/>
          <w:sz w:val="20"/>
          <w:szCs w:val="20"/>
        </w:rPr>
        <w:t>eBay continued its work to reach its goal of 100% renewable energy by 2025 and signed its second virtual power purchase agreement in 2021. In our continued efforts to address climate change, we announced an updated carbon reduction goal that has been appro</w:t>
      </w:r>
      <w:r>
        <w:rPr>
          <w:rFonts w:ascii="Arial" w:eastAsia="宋体" w:hAnsi="Arial" w:cs="Arial"/>
          <w:color w:val="000000"/>
          <w:sz w:val="20"/>
          <w:szCs w:val="20"/>
        </w:rPr>
        <w:t>ved by the Science Based Target initiative: eBay commits to reduce its own (scope 1 and scope 2) emissions 90% by 2030 from a 2019 base year and to reduce value chain (scope 3) emissions from downstream transportation and distribution by 20% in the same ti</w:t>
      </w:r>
      <w:r>
        <w:rPr>
          <w:rFonts w:ascii="Arial" w:eastAsia="宋体" w:hAnsi="Arial" w:cs="Arial"/>
          <w:color w:val="000000"/>
          <w:sz w:val="20"/>
          <w:szCs w:val="20"/>
        </w:rPr>
        <w:t>meframe. We will also be carbon neutral for our scope 1 and 2 emissions by the end of 2021 and each year moving forward. eBay was ranked in the U.S. Environmental Protection Agency’s Green Power Partnership National Top 100 and Top 30 Tech &amp; Telecom for th</w:t>
      </w:r>
      <w:r>
        <w:rPr>
          <w:rFonts w:ascii="Arial" w:eastAsia="宋体" w:hAnsi="Arial" w:cs="Arial"/>
          <w:color w:val="000000"/>
          <w:sz w:val="20"/>
          <w:szCs w:val="20"/>
        </w:rPr>
        <w:t>e second year. Additionally, we strive to integrate best practices in our offices and data center operations and to continually reduce our environmental footprint. This year, eBay was also recognized for its commitment to sustainability and responsible bus</w:t>
      </w:r>
      <w:r>
        <w:rPr>
          <w:rFonts w:ascii="Arial" w:eastAsia="宋体" w:hAnsi="Arial" w:cs="Arial"/>
          <w:color w:val="000000"/>
          <w:sz w:val="20"/>
          <w:szCs w:val="20"/>
        </w:rPr>
        <w:t xml:space="preserve">iness by its inclusion in the Dow Jones Sustainability Indices World and North American Indices for the third straight year. eBay also scored an A- on the CDP Climate Change questionnaire. </w:t>
      </w:r>
    </w:p>
    <w:p w14:paraId="22CFA100" w14:textId="77777777" w:rsidR="002661BA" w:rsidRDefault="002661BA">
      <w:pPr>
        <w:ind w:firstLine="540"/>
        <w:jc w:val="both"/>
      </w:pPr>
    </w:p>
    <w:p w14:paraId="22CFA101" w14:textId="77777777" w:rsidR="002661BA" w:rsidRDefault="00D972BC">
      <w:pPr>
        <w:ind w:firstLine="270"/>
        <w:jc w:val="both"/>
      </w:pPr>
      <w:r>
        <w:rPr>
          <w:rFonts w:ascii="Arial" w:eastAsia="宋体" w:hAnsi="Arial" w:cs="Arial"/>
          <w:b/>
          <w:bCs/>
          <w:i/>
          <w:iCs/>
          <w:color w:val="000000"/>
          <w:sz w:val="20"/>
          <w:szCs w:val="20"/>
        </w:rPr>
        <w:t>Financial Information</w:t>
      </w:r>
    </w:p>
    <w:p w14:paraId="22CFA102" w14:textId="77777777" w:rsidR="002661BA" w:rsidRDefault="002661BA">
      <w:pPr>
        <w:ind w:firstLine="540"/>
        <w:jc w:val="both"/>
      </w:pPr>
    </w:p>
    <w:p w14:paraId="22CFA103" w14:textId="77777777" w:rsidR="002661BA" w:rsidRDefault="00D972BC">
      <w:pPr>
        <w:ind w:firstLine="540"/>
        <w:jc w:val="both"/>
      </w:pPr>
      <w:r>
        <w:rPr>
          <w:rFonts w:ascii="Arial" w:eastAsia="宋体" w:hAnsi="Arial" w:cs="Arial"/>
          <w:color w:val="000000"/>
          <w:sz w:val="20"/>
          <w:szCs w:val="20"/>
        </w:rPr>
        <w:t>We measure our footprint in our addressabl</w:t>
      </w:r>
      <w:r>
        <w:rPr>
          <w:rFonts w:ascii="Arial" w:eastAsia="宋体" w:hAnsi="Arial" w:cs="Arial"/>
          <w:color w:val="000000"/>
          <w:sz w:val="20"/>
          <w:szCs w:val="20"/>
        </w:rPr>
        <w:t>e market according to GMV. GMV consists of the total value of all paid transactions between users on our platforms during the applicable period inclusive of shipping fees and taxes. In 2021, we generated $87 billion in GMV, of which approximately 54 percen</w:t>
      </w:r>
      <w:r>
        <w:rPr>
          <w:rFonts w:ascii="Arial" w:eastAsia="宋体" w:hAnsi="Arial" w:cs="Arial"/>
          <w:color w:val="000000"/>
          <w:sz w:val="20"/>
          <w:szCs w:val="20"/>
        </w:rPr>
        <w:t>t was generated outside the U.S. We believe that GMV provides a useful measure of the overall volume of paid transactions that flow through our platforms in a given period.</w:t>
      </w:r>
    </w:p>
    <w:p w14:paraId="22CFA104" w14:textId="77777777" w:rsidR="002661BA" w:rsidRDefault="002661BA">
      <w:pPr>
        <w:jc w:val="both"/>
      </w:pPr>
    </w:p>
    <w:p w14:paraId="22CFA105" w14:textId="77777777" w:rsidR="002661BA" w:rsidRDefault="00D972BC">
      <w:pPr>
        <w:ind w:firstLine="540"/>
        <w:jc w:val="both"/>
      </w:pPr>
      <w:r>
        <w:rPr>
          <w:rFonts w:ascii="Arial" w:eastAsia="宋体" w:hAnsi="Arial" w:cs="Arial"/>
          <w:color w:val="000000"/>
          <w:sz w:val="20"/>
          <w:szCs w:val="20"/>
        </w:rPr>
        <w:t xml:space="preserve">At the end of 2021, eBay had 147 million active buyers and 17 million sellers. In </w:t>
      </w:r>
      <w:r>
        <w:rPr>
          <w:rFonts w:ascii="Arial" w:eastAsia="宋体" w:hAnsi="Arial" w:cs="Arial"/>
          <w:color w:val="000000"/>
          <w:sz w:val="20"/>
          <w:szCs w:val="20"/>
        </w:rPr>
        <w:t xml:space="preserve">2021, we had approximately 1.5 billion live listings globally. The term “active buyer” means, as of any date, all buyer accounts that paid for a transaction on our platforms within the previous 12-month period. Buyers may register more than once and, as a </w:t>
      </w:r>
      <w:r>
        <w:rPr>
          <w:rFonts w:ascii="Arial" w:eastAsia="宋体" w:hAnsi="Arial" w:cs="Arial"/>
          <w:color w:val="000000"/>
          <w:sz w:val="20"/>
          <w:szCs w:val="20"/>
        </w:rPr>
        <w:t>result, may have more than one account. “Sellers” include consumer-to-consumer (“C2C”) and business-to-consumer (“B2C”) sellers that have received payment for a transaction on our platforms within the previous 12-month period.</w:t>
      </w:r>
    </w:p>
    <w:p w14:paraId="22CFA106" w14:textId="77777777" w:rsidR="002661BA" w:rsidRDefault="002661BA">
      <w:pPr>
        <w:jc w:val="both"/>
      </w:pPr>
    </w:p>
    <w:p w14:paraId="22CFA107" w14:textId="77777777" w:rsidR="002661BA" w:rsidRDefault="00D972BC">
      <w:pPr>
        <w:ind w:firstLine="540"/>
        <w:jc w:val="both"/>
      </w:pPr>
      <w:r>
        <w:rPr>
          <w:rFonts w:ascii="Arial" w:eastAsia="宋体" w:hAnsi="Arial" w:cs="Arial"/>
          <w:color w:val="000000"/>
          <w:sz w:val="20"/>
          <w:szCs w:val="20"/>
        </w:rPr>
        <w:t xml:space="preserve">We generate revenue </w:t>
      </w:r>
      <w:r>
        <w:rPr>
          <w:rFonts w:ascii="Arial" w:eastAsia="宋体" w:hAnsi="Arial" w:cs="Arial"/>
          <w:color w:val="000000"/>
          <w:sz w:val="20"/>
          <w:szCs w:val="20"/>
        </w:rPr>
        <w:t>primarily from the transactions we successfully enable, including monetization of managed payments and first-party advertising and through marketing services. The majority of our revenue comes from a take rate on the GMV of transactions paid on our platfor</w:t>
      </w:r>
      <w:r>
        <w:rPr>
          <w:rFonts w:ascii="Arial" w:eastAsia="宋体" w:hAnsi="Arial" w:cs="Arial"/>
          <w:color w:val="000000"/>
          <w:sz w:val="20"/>
          <w:szCs w:val="20"/>
        </w:rPr>
        <w:t>ms. We define “take rate” as net transaction revenues divided by GMV.</w:t>
      </w:r>
    </w:p>
    <w:p w14:paraId="22CFA108" w14:textId="77777777" w:rsidR="002661BA" w:rsidRDefault="002661BA">
      <w:pPr>
        <w:ind w:firstLine="540"/>
        <w:jc w:val="both"/>
      </w:pPr>
    </w:p>
    <w:p w14:paraId="22CFA109" w14:textId="77777777" w:rsidR="002661BA" w:rsidRDefault="00D972BC">
      <w:pPr>
        <w:jc w:val="center"/>
      </w:pPr>
      <w:r>
        <w:rPr>
          <w:rFonts w:ascii="Arial" w:eastAsia="宋体" w:hAnsi="Arial" w:cs="Arial"/>
          <w:color w:val="000000"/>
          <w:sz w:val="18"/>
          <w:szCs w:val="18"/>
        </w:rPr>
        <w:t>6</w:t>
      </w:r>
    </w:p>
    <w:p w14:paraId="22CFA10A" w14:textId="77777777" w:rsidR="002661BA" w:rsidRDefault="00D972BC">
      <w:r>
        <w:pict w14:anchorId="22CFE4B5">
          <v:rect id="_x0000_i1030" style="width:415.3pt;height:1.5pt" o:hralign="center" o:hrstd="t" o:hr="t" fillcolor="#a0a0a0" stroked="f"/>
        </w:pict>
      </w:r>
    </w:p>
    <w:p w14:paraId="22CFA10B" w14:textId="77777777" w:rsidR="002661BA" w:rsidRDefault="00D972BC">
      <w:hyperlink r:id="rId32" w:anchor="id0d7a71b05ce452ea9fdb54f3cb359c7_7" w:history="1">
        <w:r>
          <w:rPr>
            <w:rStyle w:val="a5"/>
            <w:rFonts w:ascii="Arial" w:eastAsia="宋体" w:hAnsi="Arial" w:cs="Arial"/>
            <w:sz w:val="18"/>
            <w:szCs w:val="18"/>
          </w:rPr>
          <w:t>Table of Contents</w:t>
        </w:r>
      </w:hyperlink>
    </w:p>
    <w:p w14:paraId="22CFA10C" w14:textId="77777777" w:rsidR="002661BA" w:rsidRDefault="00D972BC">
      <w:pPr>
        <w:ind w:firstLine="540"/>
        <w:jc w:val="both"/>
      </w:pPr>
      <w:r>
        <w:rPr>
          <w:rFonts w:ascii="Arial" w:eastAsia="宋体" w:hAnsi="Arial" w:cs="Arial"/>
          <w:color w:val="000000"/>
          <w:sz w:val="20"/>
          <w:szCs w:val="20"/>
        </w:rPr>
        <w:t>Our platfo</w:t>
      </w:r>
      <w:r>
        <w:rPr>
          <w:rFonts w:ascii="Arial" w:eastAsia="宋体" w:hAnsi="Arial" w:cs="Arial"/>
          <w:color w:val="000000"/>
          <w:sz w:val="20"/>
          <w:szCs w:val="20"/>
        </w:rPr>
        <w:t>rms are designed to enable our buyers and sellers to leverage our economies of scale and capital investments, such as in sales and marketing, mobile, customer acquisition, technology innovation and customer service.</w:t>
      </w:r>
    </w:p>
    <w:p w14:paraId="22CFA10D" w14:textId="77777777" w:rsidR="002661BA" w:rsidRDefault="002661BA">
      <w:pPr>
        <w:jc w:val="both"/>
      </w:pPr>
    </w:p>
    <w:p w14:paraId="22CFA10E" w14:textId="77777777" w:rsidR="002661BA" w:rsidRDefault="00D972BC">
      <w:pPr>
        <w:ind w:firstLine="270"/>
        <w:jc w:val="both"/>
      </w:pPr>
      <w:r>
        <w:rPr>
          <w:rFonts w:ascii="Arial" w:eastAsia="宋体" w:hAnsi="Arial" w:cs="Arial"/>
          <w:b/>
          <w:bCs/>
          <w:i/>
          <w:iCs/>
          <w:color w:val="000000"/>
          <w:sz w:val="20"/>
          <w:szCs w:val="20"/>
        </w:rPr>
        <w:t>Notable Business Transactions in 2021 a</w:t>
      </w:r>
      <w:r>
        <w:rPr>
          <w:rFonts w:ascii="Arial" w:eastAsia="宋体" w:hAnsi="Arial" w:cs="Arial"/>
          <w:b/>
          <w:bCs/>
          <w:i/>
          <w:iCs/>
          <w:color w:val="000000"/>
          <w:sz w:val="20"/>
          <w:szCs w:val="20"/>
        </w:rPr>
        <w:t>nd 2020</w:t>
      </w:r>
    </w:p>
    <w:p w14:paraId="22CFA10F" w14:textId="77777777" w:rsidR="002661BA" w:rsidRDefault="002661BA">
      <w:pPr>
        <w:jc w:val="both"/>
      </w:pPr>
    </w:p>
    <w:p w14:paraId="22CFA110" w14:textId="77777777" w:rsidR="002661BA" w:rsidRDefault="00D972BC">
      <w:pPr>
        <w:ind w:firstLine="540"/>
        <w:jc w:val="both"/>
      </w:pPr>
      <w:r>
        <w:rPr>
          <w:rFonts w:ascii="Arial" w:eastAsia="宋体" w:hAnsi="Arial" w:cs="Arial"/>
          <w:color w:val="000000"/>
          <w:sz w:val="20"/>
          <w:szCs w:val="20"/>
        </w:rPr>
        <w:t>We regularly review and manage our investments to ensure they support eBay’s strategic direction and complement our disciplined approach to value creation, profitability and capital allocation. eBay completed the sale of its Classifieds business t</w:t>
      </w:r>
      <w:r>
        <w:rPr>
          <w:rFonts w:ascii="Arial" w:eastAsia="宋体" w:hAnsi="Arial" w:cs="Arial"/>
          <w:color w:val="000000"/>
          <w:sz w:val="20"/>
          <w:szCs w:val="20"/>
        </w:rPr>
        <w:t xml:space="preserve">o Adevinta for $2.5 billion in cash, subject to certain adjustments, and 540 million Adevinta shares in the second quarter of 2021, then completed the sale of approximately 135 million shares of our Adevinta stake to Permira for approximately $2.3 billion </w:t>
      </w:r>
      <w:r>
        <w:rPr>
          <w:rFonts w:ascii="Arial" w:eastAsia="宋体" w:hAnsi="Arial" w:cs="Arial"/>
          <w:color w:val="000000"/>
          <w:sz w:val="20"/>
          <w:szCs w:val="20"/>
        </w:rPr>
        <w:t>in cash in the fourth quarter of 2021. Additionally, we completed the sale of 80.01% of our ownership stake in eBay Korea LLC to E-mart for approximately $3.0 billion of gross cash proceeds, subject to certain adjustments in the fourth quarter of 2021.</w:t>
      </w:r>
    </w:p>
    <w:p w14:paraId="22CFA111" w14:textId="77777777" w:rsidR="002661BA" w:rsidRDefault="002661BA">
      <w:pPr>
        <w:ind w:firstLine="540"/>
        <w:jc w:val="both"/>
      </w:pPr>
    </w:p>
    <w:p w14:paraId="22CFA112" w14:textId="77777777" w:rsidR="002661BA" w:rsidRDefault="00D972BC">
      <w:pPr>
        <w:ind w:firstLine="540"/>
        <w:jc w:val="both"/>
      </w:pPr>
      <w:r>
        <w:rPr>
          <w:rFonts w:ascii="Arial" w:eastAsia="宋体" w:hAnsi="Arial" w:cs="Arial"/>
          <w:color w:val="000000"/>
          <w:sz w:val="20"/>
          <w:szCs w:val="20"/>
        </w:rPr>
        <w:t>In</w:t>
      </w:r>
      <w:r>
        <w:rPr>
          <w:rFonts w:ascii="Arial" w:eastAsia="宋体" w:hAnsi="Arial" w:cs="Arial"/>
          <w:color w:val="000000"/>
          <w:sz w:val="20"/>
          <w:szCs w:val="20"/>
        </w:rPr>
        <w:t xml:space="preserve"> the first quarter of 2020, we completed the sale of StubHub to viagogo for $4.05 billion in cash, subject to certain adjustments.</w:t>
      </w:r>
    </w:p>
    <w:p w14:paraId="22CFA113" w14:textId="77777777" w:rsidR="002661BA" w:rsidRDefault="002661BA"/>
    <w:p w14:paraId="22CFA114" w14:textId="77777777" w:rsidR="002661BA" w:rsidRDefault="00D972BC">
      <w:pPr>
        <w:ind w:firstLine="270"/>
        <w:jc w:val="both"/>
      </w:pPr>
      <w:r>
        <w:rPr>
          <w:rFonts w:ascii="Arial" w:eastAsia="宋体" w:hAnsi="Arial" w:cs="Arial"/>
          <w:b/>
          <w:bCs/>
          <w:i/>
          <w:iCs/>
          <w:color w:val="000000"/>
          <w:sz w:val="20"/>
          <w:szCs w:val="20"/>
        </w:rPr>
        <w:t>Competition</w:t>
      </w:r>
    </w:p>
    <w:p w14:paraId="22CFA115" w14:textId="77777777" w:rsidR="002661BA" w:rsidRDefault="002661BA">
      <w:pPr>
        <w:ind w:firstLine="540"/>
        <w:jc w:val="both"/>
      </w:pPr>
    </w:p>
    <w:p w14:paraId="22CFA116" w14:textId="77777777" w:rsidR="002661BA" w:rsidRDefault="00D972BC">
      <w:pPr>
        <w:ind w:firstLine="540"/>
        <w:jc w:val="both"/>
      </w:pPr>
      <w:r>
        <w:rPr>
          <w:rFonts w:ascii="Arial" w:eastAsia="宋体" w:hAnsi="Arial" w:cs="Arial"/>
          <w:color w:val="000000"/>
          <w:sz w:val="20"/>
          <w:szCs w:val="20"/>
        </w:rPr>
        <w:t>We encounter vigorous competition in our business from numerous sources. Our users can list, sell, buy, and pay</w:t>
      </w:r>
      <w:r>
        <w:rPr>
          <w:rFonts w:ascii="Arial" w:eastAsia="宋体" w:hAnsi="Arial" w:cs="Arial"/>
          <w:color w:val="000000"/>
          <w:sz w:val="20"/>
          <w:szCs w:val="20"/>
        </w:rPr>
        <w:t xml:space="preserve"> for similar items through a variety of competing online, mobile and offline channels. These include, but are not limited to, retailers, distributors, liquidators, import and export companies, auctioneers, catalog and mail-order companies, directories, sea</w:t>
      </w:r>
      <w:r>
        <w:rPr>
          <w:rFonts w:ascii="Arial" w:eastAsia="宋体" w:hAnsi="Arial" w:cs="Arial"/>
          <w:color w:val="000000"/>
          <w:sz w:val="20"/>
          <w:szCs w:val="20"/>
        </w:rPr>
        <w:t xml:space="preserve">rch engines, commerce participants (consumer-to-consumer, business-to-consumer and business-to-business), shopping channels and networks. As our product offerings continue to broaden into new categories of items and new commerce formats, we expect to face </w:t>
      </w:r>
      <w:r>
        <w:rPr>
          <w:rFonts w:ascii="Arial" w:eastAsia="宋体" w:hAnsi="Arial" w:cs="Arial"/>
          <w:color w:val="000000"/>
          <w:sz w:val="20"/>
          <w:szCs w:val="20"/>
        </w:rPr>
        <w:t>additional competition from other online, mobile and offline channels for those new offerings. We compete on the basis of price, product selection and services, and global scale.</w:t>
      </w:r>
    </w:p>
    <w:p w14:paraId="22CFA117" w14:textId="77777777" w:rsidR="002661BA" w:rsidRDefault="002661BA"/>
    <w:p w14:paraId="22CFA118" w14:textId="77777777" w:rsidR="002661BA" w:rsidRDefault="00D972BC">
      <w:pPr>
        <w:ind w:firstLine="540"/>
        <w:jc w:val="both"/>
      </w:pPr>
      <w:r>
        <w:rPr>
          <w:rFonts w:ascii="Arial" w:eastAsia="宋体" w:hAnsi="Arial" w:cs="Arial"/>
          <w:color w:val="000000"/>
          <w:sz w:val="20"/>
          <w:szCs w:val="20"/>
        </w:rPr>
        <w:t>For more information regarding competitive factors impacting our business, s</w:t>
      </w:r>
      <w:r>
        <w:rPr>
          <w:rFonts w:ascii="Arial" w:eastAsia="宋体" w:hAnsi="Arial" w:cs="Arial"/>
          <w:color w:val="000000"/>
          <w:sz w:val="20"/>
          <w:szCs w:val="20"/>
        </w:rPr>
        <w:t>ee the information in “Item 1A: Risk Factors” under the captions “Substantial and increasingly intense competition worldwide in ecommerce may harm our business” and “We are subject to regulatory activity and antitrust litigation under competition laws that</w:t>
      </w:r>
      <w:r>
        <w:rPr>
          <w:rFonts w:ascii="Arial" w:eastAsia="宋体" w:hAnsi="Arial" w:cs="Arial"/>
          <w:color w:val="000000"/>
          <w:sz w:val="20"/>
          <w:szCs w:val="20"/>
        </w:rPr>
        <w:t xml:space="preserve"> could adversely impact our business.”</w:t>
      </w:r>
    </w:p>
    <w:p w14:paraId="22CFA119" w14:textId="77777777" w:rsidR="002661BA" w:rsidRDefault="002661BA">
      <w:pPr>
        <w:ind w:firstLine="540"/>
        <w:jc w:val="both"/>
      </w:pPr>
    </w:p>
    <w:p w14:paraId="22CFA11A" w14:textId="77777777" w:rsidR="002661BA" w:rsidRDefault="00D972BC">
      <w:pPr>
        <w:ind w:firstLine="270"/>
        <w:jc w:val="both"/>
      </w:pPr>
      <w:r>
        <w:rPr>
          <w:rFonts w:ascii="Arial" w:eastAsia="宋体" w:hAnsi="Arial" w:cs="Arial"/>
          <w:b/>
          <w:bCs/>
          <w:i/>
          <w:iCs/>
          <w:color w:val="000000"/>
          <w:sz w:val="20"/>
          <w:szCs w:val="20"/>
        </w:rPr>
        <w:t>Government Regulation</w:t>
      </w:r>
    </w:p>
    <w:p w14:paraId="22CFA11B" w14:textId="77777777" w:rsidR="002661BA" w:rsidRDefault="002661BA">
      <w:pPr>
        <w:ind w:firstLine="540"/>
        <w:jc w:val="both"/>
      </w:pPr>
    </w:p>
    <w:p w14:paraId="22CFA11C" w14:textId="77777777" w:rsidR="002661BA" w:rsidRDefault="00D972BC">
      <w:pPr>
        <w:ind w:firstLine="540"/>
        <w:jc w:val="both"/>
      </w:pPr>
      <w:r>
        <w:rPr>
          <w:rFonts w:ascii="Arial" w:eastAsia="宋体" w:hAnsi="Arial" w:cs="Arial"/>
          <w:color w:val="000000"/>
          <w:sz w:val="20"/>
          <w:szCs w:val="20"/>
        </w:rPr>
        <w:t xml:space="preserve">Government regulation impacts key aspects of our business. In particular, we are subject to laws and regulations that affect the ecommerce industry in many countries where we operate. </w:t>
      </w:r>
    </w:p>
    <w:p w14:paraId="22CFA11D" w14:textId="77777777" w:rsidR="002661BA" w:rsidRDefault="002661BA">
      <w:pPr>
        <w:ind w:firstLine="540"/>
        <w:jc w:val="both"/>
      </w:pPr>
    </w:p>
    <w:p w14:paraId="22CFA11E" w14:textId="77777777" w:rsidR="002661BA" w:rsidRDefault="00D972BC">
      <w:pPr>
        <w:ind w:firstLine="540"/>
        <w:jc w:val="both"/>
      </w:pPr>
      <w:r>
        <w:rPr>
          <w:rFonts w:ascii="Arial" w:eastAsia="宋体" w:hAnsi="Arial" w:cs="Arial"/>
          <w:color w:val="000000"/>
          <w:sz w:val="20"/>
          <w:szCs w:val="20"/>
        </w:rPr>
        <w:t>With two additional states adopting Internet sales tax laws in 2021, s</w:t>
      </w:r>
      <w:r>
        <w:rPr>
          <w:rFonts w:ascii="Arial" w:eastAsia="宋体" w:hAnsi="Arial" w:cs="Arial"/>
          <w:color w:val="000000"/>
          <w:sz w:val="20"/>
          <w:szCs w:val="20"/>
        </w:rPr>
        <w:t>ome buyers across the U.S. encountered sales tax for the first time on eBay. To date, 45 states, the District of Columbia and Puerto Rico have enacted Internet sales tax legislation. Additionally, a digital service tax (DST) was implemented in Spain in 202</w:t>
      </w:r>
      <w:r>
        <w:rPr>
          <w:rFonts w:ascii="Arial" w:eastAsia="宋体" w:hAnsi="Arial" w:cs="Arial"/>
          <w:color w:val="000000"/>
          <w:sz w:val="20"/>
          <w:szCs w:val="20"/>
        </w:rPr>
        <w:t>1, and we are complying with the legislation. Our business will also be required to increase payments reporting requirements for U.S. sellers as a result of federal legislation. Starting on January 1, 2022, all businesses that process payments are required</w:t>
      </w:r>
      <w:r>
        <w:rPr>
          <w:rFonts w:ascii="Arial" w:eastAsia="宋体" w:hAnsi="Arial" w:cs="Arial"/>
          <w:color w:val="000000"/>
          <w:sz w:val="20"/>
          <w:szCs w:val="20"/>
        </w:rPr>
        <w:t xml:space="preserve"> to issue a Form 1099-K for all sellers who receive $600 or more in sales, a decrease from the previous reporting threshold of $20,000 and 200 transactions. Form 1099-Ks for the new thresholds will be issued in January 2023. Tax collection responsibility a</w:t>
      </w:r>
      <w:r>
        <w:rPr>
          <w:rFonts w:ascii="Arial" w:eastAsia="宋体" w:hAnsi="Arial" w:cs="Arial"/>
          <w:color w:val="000000"/>
          <w:sz w:val="20"/>
          <w:szCs w:val="20"/>
        </w:rPr>
        <w:t>nd the additional costs associated with complex sales and use tax collection, remittance and audit requirements, or reporting, could create additional burdens for buyers and sellers on our websites and mobile platforms.</w:t>
      </w:r>
    </w:p>
    <w:p w14:paraId="22CFA11F" w14:textId="77777777" w:rsidR="002661BA" w:rsidRDefault="002661BA">
      <w:pPr>
        <w:ind w:firstLine="540"/>
        <w:jc w:val="both"/>
      </w:pPr>
    </w:p>
    <w:p w14:paraId="22CFA120" w14:textId="77777777" w:rsidR="002661BA" w:rsidRDefault="00D972BC">
      <w:pPr>
        <w:ind w:firstLine="540"/>
        <w:jc w:val="both"/>
      </w:pPr>
      <w:r>
        <w:rPr>
          <w:rFonts w:ascii="Arial" w:eastAsia="宋体" w:hAnsi="Arial" w:cs="Arial"/>
          <w:color w:val="000000"/>
          <w:sz w:val="20"/>
          <w:szCs w:val="20"/>
        </w:rPr>
        <w:t>Legislation requiring increased sel</w:t>
      </w:r>
      <w:r>
        <w:rPr>
          <w:rFonts w:ascii="Arial" w:eastAsia="宋体" w:hAnsi="Arial" w:cs="Arial"/>
          <w:color w:val="000000"/>
          <w:sz w:val="20"/>
          <w:szCs w:val="20"/>
        </w:rPr>
        <w:t>ler information collection, verification and disclosure for online marketplaces was considered in a number of states and passed into law in Arkansas in 2021. Federal legislation is also being considered by Congress. Increased seller mandates could create a</w:t>
      </w:r>
      <w:r>
        <w:rPr>
          <w:rFonts w:ascii="Arial" w:eastAsia="宋体" w:hAnsi="Arial" w:cs="Arial"/>
          <w:color w:val="000000"/>
          <w:sz w:val="20"/>
          <w:szCs w:val="20"/>
        </w:rPr>
        <w:t>dditional burdens for sellers on our websites and mobile platforms.</w:t>
      </w:r>
    </w:p>
    <w:p w14:paraId="22CFA121" w14:textId="77777777" w:rsidR="002661BA" w:rsidRDefault="002661BA">
      <w:pPr>
        <w:ind w:firstLine="540"/>
        <w:jc w:val="both"/>
      </w:pPr>
    </w:p>
    <w:p w14:paraId="22CFA122" w14:textId="77777777" w:rsidR="002661BA" w:rsidRDefault="00D972BC">
      <w:pPr>
        <w:ind w:firstLine="540"/>
        <w:jc w:val="both"/>
      </w:pPr>
      <w:r>
        <w:rPr>
          <w:rFonts w:ascii="Arial" w:eastAsia="宋体" w:hAnsi="Arial" w:cs="Arial"/>
          <w:color w:val="000000"/>
          <w:sz w:val="20"/>
          <w:szCs w:val="20"/>
        </w:rPr>
        <w:t>For more information regarding regulatory risks, see the information in “Item 1A: Risk Factors” under the caption “Our business is subject to extensive government regulation and oversight</w:t>
      </w:r>
      <w:r>
        <w:rPr>
          <w:rFonts w:ascii="Arial" w:eastAsia="宋体" w:hAnsi="Arial" w:cs="Arial"/>
          <w:color w:val="000000"/>
          <w:sz w:val="20"/>
          <w:szCs w:val="20"/>
        </w:rPr>
        <w:t>, which could adversely impact our business” and “Our business and our sellers and buyers may be subject to sales and other tax regimes in various jurisdictions, which may harm our business.”</w:t>
      </w:r>
    </w:p>
    <w:p w14:paraId="22CFA123" w14:textId="77777777" w:rsidR="002661BA" w:rsidRDefault="002661BA">
      <w:pPr>
        <w:ind w:firstLine="540"/>
        <w:jc w:val="both"/>
      </w:pPr>
    </w:p>
    <w:p w14:paraId="22CFA124" w14:textId="77777777" w:rsidR="002661BA" w:rsidRDefault="00D972BC">
      <w:pPr>
        <w:jc w:val="center"/>
      </w:pPr>
      <w:r>
        <w:rPr>
          <w:rFonts w:ascii="Arial" w:eastAsia="宋体" w:hAnsi="Arial" w:cs="Arial"/>
          <w:color w:val="000000"/>
          <w:sz w:val="18"/>
          <w:szCs w:val="18"/>
        </w:rPr>
        <w:t>7</w:t>
      </w:r>
    </w:p>
    <w:p w14:paraId="22CFA125" w14:textId="77777777" w:rsidR="002661BA" w:rsidRDefault="00D972BC">
      <w:r>
        <w:pict w14:anchorId="22CFE4B6">
          <v:rect id="_x0000_i1031" style="width:415.3pt;height:1.5pt" o:hralign="center" o:hrstd="t" o:hr="t" fillcolor="#a0a0a0" stroked="f"/>
        </w:pict>
      </w:r>
    </w:p>
    <w:p w14:paraId="22CFA126" w14:textId="77777777" w:rsidR="002661BA" w:rsidRDefault="00D972BC">
      <w:hyperlink r:id="rId33" w:anchor="id0d7a71b05ce452ea9fdb54f3cb359c7_7" w:history="1">
        <w:r>
          <w:rPr>
            <w:rStyle w:val="a5"/>
            <w:rFonts w:ascii="Arial" w:eastAsia="宋体" w:hAnsi="Arial" w:cs="Arial"/>
            <w:sz w:val="18"/>
            <w:szCs w:val="18"/>
          </w:rPr>
          <w:t>Table of Contents</w:t>
        </w:r>
      </w:hyperlink>
    </w:p>
    <w:p w14:paraId="22CFA127" w14:textId="77777777" w:rsidR="002661BA" w:rsidRDefault="00D972BC">
      <w:pPr>
        <w:ind w:firstLine="270"/>
        <w:jc w:val="both"/>
      </w:pPr>
      <w:r>
        <w:rPr>
          <w:rFonts w:ascii="Arial" w:eastAsia="宋体" w:hAnsi="Arial" w:cs="Arial"/>
          <w:b/>
          <w:bCs/>
          <w:i/>
          <w:iCs/>
          <w:color w:val="000000"/>
          <w:sz w:val="20"/>
          <w:szCs w:val="20"/>
        </w:rPr>
        <w:t>Seasonality</w:t>
      </w:r>
      <w:r>
        <w:rPr>
          <w:rFonts w:ascii="Arial" w:eastAsia="宋体" w:hAnsi="Arial" w:cs="Arial"/>
          <w:b/>
          <w:bCs/>
          <w:color w:val="000000"/>
          <w:sz w:val="20"/>
          <w:szCs w:val="20"/>
        </w:rPr>
        <w:t xml:space="preserve"> </w:t>
      </w:r>
    </w:p>
    <w:p w14:paraId="22CFA128" w14:textId="77777777" w:rsidR="002661BA" w:rsidRDefault="002661BA">
      <w:pPr>
        <w:ind w:firstLine="540"/>
        <w:jc w:val="both"/>
      </w:pPr>
    </w:p>
    <w:p w14:paraId="22CFA129" w14:textId="77777777" w:rsidR="002661BA" w:rsidRDefault="00D972BC">
      <w:pPr>
        <w:ind w:firstLine="540"/>
        <w:jc w:val="both"/>
      </w:pPr>
      <w:r>
        <w:rPr>
          <w:rFonts w:ascii="Arial" w:eastAsia="宋体" w:hAnsi="Arial" w:cs="Arial"/>
          <w:color w:val="000000"/>
          <w:sz w:val="20"/>
          <w:szCs w:val="20"/>
        </w:rPr>
        <w:t xml:space="preserve">We expect transaction activity patterns on our platforms to mirror general consumer buying patterns. Please see the additional information in “Item 7: Management’s Discussion and Analysis of Financial Condition and Results of Operations” under the caption </w:t>
      </w:r>
      <w:r>
        <w:rPr>
          <w:rFonts w:ascii="Arial" w:eastAsia="宋体" w:hAnsi="Arial" w:cs="Arial"/>
          <w:color w:val="000000"/>
          <w:sz w:val="20"/>
          <w:szCs w:val="20"/>
        </w:rPr>
        <w:t xml:space="preserve">“Seasonality.” </w:t>
      </w:r>
    </w:p>
    <w:p w14:paraId="22CFA12A" w14:textId="77777777" w:rsidR="002661BA" w:rsidRDefault="002661BA">
      <w:pPr>
        <w:ind w:firstLine="540"/>
        <w:jc w:val="both"/>
      </w:pPr>
    </w:p>
    <w:p w14:paraId="22CFA12B" w14:textId="77777777" w:rsidR="002661BA" w:rsidRDefault="00D972BC">
      <w:pPr>
        <w:ind w:firstLine="270"/>
        <w:jc w:val="both"/>
      </w:pPr>
      <w:r>
        <w:rPr>
          <w:rFonts w:ascii="Arial" w:eastAsia="宋体" w:hAnsi="Arial" w:cs="Arial"/>
          <w:b/>
          <w:bCs/>
          <w:i/>
          <w:iCs/>
          <w:color w:val="000000"/>
          <w:sz w:val="20"/>
          <w:szCs w:val="20"/>
        </w:rPr>
        <w:t>Technology</w:t>
      </w:r>
      <w:r>
        <w:rPr>
          <w:rFonts w:ascii="Arial" w:eastAsia="宋体" w:hAnsi="Arial" w:cs="Arial"/>
          <w:b/>
          <w:bCs/>
          <w:color w:val="000000"/>
          <w:sz w:val="20"/>
          <w:szCs w:val="20"/>
        </w:rPr>
        <w:t xml:space="preserve"> </w:t>
      </w:r>
    </w:p>
    <w:p w14:paraId="22CFA12C" w14:textId="77777777" w:rsidR="002661BA" w:rsidRDefault="002661BA">
      <w:pPr>
        <w:ind w:firstLine="540"/>
        <w:jc w:val="both"/>
      </w:pPr>
    </w:p>
    <w:p w14:paraId="22CFA12D" w14:textId="77777777" w:rsidR="002661BA" w:rsidRDefault="00D972BC">
      <w:pPr>
        <w:ind w:firstLine="540"/>
        <w:jc w:val="both"/>
      </w:pPr>
      <w:r>
        <w:rPr>
          <w:rFonts w:ascii="Arial" w:eastAsia="宋体" w:hAnsi="Arial" w:cs="Arial"/>
          <w:color w:val="000000"/>
          <w:sz w:val="20"/>
          <w:szCs w:val="20"/>
        </w:rPr>
        <w:t>The eBay Marketplace uses a combination of proprietary technologies and services as well as technologies and services provided by others. We have developed intuitive user interfaces, buyer, seller and developer tools and trans</w:t>
      </w:r>
      <w:r>
        <w:rPr>
          <w:rFonts w:ascii="Arial" w:eastAsia="宋体" w:hAnsi="Arial" w:cs="Arial"/>
          <w:color w:val="000000"/>
          <w:sz w:val="20"/>
          <w:szCs w:val="20"/>
        </w:rPr>
        <w:t xml:space="preserve">action processing, database and network applications that help enable our users to reliably and securely complete transactions on our sites. Our technology infrastructure simplifies the storage and processing of large amounts of data, eases the deployment </w:t>
      </w:r>
      <w:r>
        <w:rPr>
          <w:rFonts w:ascii="Arial" w:eastAsia="宋体" w:hAnsi="Arial" w:cs="Arial"/>
          <w:color w:val="000000"/>
          <w:sz w:val="20"/>
          <w:szCs w:val="20"/>
        </w:rPr>
        <w:t xml:space="preserve">and operation of large-scale global products and services and automates much of the administration of large-scale clusters of computers. Our infrastructure has been designed around industry-standard architectures to reduce downtime in the event of outages </w:t>
      </w:r>
      <w:r>
        <w:rPr>
          <w:rFonts w:ascii="Arial" w:eastAsia="宋体" w:hAnsi="Arial" w:cs="Arial"/>
          <w:color w:val="000000"/>
          <w:sz w:val="20"/>
          <w:szCs w:val="20"/>
        </w:rPr>
        <w:t>or catastrophic occurrences.</w:t>
      </w:r>
    </w:p>
    <w:p w14:paraId="22CFA12E" w14:textId="77777777" w:rsidR="002661BA" w:rsidRDefault="002661BA"/>
    <w:p w14:paraId="22CFA12F" w14:textId="77777777" w:rsidR="002661BA" w:rsidRDefault="00D972BC">
      <w:pPr>
        <w:ind w:firstLine="540"/>
        <w:jc w:val="both"/>
      </w:pPr>
      <w:r>
        <w:rPr>
          <w:rFonts w:ascii="Arial" w:eastAsia="宋体" w:hAnsi="Arial" w:cs="Arial"/>
          <w:color w:val="000000"/>
          <w:sz w:val="20"/>
          <w:szCs w:val="20"/>
        </w:rPr>
        <w:t>In support of our commitment to innovation and a better customer experience, we have been on a multi-year evolution to modernize our marketplace. Through technologies like artificial intelligence, we are anticipating the needs</w:t>
      </w:r>
      <w:r>
        <w:rPr>
          <w:rFonts w:ascii="Arial" w:eastAsia="宋体" w:hAnsi="Arial" w:cs="Arial"/>
          <w:color w:val="000000"/>
          <w:sz w:val="20"/>
          <w:szCs w:val="20"/>
        </w:rPr>
        <w:t xml:space="preserve"> of buyers, sellers and developers, empowering entrepreneurs looking to grow their business, and making the platform more accessible to everyone. We aim to create highly personalized and inspiring shopping experiences powered by advanced technologies.</w:t>
      </w:r>
    </w:p>
    <w:p w14:paraId="22CFA130" w14:textId="77777777" w:rsidR="002661BA" w:rsidRDefault="002661BA">
      <w:pPr>
        <w:ind w:firstLine="540"/>
        <w:jc w:val="both"/>
      </w:pPr>
    </w:p>
    <w:p w14:paraId="22CFA131" w14:textId="77777777" w:rsidR="002661BA" w:rsidRDefault="00D972BC">
      <w:pPr>
        <w:ind w:firstLine="540"/>
        <w:jc w:val="both"/>
      </w:pPr>
      <w:r>
        <w:rPr>
          <w:rFonts w:ascii="Arial" w:eastAsia="宋体" w:hAnsi="Arial" w:cs="Arial"/>
          <w:color w:val="000000"/>
          <w:sz w:val="20"/>
          <w:szCs w:val="20"/>
        </w:rPr>
        <w:t>For</w:t>
      </w:r>
      <w:r>
        <w:rPr>
          <w:rFonts w:ascii="Arial" w:eastAsia="宋体" w:hAnsi="Arial" w:cs="Arial"/>
          <w:color w:val="000000"/>
          <w:sz w:val="20"/>
          <w:szCs w:val="20"/>
        </w:rPr>
        <w:t xml:space="preserve"> information regarding technology-related risks, see the information in “Item 1A: Risk Factors” under the captions “Our business is subject to online security risks, including security breaches and cyberattacks,” “Systems failures and resulting interruptio</w:t>
      </w:r>
      <w:r>
        <w:rPr>
          <w:rFonts w:ascii="Arial" w:eastAsia="宋体" w:hAnsi="Arial" w:cs="Arial"/>
          <w:color w:val="000000"/>
          <w:sz w:val="20"/>
          <w:szCs w:val="20"/>
        </w:rPr>
        <w:t>ns in the availability of or degradation in the performance of our websites, applications, products or services could harm our business” and “Regulation in the areas of privacy and protection of user data could harm our business.”</w:t>
      </w:r>
    </w:p>
    <w:p w14:paraId="22CFA132" w14:textId="77777777" w:rsidR="002661BA" w:rsidRDefault="002661BA">
      <w:pPr>
        <w:ind w:firstLine="540"/>
        <w:jc w:val="both"/>
      </w:pPr>
    </w:p>
    <w:p w14:paraId="22CFA133" w14:textId="77777777" w:rsidR="002661BA" w:rsidRDefault="00D972BC">
      <w:pPr>
        <w:ind w:firstLine="270"/>
        <w:jc w:val="both"/>
      </w:pPr>
      <w:r>
        <w:rPr>
          <w:rFonts w:ascii="Arial" w:eastAsia="宋体" w:hAnsi="Arial" w:cs="Arial"/>
          <w:b/>
          <w:bCs/>
          <w:i/>
          <w:iCs/>
          <w:color w:val="000000"/>
          <w:sz w:val="20"/>
          <w:szCs w:val="20"/>
        </w:rPr>
        <w:t xml:space="preserve">Intellectual Property </w:t>
      </w:r>
    </w:p>
    <w:p w14:paraId="22CFA134" w14:textId="77777777" w:rsidR="002661BA" w:rsidRDefault="002661BA">
      <w:pPr>
        <w:ind w:firstLine="540"/>
        <w:jc w:val="both"/>
      </w:pPr>
    </w:p>
    <w:p w14:paraId="22CFA135" w14:textId="77777777" w:rsidR="002661BA" w:rsidRDefault="00D972BC">
      <w:pPr>
        <w:ind w:firstLine="540"/>
        <w:jc w:val="both"/>
      </w:pPr>
      <w:r>
        <w:rPr>
          <w:rFonts w:ascii="Arial" w:eastAsia="宋体" w:hAnsi="Arial" w:cs="Arial"/>
          <w:color w:val="000000"/>
          <w:sz w:val="20"/>
          <w:szCs w:val="20"/>
        </w:rPr>
        <w:t>We regard the protection of our intellectual property, including our trademarks (particularly those covering the eBay name), patents, copyrights, domain names, trade dress and trade secrets as critical to our success. We aggressivel</w:t>
      </w:r>
      <w:r>
        <w:rPr>
          <w:rFonts w:ascii="Arial" w:eastAsia="宋体" w:hAnsi="Arial" w:cs="Arial"/>
          <w:color w:val="000000"/>
          <w:sz w:val="20"/>
          <w:szCs w:val="20"/>
        </w:rPr>
        <w:t xml:space="preserve">y protect our intellectual property rights by relying on federal, state and common law rights in the U.S. and internationally, as well as a variety of administrative procedures. We also rely on contractual restrictions to protect our proprietary rights in </w:t>
      </w:r>
      <w:r>
        <w:rPr>
          <w:rFonts w:ascii="Arial" w:eastAsia="宋体" w:hAnsi="Arial" w:cs="Arial"/>
          <w:color w:val="000000"/>
          <w:sz w:val="20"/>
          <w:szCs w:val="20"/>
        </w:rPr>
        <w:t>products and services. We routinely enter into confidentiality and invention assignment agreements with our employees and contractors and nondisclosure agreements with parties with whom we conduct business to limit access to and disclosure of our proprieta</w:t>
      </w:r>
      <w:r>
        <w:rPr>
          <w:rFonts w:ascii="Arial" w:eastAsia="宋体" w:hAnsi="Arial" w:cs="Arial"/>
          <w:color w:val="000000"/>
          <w:sz w:val="20"/>
          <w:szCs w:val="20"/>
        </w:rPr>
        <w:t>ry information.</w:t>
      </w:r>
    </w:p>
    <w:p w14:paraId="22CFA136" w14:textId="77777777" w:rsidR="002661BA" w:rsidRDefault="002661BA"/>
    <w:p w14:paraId="22CFA137" w14:textId="77777777" w:rsidR="002661BA" w:rsidRDefault="00D972BC">
      <w:pPr>
        <w:ind w:firstLine="540"/>
        <w:jc w:val="both"/>
      </w:pPr>
      <w:r>
        <w:rPr>
          <w:rFonts w:ascii="Arial" w:eastAsia="宋体" w:hAnsi="Arial" w:cs="Arial"/>
          <w:color w:val="000000"/>
          <w:sz w:val="20"/>
          <w:szCs w:val="20"/>
        </w:rPr>
        <w:t>We pursue the registration of our domain names, trademarks and service marks in the U.S. and internationally. Additionally, we have filed U.S. and international patent applications covering certain aspects of our proprietary technology. Ef</w:t>
      </w:r>
      <w:r>
        <w:rPr>
          <w:rFonts w:ascii="Arial" w:eastAsia="宋体" w:hAnsi="Arial" w:cs="Arial"/>
          <w:color w:val="000000"/>
          <w:sz w:val="20"/>
          <w:szCs w:val="20"/>
        </w:rPr>
        <w:t xml:space="preserve">fective trademark, copyright, patent, domain name, trade dress and trade secret protection is typically expensive to maintain and may require litigation. We must protect our intellectual property rights and other proprietary rights in an increasing number </w:t>
      </w:r>
      <w:r>
        <w:rPr>
          <w:rFonts w:ascii="Arial" w:eastAsia="宋体" w:hAnsi="Arial" w:cs="Arial"/>
          <w:color w:val="000000"/>
          <w:sz w:val="20"/>
          <w:szCs w:val="20"/>
        </w:rPr>
        <w:t>of jurisdictions, a process that is expensive and time consuming and may not be successful.</w:t>
      </w:r>
    </w:p>
    <w:p w14:paraId="22CFA138" w14:textId="77777777" w:rsidR="002661BA" w:rsidRDefault="002661BA"/>
    <w:p w14:paraId="22CFA139" w14:textId="77777777" w:rsidR="002661BA" w:rsidRDefault="00D972BC">
      <w:pPr>
        <w:ind w:firstLine="540"/>
        <w:jc w:val="both"/>
      </w:pPr>
      <w:r>
        <w:rPr>
          <w:rFonts w:ascii="Arial" w:eastAsia="宋体" w:hAnsi="Arial" w:cs="Arial"/>
          <w:color w:val="000000"/>
          <w:sz w:val="20"/>
          <w:szCs w:val="20"/>
        </w:rPr>
        <w:t>We have registered our core brands as trademarks and domain names in the U.S. and a large number of other jurisdictions and have in place an active program to cont</w:t>
      </w:r>
      <w:r>
        <w:rPr>
          <w:rFonts w:ascii="Arial" w:eastAsia="宋体" w:hAnsi="Arial" w:cs="Arial"/>
          <w:color w:val="000000"/>
          <w:sz w:val="20"/>
          <w:szCs w:val="20"/>
        </w:rPr>
        <w:t>inue to secure trademarks and domain names that correspond to our brands in markets of interest. If we are unable to register or protect our trademarks or domain names, we could be adversely affected in any jurisdiction in which our trademarks or domain na</w:t>
      </w:r>
      <w:r>
        <w:rPr>
          <w:rFonts w:ascii="Arial" w:eastAsia="宋体" w:hAnsi="Arial" w:cs="Arial"/>
          <w:color w:val="000000"/>
          <w:sz w:val="20"/>
          <w:szCs w:val="20"/>
        </w:rPr>
        <w:t>mes are not registered or protected. We have licensed in the past, and expect to license in the future, certain of our proprietary rights, such as trademarks or copyrighted material, to others.</w:t>
      </w:r>
    </w:p>
    <w:p w14:paraId="22CFA13A" w14:textId="77777777" w:rsidR="002661BA" w:rsidRDefault="002661BA">
      <w:pPr>
        <w:ind w:firstLine="540"/>
        <w:jc w:val="both"/>
      </w:pPr>
    </w:p>
    <w:p w14:paraId="22CFA13B" w14:textId="77777777" w:rsidR="002661BA" w:rsidRDefault="00D972BC">
      <w:pPr>
        <w:ind w:firstLine="540"/>
        <w:jc w:val="both"/>
      </w:pPr>
      <w:r>
        <w:rPr>
          <w:rFonts w:ascii="Arial" w:eastAsia="宋体" w:hAnsi="Arial" w:cs="Arial"/>
          <w:color w:val="000000"/>
          <w:sz w:val="20"/>
          <w:szCs w:val="20"/>
        </w:rPr>
        <w:t>From time to time, third parties have claimed — and others wi</w:t>
      </w:r>
      <w:r>
        <w:rPr>
          <w:rFonts w:ascii="Arial" w:eastAsia="宋体" w:hAnsi="Arial" w:cs="Arial"/>
          <w:color w:val="000000"/>
          <w:sz w:val="20"/>
          <w:szCs w:val="20"/>
        </w:rPr>
        <w:t>ll likely claim in the future — that we have infringed their intellectual property rights. We are typically involved in a number of such legal proceedings at any time. Please see the information in “Item 3: Legal Proceedings” and in “Item 1A: Risk Factors”</w:t>
      </w:r>
      <w:r>
        <w:rPr>
          <w:rFonts w:ascii="Arial" w:eastAsia="宋体" w:hAnsi="Arial" w:cs="Arial"/>
          <w:color w:val="000000"/>
          <w:sz w:val="20"/>
          <w:szCs w:val="20"/>
        </w:rPr>
        <w:t xml:space="preserve"> under the captions “The listing or sale by our users of certain items, including items that allegedly infringe the intellectual property rights of rights owners, such as pirated or counterfeit items, illegal items or items used in an illegal manner may ha</w:t>
      </w:r>
      <w:r>
        <w:rPr>
          <w:rFonts w:ascii="Arial" w:eastAsia="宋体" w:hAnsi="Arial" w:cs="Arial"/>
          <w:color w:val="000000"/>
          <w:sz w:val="20"/>
          <w:szCs w:val="20"/>
        </w:rPr>
        <w:t>rm our business,” and “We may be unable to adequately protect or enforce our intellectual property rights and face ongoing allegations by third parties that we are infringing their intellectual property rights.”</w:t>
      </w:r>
    </w:p>
    <w:p w14:paraId="22CFA13C" w14:textId="77777777" w:rsidR="002661BA" w:rsidRDefault="00D972BC">
      <w:pPr>
        <w:jc w:val="center"/>
      </w:pPr>
      <w:r>
        <w:rPr>
          <w:rFonts w:ascii="Arial" w:eastAsia="宋体" w:hAnsi="Arial" w:cs="Arial"/>
          <w:color w:val="000000"/>
          <w:sz w:val="18"/>
          <w:szCs w:val="18"/>
        </w:rPr>
        <w:t>8</w:t>
      </w:r>
    </w:p>
    <w:p w14:paraId="22CFA13D" w14:textId="77777777" w:rsidR="002661BA" w:rsidRDefault="00D972BC">
      <w:r>
        <w:pict w14:anchorId="22CFE4B7">
          <v:rect id="_x0000_i1032" style="width:415.3pt;height:1.5pt" o:hralign="center" o:hrstd="t" o:hr="t" fillcolor="#a0a0a0" stroked="f"/>
        </w:pict>
      </w:r>
    </w:p>
    <w:p w14:paraId="22CFA13E" w14:textId="77777777" w:rsidR="002661BA" w:rsidRDefault="00D972BC">
      <w:hyperlink r:id="rId34" w:anchor="id0d7a71b05ce452ea9fdb54f3cb359c7_7" w:history="1">
        <w:r>
          <w:rPr>
            <w:rStyle w:val="a5"/>
            <w:rFonts w:ascii="Arial" w:eastAsia="宋体" w:hAnsi="Arial" w:cs="Arial"/>
            <w:sz w:val="18"/>
            <w:szCs w:val="18"/>
          </w:rPr>
          <w:t>Table of Contents</w:t>
        </w:r>
      </w:hyperlink>
    </w:p>
    <w:p w14:paraId="22CFA13F" w14:textId="77777777" w:rsidR="002661BA" w:rsidRDefault="002661BA">
      <w:pPr>
        <w:jc w:val="both"/>
      </w:pPr>
    </w:p>
    <w:p w14:paraId="22CFA140" w14:textId="77777777" w:rsidR="002661BA" w:rsidRDefault="00D972BC">
      <w:pPr>
        <w:ind w:firstLine="270"/>
        <w:jc w:val="both"/>
      </w:pPr>
      <w:r>
        <w:rPr>
          <w:rFonts w:ascii="Arial" w:eastAsia="宋体" w:hAnsi="Arial" w:cs="Arial"/>
          <w:b/>
          <w:bCs/>
          <w:i/>
          <w:iCs/>
          <w:color w:val="000000"/>
          <w:sz w:val="20"/>
          <w:szCs w:val="20"/>
        </w:rPr>
        <w:t>Human Capital Management</w:t>
      </w:r>
    </w:p>
    <w:p w14:paraId="22CFA141" w14:textId="77777777" w:rsidR="002661BA" w:rsidRDefault="002661BA">
      <w:pPr>
        <w:ind w:firstLine="540"/>
        <w:jc w:val="both"/>
      </w:pPr>
    </w:p>
    <w:p w14:paraId="22CFA142" w14:textId="77777777" w:rsidR="002661BA" w:rsidRDefault="00D972BC">
      <w:pPr>
        <w:ind w:firstLine="540"/>
        <w:jc w:val="both"/>
      </w:pPr>
      <w:r>
        <w:rPr>
          <w:rFonts w:ascii="Arial" w:eastAsia="宋体" w:hAnsi="Arial" w:cs="Arial"/>
          <w:color w:val="000000"/>
          <w:sz w:val="20"/>
          <w:szCs w:val="20"/>
        </w:rPr>
        <w:t xml:space="preserve">As of December 31, 2021, we employed approximately 10,800 people globally. Approximately 6,300 of </w:t>
      </w:r>
      <w:r>
        <w:rPr>
          <w:rFonts w:ascii="Arial" w:eastAsia="宋体" w:hAnsi="Arial" w:cs="Arial"/>
          <w:color w:val="000000"/>
          <w:sz w:val="20"/>
          <w:szCs w:val="20"/>
        </w:rPr>
        <w:t>our employees were located in the U.S. eBay has robust people-focused programs to support and retain our employees globally and to attract our future employees. Our recruitment, development, compensation and benefits and wellness programs are designed to r</w:t>
      </w:r>
      <w:r>
        <w:rPr>
          <w:rFonts w:ascii="Arial" w:eastAsia="宋体" w:hAnsi="Arial" w:cs="Arial"/>
          <w:color w:val="000000"/>
          <w:sz w:val="20"/>
          <w:szCs w:val="20"/>
        </w:rPr>
        <w:t>eflect our values and our goal to make eBay competitive in the market for talent and a place that is welcoming and inclusive. eBay’s management is focused on delivering programs that develop and support our people and connect them with our customers, our c</w:t>
      </w:r>
      <w:r>
        <w:rPr>
          <w:rFonts w:ascii="Arial" w:eastAsia="宋体" w:hAnsi="Arial" w:cs="Arial"/>
          <w:color w:val="000000"/>
          <w:sz w:val="20"/>
          <w:szCs w:val="20"/>
        </w:rPr>
        <w:t>ommunity, and each other.</w:t>
      </w:r>
    </w:p>
    <w:p w14:paraId="22CFA143" w14:textId="77777777" w:rsidR="002661BA" w:rsidRDefault="002661BA"/>
    <w:p w14:paraId="22CFA144" w14:textId="77777777" w:rsidR="002661BA" w:rsidRDefault="00D972BC">
      <w:pPr>
        <w:ind w:firstLine="540"/>
      </w:pPr>
      <w:r>
        <w:rPr>
          <w:rFonts w:ascii="Arial" w:eastAsia="宋体" w:hAnsi="Arial" w:cs="Arial"/>
          <w:i/>
          <w:iCs/>
          <w:color w:val="000000"/>
          <w:sz w:val="20"/>
          <w:szCs w:val="20"/>
        </w:rPr>
        <w:t>Culture</w:t>
      </w:r>
    </w:p>
    <w:p w14:paraId="22CFA145" w14:textId="77777777" w:rsidR="002661BA" w:rsidRDefault="002661BA">
      <w:pPr>
        <w:ind w:firstLine="360"/>
      </w:pPr>
    </w:p>
    <w:p w14:paraId="22CFA146" w14:textId="77777777" w:rsidR="002661BA" w:rsidRDefault="00D972BC">
      <w:pPr>
        <w:ind w:firstLine="540"/>
      </w:pPr>
      <w:r>
        <w:rPr>
          <w:rFonts w:ascii="Arial" w:eastAsia="宋体" w:hAnsi="Arial" w:cs="Arial"/>
          <w:color w:val="000000"/>
          <w:sz w:val="20"/>
          <w:szCs w:val="20"/>
        </w:rPr>
        <w:t xml:space="preserve">The heart of our culture is Our DNA, a framework launched in 2020 to link all employees to our purpose and beliefs. </w:t>
      </w:r>
    </w:p>
    <w:p w14:paraId="22CFA147" w14:textId="77777777" w:rsidR="002661BA" w:rsidRDefault="002661BA"/>
    <w:p w14:paraId="22CFA148" w14:textId="77777777" w:rsidR="002661BA" w:rsidRDefault="00D972BC">
      <w:pPr>
        <w:ind w:firstLine="720"/>
        <w:jc w:val="both"/>
      </w:pPr>
      <w:r>
        <w:rPr>
          <w:rFonts w:ascii="Arial" w:eastAsia="宋体" w:hAnsi="Arial" w:cs="Arial"/>
          <w:color w:val="000000"/>
          <w:sz w:val="20"/>
          <w:szCs w:val="20"/>
        </w:rPr>
        <w:t>Our Purpose: We connect people and build communities to create economic opportunity for all</w:t>
      </w:r>
    </w:p>
    <w:p w14:paraId="22CFA149" w14:textId="77777777" w:rsidR="002661BA" w:rsidRDefault="00D972BC">
      <w:pPr>
        <w:jc w:val="both"/>
      </w:pPr>
      <w:r>
        <w:rPr>
          <w:rFonts w:ascii="Arial" w:eastAsia="宋体" w:hAnsi="Arial" w:cs="Arial"/>
          <w:color w:val="000000"/>
          <w:sz w:val="20"/>
          <w:szCs w:val="20"/>
        </w:rPr>
        <w:t>Our Beliefs: These beliefs reflect our culture</w:t>
      </w:r>
      <w:r>
        <w:rPr>
          <w:rFonts w:ascii="Arial" w:eastAsia="宋体" w:hAnsi="Arial" w:cs="Arial"/>
          <w:color w:val="000000"/>
          <w:sz w:val="20"/>
          <w:szCs w:val="20"/>
        </w:rPr>
        <w:t xml:space="preserve"> at its best and our shared desire to be part of a company with a productive, fun way of working where we deliver the best we can for ourselves as employees and for our customers.</w:t>
      </w:r>
    </w:p>
    <w:p w14:paraId="22CFA14A" w14:textId="77777777" w:rsidR="002661BA" w:rsidRDefault="00D972BC">
      <w:pPr>
        <w:ind w:hanging="360"/>
      </w:pPr>
      <w:r>
        <w:rPr>
          <w:rFonts w:ascii="Arial" w:eastAsia="宋体" w:hAnsi="Arial" w:cs="Arial"/>
          <w:color w:val="000000"/>
          <w:sz w:val="20"/>
          <w:szCs w:val="20"/>
        </w:rPr>
        <w:t>•Empower our community</w:t>
      </w:r>
    </w:p>
    <w:p w14:paraId="22CFA14B" w14:textId="77777777" w:rsidR="002661BA" w:rsidRDefault="00D972BC">
      <w:pPr>
        <w:ind w:hanging="360"/>
      </w:pPr>
      <w:r>
        <w:rPr>
          <w:rFonts w:ascii="Arial" w:eastAsia="宋体" w:hAnsi="Arial" w:cs="Arial"/>
          <w:color w:val="000000"/>
          <w:sz w:val="20"/>
          <w:szCs w:val="20"/>
        </w:rPr>
        <w:t>•Innovate boldly</w:t>
      </w:r>
    </w:p>
    <w:p w14:paraId="22CFA14C" w14:textId="77777777" w:rsidR="002661BA" w:rsidRDefault="00D972BC">
      <w:pPr>
        <w:ind w:hanging="360"/>
      </w:pPr>
      <w:r>
        <w:rPr>
          <w:rFonts w:ascii="Arial" w:eastAsia="宋体" w:hAnsi="Arial" w:cs="Arial"/>
          <w:color w:val="000000"/>
          <w:sz w:val="20"/>
          <w:szCs w:val="20"/>
        </w:rPr>
        <w:t xml:space="preserve">•Deliver with impact </w:t>
      </w:r>
    </w:p>
    <w:p w14:paraId="22CFA14D" w14:textId="77777777" w:rsidR="002661BA" w:rsidRDefault="00D972BC">
      <w:pPr>
        <w:ind w:hanging="360"/>
      </w:pPr>
      <w:r>
        <w:rPr>
          <w:rFonts w:ascii="Arial" w:eastAsia="宋体" w:hAnsi="Arial" w:cs="Arial"/>
          <w:color w:val="000000"/>
          <w:sz w:val="20"/>
          <w:szCs w:val="20"/>
        </w:rPr>
        <w:t>•Be for everyone</w:t>
      </w:r>
    </w:p>
    <w:p w14:paraId="22CFA14E" w14:textId="77777777" w:rsidR="002661BA" w:rsidRDefault="00D972BC">
      <w:pPr>
        <w:ind w:hanging="360"/>
      </w:pPr>
      <w:r>
        <w:rPr>
          <w:rFonts w:ascii="Arial" w:eastAsia="宋体" w:hAnsi="Arial" w:cs="Arial"/>
          <w:color w:val="000000"/>
          <w:sz w:val="20"/>
          <w:szCs w:val="20"/>
        </w:rPr>
        <w:t>•Act with integrity</w:t>
      </w:r>
    </w:p>
    <w:p w14:paraId="22CFA14F" w14:textId="77777777" w:rsidR="002661BA" w:rsidRDefault="002661BA"/>
    <w:p w14:paraId="22CFA150" w14:textId="77777777" w:rsidR="002661BA" w:rsidRDefault="00D972BC">
      <w:pPr>
        <w:ind w:firstLine="540"/>
        <w:jc w:val="both"/>
      </w:pPr>
      <w:r>
        <w:rPr>
          <w:rFonts w:ascii="Arial" w:eastAsia="宋体" w:hAnsi="Arial" w:cs="Arial"/>
          <w:color w:val="000000"/>
          <w:sz w:val="20"/>
          <w:szCs w:val="20"/>
        </w:rPr>
        <w:t>In 2021, we continued to integrate Our DNA throughout our people programs and processes, including performance management, recruiting and hiring, new employee onboarding and training for individua</w:t>
      </w:r>
      <w:r>
        <w:rPr>
          <w:rFonts w:ascii="Arial" w:eastAsia="宋体" w:hAnsi="Arial" w:cs="Arial"/>
          <w:color w:val="000000"/>
          <w:sz w:val="20"/>
          <w:szCs w:val="20"/>
        </w:rPr>
        <w:t xml:space="preserve">ls and managers. The company’s Employee Code of Conduct has been rewritten to align to our DNA beliefs language. </w:t>
      </w:r>
    </w:p>
    <w:p w14:paraId="22CFA151" w14:textId="77777777" w:rsidR="002661BA" w:rsidRDefault="002661BA"/>
    <w:p w14:paraId="22CFA152" w14:textId="77777777" w:rsidR="002661BA" w:rsidRDefault="00D972BC">
      <w:pPr>
        <w:ind w:firstLine="540"/>
      </w:pPr>
      <w:r>
        <w:rPr>
          <w:rFonts w:ascii="Arial" w:eastAsia="宋体" w:hAnsi="Arial" w:cs="Arial"/>
          <w:i/>
          <w:iCs/>
          <w:color w:val="000000"/>
          <w:sz w:val="20"/>
          <w:szCs w:val="20"/>
        </w:rPr>
        <w:t>Pandemic Response</w:t>
      </w:r>
      <w:r>
        <w:rPr>
          <w:rFonts w:ascii="Arial" w:eastAsia="宋体" w:hAnsi="Arial" w:cs="Arial"/>
          <w:color w:val="000000"/>
          <w:sz w:val="20"/>
          <w:szCs w:val="20"/>
        </w:rPr>
        <w:t xml:space="preserve"> </w:t>
      </w:r>
    </w:p>
    <w:p w14:paraId="22CFA153" w14:textId="77777777" w:rsidR="002661BA" w:rsidRDefault="002661BA"/>
    <w:p w14:paraId="22CFA154" w14:textId="77777777" w:rsidR="002661BA" w:rsidRDefault="00D972BC">
      <w:pPr>
        <w:ind w:firstLine="540"/>
        <w:jc w:val="both"/>
      </w:pPr>
      <w:r>
        <w:rPr>
          <w:rFonts w:ascii="Arial" w:eastAsia="宋体" w:hAnsi="Arial" w:cs="Arial"/>
          <w:color w:val="000000"/>
          <w:sz w:val="20"/>
          <w:szCs w:val="20"/>
        </w:rPr>
        <w:t xml:space="preserve">We continue to monitor and adapt to workplace changes brought on by the COVID-19 pandemic. eBay continues to support our </w:t>
      </w:r>
      <w:r>
        <w:rPr>
          <w:rFonts w:ascii="Arial" w:eastAsia="宋体" w:hAnsi="Arial" w:cs="Arial"/>
          <w:color w:val="000000"/>
          <w:sz w:val="20"/>
          <w:szCs w:val="20"/>
        </w:rPr>
        <w:t xml:space="preserve">people who are predominantly working remotely by providing equipment, systems and resources for remote connection, including for our customer experience team members who are continuing to work from home in most cases. We also increased work flexibility to </w:t>
      </w:r>
      <w:r>
        <w:rPr>
          <w:rFonts w:ascii="Arial" w:eastAsia="宋体" w:hAnsi="Arial" w:cs="Arial"/>
          <w:color w:val="000000"/>
          <w:sz w:val="20"/>
          <w:szCs w:val="20"/>
        </w:rPr>
        <w:t>balance personal and professional responsibilities and continued to provide back-up in-home child and adult care in the U.S., U.K., Canada, Germany and Ireland. eBay has continually engaged with our people to support physical and mental health for them and</w:t>
      </w:r>
      <w:r>
        <w:rPr>
          <w:rFonts w:ascii="Arial" w:eastAsia="宋体" w:hAnsi="Arial" w:cs="Arial"/>
          <w:color w:val="000000"/>
          <w:sz w:val="20"/>
          <w:szCs w:val="20"/>
        </w:rPr>
        <w:t xml:space="preserve"> their families through online wellness resources, webinars, telehealth access and expansion of company-paid mental health support as well as additional training for managers and peers to support mental health. As we continued to hire employees throughout </w:t>
      </w:r>
      <w:r>
        <w:rPr>
          <w:rFonts w:ascii="Arial" w:eastAsia="宋体" w:hAnsi="Arial" w:cs="Arial"/>
          <w:color w:val="000000"/>
          <w:sz w:val="20"/>
          <w:szCs w:val="20"/>
        </w:rPr>
        <w:t>the pandemic, we have reimagined the employee onboarding experience. We have also had the opportunity to welcome employees back to the office on a voluntary basis, where it is safe to do so, and introduced new hybrid habits to enable collaboration in a hyb</w:t>
      </w:r>
      <w:r>
        <w:rPr>
          <w:rFonts w:ascii="Arial" w:eastAsia="宋体" w:hAnsi="Arial" w:cs="Arial"/>
          <w:color w:val="000000"/>
          <w:sz w:val="20"/>
          <w:szCs w:val="20"/>
        </w:rPr>
        <w:t>rid environment.</w:t>
      </w:r>
    </w:p>
    <w:p w14:paraId="22CFA155" w14:textId="77777777" w:rsidR="002661BA" w:rsidRDefault="002661BA">
      <w:pPr>
        <w:jc w:val="both"/>
      </w:pPr>
    </w:p>
    <w:p w14:paraId="22CFA156" w14:textId="77777777" w:rsidR="002661BA" w:rsidRDefault="00D972BC">
      <w:pPr>
        <w:ind w:firstLine="540"/>
        <w:jc w:val="both"/>
      </w:pPr>
      <w:r>
        <w:rPr>
          <w:rFonts w:ascii="Arial" w:eastAsia="宋体" w:hAnsi="Arial" w:cs="Arial"/>
          <w:i/>
          <w:iCs/>
          <w:color w:val="000000"/>
          <w:sz w:val="20"/>
          <w:szCs w:val="20"/>
        </w:rPr>
        <w:t>Diversity, Equity and Inclusion</w:t>
      </w:r>
    </w:p>
    <w:p w14:paraId="22CFA157" w14:textId="77777777" w:rsidR="002661BA" w:rsidRDefault="002661BA">
      <w:pPr>
        <w:jc w:val="both"/>
      </w:pPr>
    </w:p>
    <w:p w14:paraId="22CFA158" w14:textId="77777777" w:rsidR="002661BA" w:rsidRDefault="00D972BC">
      <w:pPr>
        <w:ind w:firstLine="540"/>
        <w:jc w:val="both"/>
      </w:pPr>
      <w:r>
        <w:rPr>
          <w:rFonts w:ascii="Arial" w:eastAsia="宋体" w:hAnsi="Arial" w:cs="Arial"/>
          <w:color w:val="000000"/>
          <w:sz w:val="20"/>
          <w:szCs w:val="20"/>
        </w:rPr>
        <w:t xml:space="preserve">Diversity, Equity and Inclusion continues to focus on three strategic areas — workforce, workplace and marketplace. Equity remains at the forefront of all we do to hire, grow, and keep top talent, enhance </w:t>
      </w:r>
      <w:r>
        <w:rPr>
          <w:rFonts w:ascii="Arial" w:eastAsia="宋体" w:hAnsi="Arial" w:cs="Arial"/>
          <w:color w:val="000000"/>
          <w:sz w:val="20"/>
          <w:szCs w:val="20"/>
        </w:rPr>
        <w:t>corporate performance, and foster a welcoming and inclusive place to work, learn and grow. We continue efforts to enhance our processes, while leveraging deepened and actionable data insights, coupled with updated learning and development practices as well</w:t>
      </w:r>
      <w:r>
        <w:rPr>
          <w:rFonts w:ascii="Arial" w:eastAsia="宋体" w:hAnsi="Arial" w:cs="Arial"/>
          <w:color w:val="000000"/>
          <w:sz w:val="20"/>
          <w:szCs w:val="20"/>
        </w:rPr>
        <w:t xml:space="preserve"> as the planned design and implementation of a new governance model to ensure that we drive shared accountability throughout the organization. Our Communities of Inclusion welcome and connect eBay employees all over the world to help us build and nurture e</w:t>
      </w:r>
      <w:r>
        <w:rPr>
          <w:rFonts w:ascii="Arial" w:eastAsia="宋体" w:hAnsi="Arial" w:cs="Arial"/>
          <w:color w:val="000000"/>
          <w:sz w:val="20"/>
          <w:szCs w:val="20"/>
        </w:rPr>
        <w:t>mployees, allies and external communities. They host events and forums to connect employees to groups organized around age, disability status, ethnicity, gender, religion, military status, parental status and sexual orientation and gender identity and expr</w:t>
      </w:r>
      <w:r>
        <w:rPr>
          <w:rFonts w:ascii="Arial" w:eastAsia="宋体" w:hAnsi="Arial" w:cs="Arial"/>
          <w:color w:val="000000"/>
          <w:sz w:val="20"/>
          <w:szCs w:val="20"/>
        </w:rPr>
        <w:t xml:space="preserve">ession. We are currently preparing our sixth Global Diversity, Equity &amp; Inclusion report for publication in the second quarter of 2022. </w:t>
      </w:r>
    </w:p>
    <w:p w14:paraId="22CFA159" w14:textId="77777777" w:rsidR="002661BA" w:rsidRDefault="002661BA">
      <w:pPr>
        <w:ind w:firstLine="540"/>
        <w:jc w:val="both"/>
      </w:pPr>
    </w:p>
    <w:p w14:paraId="22CFA15A" w14:textId="77777777" w:rsidR="002661BA" w:rsidRDefault="00D972BC">
      <w:pPr>
        <w:jc w:val="center"/>
      </w:pPr>
      <w:r>
        <w:rPr>
          <w:rFonts w:ascii="Arial" w:eastAsia="宋体" w:hAnsi="Arial" w:cs="Arial"/>
          <w:color w:val="000000"/>
          <w:sz w:val="18"/>
          <w:szCs w:val="18"/>
        </w:rPr>
        <w:t>9</w:t>
      </w:r>
    </w:p>
    <w:p w14:paraId="22CFA15B" w14:textId="77777777" w:rsidR="002661BA" w:rsidRDefault="00D972BC">
      <w:r>
        <w:pict w14:anchorId="22CFE4B8">
          <v:rect id="_x0000_i1033" style="width:415.3pt;height:1.5pt" o:hralign="center" o:hrstd="t" o:hr="t" fillcolor="#a0a0a0" stroked="f"/>
        </w:pict>
      </w:r>
    </w:p>
    <w:p w14:paraId="22CFA15C" w14:textId="77777777" w:rsidR="002661BA" w:rsidRDefault="00D972BC">
      <w:hyperlink r:id="rId35" w:anchor="id0d7a71b05ce452ea9fdb54f3cb359c7_7" w:history="1">
        <w:r>
          <w:rPr>
            <w:rStyle w:val="a5"/>
            <w:rFonts w:ascii="Arial" w:eastAsia="宋体" w:hAnsi="Arial" w:cs="Arial"/>
            <w:sz w:val="18"/>
            <w:szCs w:val="18"/>
          </w:rPr>
          <w:t>Table of Contents</w:t>
        </w:r>
      </w:hyperlink>
    </w:p>
    <w:p w14:paraId="22CFA15D" w14:textId="77777777" w:rsidR="002661BA" w:rsidRDefault="00D972BC">
      <w:pPr>
        <w:ind w:firstLine="540"/>
        <w:jc w:val="both"/>
      </w:pPr>
      <w:r>
        <w:rPr>
          <w:rFonts w:ascii="Arial" w:eastAsia="宋体" w:hAnsi="Arial" w:cs="Arial"/>
          <w:i/>
          <w:iCs/>
          <w:color w:val="000000"/>
          <w:sz w:val="20"/>
          <w:szCs w:val="20"/>
        </w:rPr>
        <w:t>Acting with Integrity</w:t>
      </w:r>
    </w:p>
    <w:p w14:paraId="22CFA15E" w14:textId="77777777" w:rsidR="002661BA" w:rsidRDefault="002661BA">
      <w:pPr>
        <w:ind w:firstLine="540"/>
        <w:jc w:val="both"/>
      </w:pPr>
    </w:p>
    <w:p w14:paraId="22CFA15F" w14:textId="77777777" w:rsidR="002661BA" w:rsidRDefault="00D972BC">
      <w:pPr>
        <w:ind w:firstLine="540"/>
        <w:jc w:val="both"/>
      </w:pPr>
      <w:r>
        <w:rPr>
          <w:rFonts w:ascii="Arial" w:eastAsia="宋体" w:hAnsi="Arial" w:cs="Arial"/>
          <w:color w:val="000000"/>
          <w:sz w:val="20"/>
          <w:szCs w:val="20"/>
        </w:rPr>
        <w:t>We maintained our commitment to ethics and acting with integrity in 2021. We took big and small actions to ensure that we are open, honest, ethical and authentic with ongoing t</w:t>
      </w:r>
      <w:r>
        <w:rPr>
          <w:rFonts w:ascii="Arial" w:eastAsia="宋体" w:hAnsi="Arial" w:cs="Arial"/>
          <w:color w:val="000000"/>
          <w:sz w:val="20"/>
          <w:szCs w:val="20"/>
        </w:rPr>
        <w:t>rainings, quarterly “tone from the top” engagements between leaders with their employees and daily ethics contests during Ethics and Compliance Week.</w:t>
      </w:r>
    </w:p>
    <w:p w14:paraId="22CFA160" w14:textId="77777777" w:rsidR="002661BA" w:rsidRDefault="002661BA">
      <w:pPr>
        <w:ind w:firstLine="540"/>
        <w:jc w:val="both"/>
      </w:pPr>
    </w:p>
    <w:p w14:paraId="22CFA161" w14:textId="77777777" w:rsidR="002661BA" w:rsidRDefault="00D972BC">
      <w:pPr>
        <w:ind w:firstLine="540"/>
        <w:jc w:val="both"/>
      </w:pPr>
      <w:r>
        <w:rPr>
          <w:rFonts w:ascii="Arial" w:eastAsia="宋体" w:hAnsi="Arial" w:cs="Arial"/>
          <w:i/>
          <w:iCs/>
          <w:color w:val="000000"/>
          <w:sz w:val="20"/>
          <w:szCs w:val="20"/>
        </w:rPr>
        <w:t>Parental Leave</w:t>
      </w:r>
    </w:p>
    <w:p w14:paraId="22CFA162" w14:textId="77777777" w:rsidR="002661BA" w:rsidRDefault="002661BA">
      <w:pPr>
        <w:ind w:firstLine="540"/>
        <w:jc w:val="both"/>
      </w:pPr>
    </w:p>
    <w:p w14:paraId="22CFA163" w14:textId="77777777" w:rsidR="002661BA" w:rsidRDefault="00D972BC">
      <w:pPr>
        <w:ind w:firstLine="540"/>
        <w:jc w:val="both"/>
      </w:pPr>
      <w:r>
        <w:rPr>
          <w:rFonts w:ascii="Arial" w:eastAsia="宋体" w:hAnsi="Arial" w:cs="Arial"/>
          <w:color w:val="000000"/>
          <w:sz w:val="20"/>
          <w:szCs w:val="20"/>
        </w:rPr>
        <w:t>In addition to competitive pay and benefits, eBay offers additional parental time off beyond what is required by law in the U.S. and in most countries where we operate. This benefit is offered for parents welcoming a new child into the family whether by gi</w:t>
      </w:r>
      <w:r>
        <w:rPr>
          <w:rFonts w:ascii="Arial" w:eastAsia="宋体" w:hAnsi="Arial" w:cs="Arial"/>
          <w:color w:val="000000"/>
          <w:sz w:val="20"/>
          <w:szCs w:val="20"/>
        </w:rPr>
        <w:t xml:space="preserve">ving birth, adopting or welcoming a child through surrogacy. This is an important demonstration of our commitment to working parents and their families. </w:t>
      </w:r>
    </w:p>
    <w:p w14:paraId="22CFA164" w14:textId="77777777" w:rsidR="002661BA" w:rsidRDefault="002661BA">
      <w:pPr>
        <w:jc w:val="both"/>
      </w:pPr>
    </w:p>
    <w:p w14:paraId="22CFA165" w14:textId="77777777" w:rsidR="002661BA" w:rsidRDefault="00D972BC">
      <w:pPr>
        <w:ind w:firstLine="540"/>
        <w:jc w:val="both"/>
      </w:pPr>
      <w:r>
        <w:rPr>
          <w:rFonts w:ascii="Arial" w:eastAsia="宋体" w:hAnsi="Arial" w:cs="Arial"/>
          <w:i/>
          <w:iCs/>
          <w:color w:val="000000"/>
          <w:sz w:val="20"/>
          <w:szCs w:val="20"/>
        </w:rPr>
        <w:t>Employee Voice &amp; Values</w:t>
      </w:r>
    </w:p>
    <w:p w14:paraId="22CFA166" w14:textId="77777777" w:rsidR="002661BA" w:rsidRDefault="002661BA">
      <w:pPr>
        <w:ind w:firstLine="360"/>
        <w:jc w:val="both"/>
      </w:pPr>
    </w:p>
    <w:p w14:paraId="22CFA167" w14:textId="77777777" w:rsidR="002661BA" w:rsidRDefault="00D972BC">
      <w:pPr>
        <w:ind w:firstLine="540"/>
        <w:jc w:val="both"/>
      </w:pPr>
      <w:r>
        <w:rPr>
          <w:rFonts w:ascii="Arial" w:eastAsia="宋体" w:hAnsi="Arial" w:cs="Arial"/>
          <w:color w:val="000000"/>
          <w:sz w:val="20"/>
          <w:szCs w:val="20"/>
        </w:rPr>
        <w:t>In addition to multiple channels for sharing feedback, we also regularly survey our employees on trust and engagement, their experience with diversity, equity and inclusion, ethics and integrity, and this year regarding their thoughts on returning to the o</w:t>
      </w:r>
      <w:r>
        <w:rPr>
          <w:rFonts w:ascii="Arial" w:eastAsia="宋体" w:hAnsi="Arial" w:cs="Arial"/>
          <w:color w:val="000000"/>
          <w:sz w:val="20"/>
          <w:szCs w:val="20"/>
        </w:rPr>
        <w:t>ffice. Our employees highly value eBay’s approach to Impact and Responsibility and Diversity, Equity &amp; Inclusion discussed earlier in the report. Employees are proud of eBay’s efforts to reduce our carbon footprint and the sustainable commerce that is enab</w:t>
      </w:r>
      <w:r>
        <w:rPr>
          <w:rFonts w:ascii="Arial" w:eastAsia="宋体" w:hAnsi="Arial" w:cs="Arial"/>
          <w:color w:val="000000"/>
          <w:sz w:val="20"/>
          <w:szCs w:val="20"/>
        </w:rPr>
        <w:t xml:space="preserve">led by our platform. These commitments are core to our business and they positively impact recruitment, engagement and retention. </w:t>
      </w:r>
    </w:p>
    <w:p w14:paraId="22CFA168" w14:textId="77777777" w:rsidR="002661BA" w:rsidRDefault="002661BA">
      <w:pPr>
        <w:ind w:firstLine="540"/>
        <w:jc w:val="both"/>
      </w:pPr>
    </w:p>
    <w:p w14:paraId="22CFA169" w14:textId="77777777" w:rsidR="002661BA" w:rsidRDefault="00D972BC">
      <w:pPr>
        <w:ind w:firstLine="270"/>
        <w:jc w:val="both"/>
      </w:pPr>
      <w:r>
        <w:rPr>
          <w:rFonts w:ascii="Arial" w:eastAsia="宋体" w:hAnsi="Arial" w:cs="Arial"/>
          <w:b/>
          <w:bCs/>
          <w:i/>
          <w:iCs/>
          <w:color w:val="000000"/>
          <w:sz w:val="20"/>
          <w:szCs w:val="20"/>
        </w:rPr>
        <w:t xml:space="preserve">Available Information </w:t>
      </w:r>
    </w:p>
    <w:p w14:paraId="22CFA16A" w14:textId="77777777" w:rsidR="002661BA" w:rsidRDefault="002661BA">
      <w:pPr>
        <w:ind w:firstLine="540"/>
        <w:jc w:val="both"/>
      </w:pPr>
    </w:p>
    <w:p w14:paraId="22CFA16B" w14:textId="77777777" w:rsidR="002661BA" w:rsidRDefault="00D972BC">
      <w:pPr>
        <w:ind w:firstLine="540"/>
        <w:jc w:val="both"/>
      </w:pPr>
      <w:r>
        <w:rPr>
          <w:rFonts w:ascii="Arial" w:eastAsia="宋体" w:hAnsi="Arial" w:cs="Arial"/>
          <w:color w:val="000000"/>
          <w:sz w:val="20"/>
          <w:szCs w:val="20"/>
        </w:rPr>
        <w:t xml:space="preserve">Our Internet address is </w:t>
      </w:r>
      <w:r>
        <w:rPr>
          <w:rFonts w:ascii="Arial" w:eastAsia="宋体" w:hAnsi="Arial" w:cs="Arial"/>
          <w:color w:val="000000"/>
          <w:sz w:val="20"/>
          <w:szCs w:val="20"/>
          <w:u w:val="single"/>
        </w:rPr>
        <w:t>www.ebay.com</w:t>
      </w:r>
      <w:r>
        <w:rPr>
          <w:rFonts w:ascii="Arial" w:eastAsia="宋体" w:hAnsi="Arial" w:cs="Arial"/>
          <w:color w:val="000000"/>
          <w:sz w:val="20"/>
          <w:szCs w:val="20"/>
        </w:rPr>
        <w:t xml:space="preserve">. Our investor relations website is located at </w:t>
      </w:r>
      <w:r>
        <w:rPr>
          <w:rFonts w:ascii="Arial" w:eastAsia="宋体" w:hAnsi="Arial" w:cs="Arial"/>
          <w:color w:val="000000"/>
          <w:sz w:val="20"/>
          <w:szCs w:val="20"/>
          <w:u w:val="single"/>
        </w:rPr>
        <w:t>investors.ebayinc</w:t>
      </w:r>
      <w:r>
        <w:rPr>
          <w:rFonts w:ascii="Arial" w:eastAsia="宋体" w:hAnsi="Arial" w:cs="Arial"/>
          <w:color w:val="000000"/>
          <w:sz w:val="20"/>
          <w:szCs w:val="20"/>
          <w:u w:val="single"/>
        </w:rPr>
        <w:t>.com</w:t>
      </w:r>
      <w:r>
        <w:rPr>
          <w:rFonts w:ascii="Arial" w:eastAsia="宋体" w:hAnsi="Arial" w:cs="Arial"/>
          <w:color w:val="000000"/>
          <w:sz w:val="20"/>
          <w:szCs w:val="20"/>
        </w:rPr>
        <w:t>. We make available free of charge on our investor relations website under the heading “Financial Information - SEC Filings” our Annual Reports on Form 10-K, Quarterly Reports on Form 10-Q, Current Reports on Form 8-K and amendments to those reports as</w:t>
      </w:r>
      <w:r>
        <w:rPr>
          <w:rFonts w:ascii="Arial" w:eastAsia="宋体" w:hAnsi="Arial" w:cs="Arial"/>
          <w:color w:val="000000"/>
          <w:sz w:val="20"/>
          <w:szCs w:val="20"/>
        </w:rPr>
        <w:t xml:space="preserve"> soon as reasonably practicable after such materials are electronically filed with (or furnished to) the SEC at www.sec.gov.</w:t>
      </w:r>
    </w:p>
    <w:p w14:paraId="22CFA16C" w14:textId="77777777" w:rsidR="002661BA" w:rsidRDefault="002661BA"/>
    <w:p w14:paraId="22CFA16D" w14:textId="77777777" w:rsidR="002661BA" w:rsidRDefault="00D972BC">
      <w:pPr>
        <w:ind w:firstLine="540"/>
        <w:jc w:val="both"/>
      </w:pPr>
      <w:r>
        <w:rPr>
          <w:rFonts w:ascii="Arial" w:eastAsia="宋体" w:hAnsi="Arial" w:cs="Arial"/>
          <w:color w:val="000000"/>
          <w:sz w:val="20"/>
          <w:szCs w:val="20"/>
        </w:rPr>
        <w:t>We webcast our earnings calls and certain events we participate in or host with members of the investment community on our investo</w:t>
      </w:r>
      <w:r>
        <w:rPr>
          <w:rFonts w:ascii="Arial" w:eastAsia="宋体" w:hAnsi="Arial" w:cs="Arial"/>
          <w:color w:val="000000"/>
          <w:sz w:val="20"/>
          <w:szCs w:val="20"/>
        </w:rPr>
        <w:t>r relations website. Additionally, we provide notifications of news or announcements regarding our financial performance, including SEC filings, investor events, press and earnings releases, and blogs on our investor relations website. Company sustainabili</w:t>
      </w:r>
      <w:r>
        <w:rPr>
          <w:rFonts w:ascii="Arial" w:eastAsia="宋体" w:hAnsi="Arial" w:cs="Arial"/>
          <w:color w:val="000000"/>
          <w:sz w:val="20"/>
          <w:szCs w:val="20"/>
        </w:rPr>
        <w:t xml:space="preserve">ty information for investors is available on our investor relations website under the heading “ESG Investors.” Corporate governance information, including our governance guidelines for our Board of Directors (“Board”), Board committee charters and code of </w:t>
      </w:r>
      <w:r>
        <w:rPr>
          <w:rFonts w:ascii="Arial" w:eastAsia="宋体" w:hAnsi="Arial" w:cs="Arial"/>
          <w:color w:val="000000"/>
          <w:sz w:val="20"/>
          <w:szCs w:val="20"/>
        </w:rPr>
        <w:t>conduct, is also available on our investor relations website under the heading “Corporate Governance.”</w:t>
      </w:r>
    </w:p>
    <w:p w14:paraId="22CFA16E" w14:textId="77777777" w:rsidR="002661BA" w:rsidRDefault="002661BA"/>
    <w:p w14:paraId="22CFA16F" w14:textId="77777777" w:rsidR="002661BA" w:rsidRDefault="00D972BC">
      <w:pPr>
        <w:ind w:firstLine="540"/>
        <w:jc w:val="both"/>
      </w:pPr>
      <w:r>
        <w:rPr>
          <w:rFonts w:ascii="Arial" w:eastAsia="宋体" w:hAnsi="Arial" w:cs="Arial"/>
          <w:color w:val="000000"/>
          <w:sz w:val="20"/>
          <w:szCs w:val="20"/>
        </w:rPr>
        <w:t xml:space="preserve">The contents of our websites and webcasts and information that can be accessed through our websites and webcasts are not incorporated by reference into </w:t>
      </w:r>
      <w:r>
        <w:rPr>
          <w:rFonts w:ascii="Arial" w:eastAsia="宋体" w:hAnsi="Arial" w:cs="Arial"/>
          <w:color w:val="000000"/>
          <w:sz w:val="20"/>
          <w:szCs w:val="20"/>
        </w:rPr>
        <w:t>this Annual Report on Form 10-K or in any other report or document we file with (or furnish to) the SEC, and any references to our websites and webcasts are intended to be inactive textual references only.</w:t>
      </w:r>
    </w:p>
    <w:p w14:paraId="22CFA170" w14:textId="77777777" w:rsidR="002661BA" w:rsidRDefault="00D972BC">
      <w:pPr>
        <w:jc w:val="center"/>
      </w:pPr>
      <w:r>
        <w:rPr>
          <w:rFonts w:ascii="Arial" w:eastAsia="宋体" w:hAnsi="Arial" w:cs="Arial"/>
          <w:color w:val="000000"/>
          <w:sz w:val="18"/>
          <w:szCs w:val="18"/>
        </w:rPr>
        <w:t>10</w:t>
      </w:r>
    </w:p>
    <w:p w14:paraId="22CFA171" w14:textId="77777777" w:rsidR="002661BA" w:rsidRDefault="00D972BC">
      <w:r>
        <w:pict w14:anchorId="22CFE4B9">
          <v:rect id="_x0000_i1034" style="width:415.3pt;height:1.5pt" o:hralign="center" o:hrstd="t" o:hr="t" fillcolor="#a0a0a0" stroked="f"/>
        </w:pict>
      </w:r>
    </w:p>
    <w:p w14:paraId="22CFA172" w14:textId="77777777" w:rsidR="002661BA" w:rsidRDefault="00D972BC">
      <w:hyperlink r:id="rId36" w:anchor="id0d7a71b05ce452ea9fdb54f3cb359c7_7" w:history="1">
        <w:r>
          <w:rPr>
            <w:rStyle w:val="a5"/>
            <w:rFonts w:ascii="Arial" w:eastAsia="宋体" w:hAnsi="Arial" w:cs="Arial"/>
            <w:sz w:val="18"/>
            <w:szCs w:val="18"/>
          </w:rPr>
          <w:t>Table of Contents</w:t>
        </w:r>
      </w:hyperlink>
    </w:p>
    <w:p w14:paraId="22CFA173" w14:textId="77777777" w:rsidR="002661BA" w:rsidRDefault="00D972BC">
      <w:pPr>
        <w:jc w:val="both"/>
      </w:pPr>
      <w:r>
        <w:rPr>
          <w:rFonts w:ascii="Arial" w:eastAsia="宋体" w:hAnsi="Arial" w:cs="Arial"/>
          <w:b/>
          <w:bCs/>
          <w:color w:val="000000"/>
          <w:sz w:val="20"/>
          <w:szCs w:val="20"/>
        </w:rPr>
        <w:t xml:space="preserve">Item 1A: </w:t>
      </w:r>
      <w:r>
        <w:rPr>
          <w:rFonts w:ascii="Arial" w:eastAsia="宋体" w:hAnsi="Arial" w:cs="Arial"/>
          <w:b/>
          <w:bCs/>
          <w:i/>
          <w:iCs/>
          <w:color w:val="000000"/>
          <w:sz w:val="20"/>
          <w:szCs w:val="20"/>
        </w:rPr>
        <w:t>RISK FACTORS</w:t>
      </w:r>
    </w:p>
    <w:p w14:paraId="22CFA174" w14:textId="77777777" w:rsidR="002661BA" w:rsidRDefault="002661BA">
      <w:pPr>
        <w:jc w:val="both"/>
      </w:pPr>
    </w:p>
    <w:p w14:paraId="22CFA175" w14:textId="77777777" w:rsidR="002661BA" w:rsidRDefault="00D972BC">
      <w:pPr>
        <w:ind w:firstLine="270"/>
        <w:jc w:val="both"/>
      </w:pPr>
      <w:r>
        <w:rPr>
          <w:rFonts w:ascii="Arial" w:eastAsia="宋体" w:hAnsi="Arial" w:cs="Arial"/>
          <w:b/>
          <w:bCs/>
          <w:i/>
          <w:iCs/>
          <w:color w:val="000000"/>
          <w:sz w:val="20"/>
          <w:szCs w:val="20"/>
          <w:u w:val="single"/>
        </w:rPr>
        <w:t>Risk Factors Summary:</w:t>
      </w:r>
    </w:p>
    <w:p w14:paraId="22CFA176" w14:textId="77777777" w:rsidR="002661BA" w:rsidRDefault="002661BA">
      <w:pPr>
        <w:jc w:val="both"/>
      </w:pPr>
    </w:p>
    <w:p w14:paraId="22CFA177" w14:textId="77777777" w:rsidR="002661BA" w:rsidRDefault="00D972BC">
      <w:pPr>
        <w:ind w:firstLine="540"/>
        <w:jc w:val="both"/>
      </w:pPr>
      <w:r>
        <w:rPr>
          <w:rFonts w:ascii="Arial" w:eastAsia="宋体" w:hAnsi="Arial" w:cs="Arial"/>
          <w:color w:val="000000"/>
          <w:sz w:val="20"/>
          <w:szCs w:val="20"/>
        </w:rPr>
        <w:t xml:space="preserve">The summary of risks below provides an overview of the principal risks we are exposed to in the normal course of our business activities: </w:t>
      </w:r>
    </w:p>
    <w:p w14:paraId="22CFA178" w14:textId="77777777" w:rsidR="002661BA" w:rsidRDefault="002661BA">
      <w:pPr>
        <w:ind w:firstLine="540"/>
        <w:jc w:val="both"/>
      </w:pPr>
    </w:p>
    <w:p w14:paraId="22CFA179" w14:textId="77777777" w:rsidR="002661BA" w:rsidRDefault="00D972BC">
      <w:pPr>
        <w:ind w:hanging="360"/>
        <w:jc w:val="both"/>
      </w:pPr>
      <w:r>
        <w:rPr>
          <w:rFonts w:ascii="Arial" w:eastAsia="宋体" w:hAnsi="Arial" w:cs="Arial"/>
          <w:color w:val="000000"/>
          <w:sz w:val="20"/>
          <w:szCs w:val="20"/>
        </w:rPr>
        <w:t xml:space="preserve">•Our operating and financial results are subject to various risks and uncertainties that could adversely affect our </w:t>
      </w:r>
      <w:r>
        <w:rPr>
          <w:rFonts w:ascii="Arial" w:eastAsia="宋体" w:hAnsi="Arial" w:cs="Arial"/>
          <w:color w:val="000000"/>
          <w:sz w:val="20"/>
          <w:szCs w:val="20"/>
        </w:rPr>
        <w:t>business, financial condition, results of operations and cash flows, as well as the trading price of our common stock and debt securities.</w:t>
      </w:r>
    </w:p>
    <w:p w14:paraId="22CFA17A" w14:textId="77777777" w:rsidR="002661BA" w:rsidRDefault="00D972BC">
      <w:pPr>
        <w:ind w:hanging="360"/>
        <w:jc w:val="both"/>
      </w:pPr>
      <w:r>
        <w:rPr>
          <w:rFonts w:ascii="Arial" w:eastAsia="宋体" w:hAnsi="Arial" w:cs="Arial"/>
          <w:color w:val="000000"/>
          <w:sz w:val="20"/>
          <w:szCs w:val="20"/>
        </w:rPr>
        <w:t>•Substantial and increasingly intense competition worldwide in ecommerce may harm our business.</w:t>
      </w:r>
    </w:p>
    <w:p w14:paraId="22CFA17B" w14:textId="77777777" w:rsidR="002661BA" w:rsidRDefault="00D972BC">
      <w:pPr>
        <w:ind w:hanging="360"/>
        <w:jc w:val="both"/>
      </w:pPr>
      <w:r>
        <w:rPr>
          <w:rFonts w:ascii="Arial" w:eastAsia="宋体" w:hAnsi="Arial" w:cs="Arial"/>
          <w:color w:val="000000"/>
          <w:sz w:val="20"/>
          <w:szCs w:val="20"/>
        </w:rPr>
        <w:t xml:space="preserve">•The global </w:t>
      </w:r>
      <w:r>
        <w:rPr>
          <w:rFonts w:ascii="Arial" w:eastAsia="宋体" w:hAnsi="Arial" w:cs="Arial"/>
          <w:color w:val="000000"/>
          <w:sz w:val="20"/>
          <w:szCs w:val="20"/>
        </w:rPr>
        <w:t>COVID-19 pandemic could harm our business and results of operations.</w:t>
      </w:r>
    </w:p>
    <w:p w14:paraId="22CFA17C" w14:textId="77777777" w:rsidR="002661BA" w:rsidRDefault="00D972BC">
      <w:pPr>
        <w:ind w:hanging="360"/>
        <w:jc w:val="both"/>
      </w:pPr>
      <w:r>
        <w:rPr>
          <w:rFonts w:ascii="Arial" w:eastAsia="宋体" w:hAnsi="Arial" w:cs="Arial"/>
          <w:color w:val="000000"/>
          <w:sz w:val="20"/>
          <w:szCs w:val="20"/>
        </w:rPr>
        <w:t>•Fluctuations in foreign currency exchange rates could negatively impact our financial results.</w:t>
      </w:r>
    </w:p>
    <w:p w14:paraId="22CFA17D" w14:textId="77777777" w:rsidR="002661BA" w:rsidRDefault="00D972BC">
      <w:pPr>
        <w:ind w:hanging="360"/>
        <w:jc w:val="both"/>
      </w:pPr>
      <w:r>
        <w:rPr>
          <w:rFonts w:ascii="Arial" w:eastAsia="宋体" w:hAnsi="Arial" w:cs="Arial"/>
          <w:color w:val="000000"/>
          <w:sz w:val="20"/>
          <w:szCs w:val="20"/>
        </w:rPr>
        <w:t>•Our international operations and engagement in cross-border trade are subject to risks, wh</w:t>
      </w:r>
      <w:r>
        <w:rPr>
          <w:rFonts w:ascii="Arial" w:eastAsia="宋体" w:hAnsi="Arial" w:cs="Arial"/>
          <w:color w:val="000000"/>
          <w:sz w:val="20"/>
          <w:szCs w:val="20"/>
        </w:rPr>
        <w:t>ich could harm our business.</w:t>
      </w:r>
    </w:p>
    <w:p w14:paraId="22CFA17E" w14:textId="77777777" w:rsidR="002661BA" w:rsidRDefault="00D972BC">
      <w:pPr>
        <w:ind w:hanging="360"/>
        <w:jc w:val="both"/>
      </w:pPr>
      <w:r>
        <w:rPr>
          <w:rFonts w:ascii="Arial" w:eastAsia="宋体" w:hAnsi="Arial" w:cs="Arial"/>
          <w:color w:val="000000"/>
          <w:sz w:val="20"/>
          <w:szCs w:val="20"/>
        </w:rPr>
        <w:t>•Our business may be adversely affected by geopolitical events, natural disasters, seasonal factors and similar factors.</w:t>
      </w:r>
    </w:p>
    <w:p w14:paraId="22CFA17F" w14:textId="77777777" w:rsidR="002661BA" w:rsidRDefault="00D972BC">
      <w:pPr>
        <w:ind w:hanging="360"/>
        <w:jc w:val="both"/>
      </w:pPr>
      <w:r>
        <w:rPr>
          <w:rFonts w:ascii="Arial" w:eastAsia="宋体" w:hAnsi="Arial" w:cs="Arial"/>
          <w:color w:val="000000"/>
          <w:sz w:val="20"/>
          <w:szCs w:val="20"/>
        </w:rPr>
        <w:t>•If we cannot keep pace with rapid technological developments or continue to innovate and create new initi</w:t>
      </w:r>
      <w:r>
        <w:rPr>
          <w:rFonts w:ascii="Arial" w:eastAsia="宋体" w:hAnsi="Arial" w:cs="Arial"/>
          <w:color w:val="000000"/>
          <w:sz w:val="20"/>
          <w:szCs w:val="20"/>
        </w:rPr>
        <w:t>atives to provide new programs, products and services, the use of our products and our revenues could decline.</w:t>
      </w:r>
    </w:p>
    <w:p w14:paraId="22CFA180" w14:textId="77777777" w:rsidR="002661BA" w:rsidRDefault="00D972BC">
      <w:pPr>
        <w:ind w:hanging="360"/>
        <w:jc w:val="both"/>
      </w:pPr>
      <w:r>
        <w:rPr>
          <w:rFonts w:ascii="Arial" w:eastAsia="宋体" w:hAnsi="Arial" w:cs="Arial"/>
          <w:color w:val="000000"/>
          <w:sz w:val="20"/>
          <w:szCs w:val="20"/>
        </w:rPr>
        <w:t>•Changes to our programs to protect buyers and sellers could increase our costs and loss rate, and failure to manage such programs effectively ca</w:t>
      </w:r>
      <w:r>
        <w:rPr>
          <w:rFonts w:ascii="Arial" w:eastAsia="宋体" w:hAnsi="Arial" w:cs="Arial"/>
          <w:color w:val="000000"/>
          <w:sz w:val="20"/>
          <w:szCs w:val="20"/>
        </w:rPr>
        <w:t>n result in harm to our reputation.</w:t>
      </w:r>
    </w:p>
    <w:p w14:paraId="22CFA181" w14:textId="77777777" w:rsidR="002661BA" w:rsidRDefault="00D972BC">
      <w:pPr>
        <w:ind w:hanging="360"/>
        <w:jc w:val="both"/>
      </w:pPr>
      <w:r>
        <w:rPr>
          <w:rFonts w:ascii="Arial" w:eastAsia="宋体" w:hAnsi="Arial" w:cs="Arial"/>
          <w:color w:val="000000"/>
          <w:sz w:val="20"/>
          <w:szCs w:val="20"/>
        </w:rPr>
        <w:t>•Development of our payments system requires ongoing investment, is subject to evolving laws, regulations, rules, and standards, and involves risk, including risks related to our dependence on third-party providers.</w:t>
      </w:r>
    </w:p>
    <w:p w14:paraId="22CFA182" w14:textId="77777777" w:rsidR="002661BA" w:rsidRDefault="00D972BC">
      <w:pPr>
        <w:ind w:hanging="360"/>
        <w:jc w:val="both"/>
      </w:pPr>
      <w:r>
        <w:rPr>
          <w:rFonts w:ascii="Arial" w:eastAsia="宋体" w:hAnsi="Arial" w:cs="Arial"/>
          <w:color w:val="000000"/>
          <w:sz w:val="20"/>
          <w:szCs w:val="20"/>
        </w:rPr>
        <w:t xml:space="preserve">•We </w:t>
      </w:r>
      <w:r>
        <w:rPr>
          <w:rFonts w:ascii="Arial" w:eastAsia="宋体" w:hAnsi="Arial" w:cs="Arial"/>
          <w:color w:val="000000"/>
          <w:sz w:val="20"/>
          <w:szCs w:val="20"/>
        </w:rPr>
        <w:t>may be unable to adequately protect or enforce our intellectual property rights and face ongoing allegations by third parties that we are infringing their intellectual property rights.</w:t>
      </w:r>
    </w:p>
    <w:p w14:paraId="22CFA183" w14:textId="77777777" w:rsidR="002661BA" w:rsidRDefault="00D972BC">
      <w:pPr>
        <w:ind w:hanging="360"/>
        <w:jc w:val="both"/>
      </w:pPr>
      <w:r>
        <w:rPr>
          <w:rFonts w:ascii="Arial" w:eastAsia="宋体" w:hAnsi="Arial" w:cs="Arial"/>
          <w:color w:val="000000"/>
          <w:sz w:val="20"/>
          <w:szCs w:val="20"/>
        </w:rPr>
        <w:t>•Failure to deal effectively with fraudulent activities on our platform</w:t>
      </w:r>
      <w:r>
        <w:rPr>
          <w:rFonts w:ascii="Arial" w:eastAsia="宋体" w:hAnsi="Arial" w:cs="Arial"/>
          <w:color w:val="000000"/>
          <w:sz w:val="20"/>
          <w:szCs w:val="20"/>
        </w:rPr>
        <w:t>s would increase our loss rate and harm our business, and could severely diminish merchant and consumer confidence in and use of our services.</w:t>
      </w:r>
    </w:p>
    <w:p w14:paraId="22CFA184" w14:textId="77777777" w:rsidR="002661BA" w:rsidRDefault="00D972BC">
      <w:pPr>
        <w:ind w:hanging="360"/>
        <w:jc w:val="both"/>
      </w:pPr>
      <w:r>
        <w:rPr>
          <w:rFonts w:ascii="Arial" w:eastAsia="宋体" w:hAnsi="Arial" w:cs="Arial"/>
          <w:color w:val="000000"/>
          <w:sz w:val="20"/>
          <w:szCs w:val="20"/>
        </w:rPr>
        <w:t>•Our business is subject to online security risks, including security breaches and cyberattacks.</w:t>
      </w:r>
    </w:p>
    <w:p w14:paraId="22CFA185" w14:textId="77777777" w:rsidR="002661BA" w:rsidRDefault="00D972BC">
      <w:pPr>
        <w:ind w:hanging="360"/>
        <w:jc w:val="both"/>
      </w:pPr>
      <w:r>
        <w:rPr>
          <w:rFonts w:ascii="Arial" w:eastAsia="宋体" w:hAnsi="Arial" w:cs="Arial"/>
          <w:color w:val="000000"/>
          <w:sz w:val="20"/>
          <w:szCs w:val="20"/>
        </w:rPr>
        <w:t>•Systems failure</w:t>
      </w:r>
      <w:r>
        <w:rPr>
          <w:rFonts w:ascii="Arial" w:eastAsia="宋体" w:hAnsi="Arial" w:cs="Arial"/>
          <w:color w:val="000000"/>
          <w:sz w:val="20"/>
          <w:szCs w:val="20"/>
        </w:rPr>
        <w:t>s and resulting interruptions in the availability of or degradation in the performance of our websites, applications, products or services could harm our business.</w:t>
      </w:r>
    </w:p>
    <w:p w14:paraId="22CFA186" w14:textId="77777777" w:rsidR="002661BA" w:rsidRDefault="00D972BC">
      <w:pPr>
        <w:ind w:hanging="360"/>
        <w:jc w:val="both"/>
      </w:pPr>
      <w:r>
        <w:rPr>
          <w:rFonts w:ascii="Arial" w:eastAsia="宋体" w:hAnsi="Arial" w:cs="Arial"/>
          <w:color w:val="000000"/>
          <w:sz w:val="20"/>
          <w:szCs w:val="20"/>
        </w:rPr>
        <w:t xml:space="preserve">•We may not be able to attract, retain, and develop the highly skilled employees and senior </w:t>
      </w:r>
      <w:r>
        <w:rPr>
          <w:rFonts w:ascii="Arial" w:eastAsia="宋体" w:hAnsi="Arial" w:cs="Arial"/>
          <w:color w:val="000000"/>
          <w:sz w:val="20"/>
          <w:szCs w:val="20"/>
        </w:rPr>
        <w:t xml:space="preserve">management that we need to support our business. </w:t>
      </w:r>
    </w:p>
    <w:p w14:paraId="22CFA187" w14:textId="77777777" w:rsidR="002661BA" w:rsidRDefault="00D972BC">
      <w:pPr>
        <w:ind w:hanging="360"/>
        <w:jc w:val="both"/>
      </w:pPr>
      <w:r>
        <w:rPr>
          <w:rFonts w:ascii="Arial" w:eastAsia="宋体" w:hAnsi="Arial" w:cs="Arial"/>
          <w:color w:val="000000"/>
          <w:sz w:val="20"/>
          <w:szCs w:val="20"/>
        </w:rPr>
        <w:t>•Problems with or price increases by third parties who provide services to us or to our sellers could harm our business.</w:t>
      </w:r>
    </w:p>
    <w:p w14:paraId="22CFA188" w14:textId="77777777" w:rsidR="002661BA" w:rsidRDefault="00D972BC">
      <w:pPr>
        <w:ind w:hanging="360"/>
        <w:jc w:val="both"/>
      </w:pPr>
      <w:r>
        <w:rPr>
          <w:rFonts w:ascii="Arial" w:eastAsia="宋体" w:hAnsi="Arial" w:cs="Arial"/>
          <w:color w:val="000000"/>
          <w:sz w:val="20"/>
          <w:szCs w:val="20"/>
        </w:rPr>
        <w:t>•Our business is subject to extensive government regulation and oversight, which coul</w:t>
      </w:r>
      <w:r>
        <w:rPr>
          <w:rFonts w:ascii="Arial" w:eastAsia="宋体" w:hAnsi="Arial" w:cs="Arial"/>
          <w:color w:val="000000"/>
          <w:sz w:val="20"/>
          <w:szCs w:val="20"/>
        </w:rPr>
        <w:t>d adversely impact our business.</w:t>
      </w:r>
    </w:p>
    <w:p w14:paraId="22CFA189" w14:textId="77777777" w:rsidR="002661BA" w:rsidRDefault="00D972BC">
      <w:pPr>
        <w:ind w:hanging="360"/>
        <w:jc w:val="both"/>
      </w:pPr>
      <w:r>
        <w:rPr>
          <w:rFonts w:ascii="Arial" w:eastAsia="宋体" w:hAnsi="Arial" w:cs="Arial"/>
          <w:color w:val="000000"/>
          <w:sz w:val="20"/>
          <w:szCs w:val="20"/>
        </w:rPr>
        <w:t>•Regulation in the areas of privacy and protection of user data could harm our business.</w:t>
      </w:r>
    </w:p>
    <w:p w14:paraId="22CFA18A" w14:textId="77777777" w:rsidR="002661BA" w:rsidRDefault="00D972BC">
      <w:pPr>
        <w:ind w:hanging="360"/>
        <w:jc w:val="both"/>
      </w:pPr>
      <w:r>
        <w:rPr>
          <w:rFonts w:ascii="Arial" w:eastAsia="宋体" w:hAnsi="Arial" w:cs="Arial"/>
          <w:color w:val="000000"/>
          <w:sz w:val="20"/>
          <w:szCs w:val="20"/>
        </w:rPr>
        <w:t>•We are regularly subject to general litigation, regulatory disputes, and government inquiries.</w:t>
      </w:r>
    </w:p>
    <w:p w14:paraId="22CFA18B" w14:textId="77777777" w:rsidR="002661BA" w:rsidRDefault="00D972BC">
      <w:pPr>
        <w:ind w:hanging="360"/>
        <w:jc w:val="both"/>
      </w:pPr>
      <w:r>
        <w:rPr>
          <w:rFonts w:ascii="Arial" w:eastAsia="宋体" w:hAnsi="Arial" w:cs="Arial"/>
          <w:color w:val="000000"/>
          <w:sz w:val="20"/>
          <w:szCs w:val="20"/>
        </w:rPr>
        <w:t>•We are subject to regulatory activity</w:t>
      </w:r>
      <w:r>
        <w:rPr>
          <w:rFonts w:ascii="Arial" w:eastAsia="宋体" w:hAnsi="Arial" w:cs="Arial"/>
          <w:color w:val="000000"/>
          <w:sz w:val="20"/>
          <w:szCs w:val="20"/>
        </w:rPr>
        <w:t xml:space="preserve"> and antitrust litigation under competition laws that could adversely impact our business</w:t>
      </w:r>
    </w:p>
    <w:p w14:paraId="22CFA18C" w14:textId="77777777" w:rsidR="002661BA" w:rsidRDefault="00D972BC">
      <w:pPr>
        <w:ind w:hanging="360"/>
      </w:pPr>
      <w:r>
        <w:rPr>
          <w:rFonts w:ascii="Arial" w:eastAsia="宋体" w:hAnsi="Arial" w:cs="Arial"/>
          <w:color w:val="000000"/>
          <w:sz w:val="20"/>
          <w:szCs w:val="20"/>
        </w:rPr>
        <w:t>•The listing or sale by our users of certain items, including items that allegedly infringe the intellectual property rights of rights owners, including pirated or co</w:t>
      </w:r>
      <w:r>
        <w:rPr>
          <w:rFonts w:ascii="Arial" w:eastAsia="宋体" w:hAnsi="Arial" w:cs="Arial"/>
          <w:color w:val="000000"/>
          <w:sz w:val="20"/>
          <w:szCs w:val="20"/>
        </w:rPr>
        <w:t>unterfeit items, illegal items or items used in an illegal manner may harm our business.</w:t>
      </w:r>
    </w:p>
    <w:p w14:paraId="22CFA18D" w14:textId="77777777" w:rsidR="002661BA" w:rsidRDefault="00D972BC">
      <w:pPr>
        <w:ind w:hanging="360"/>
        <w:jc w:val="both"/>
      </w:pPr>
      <w:r>
        <w:rPr>
          <w:rFonts w:ascii="Arial" w:eastAsia="宋体" w:hAnsi="Arial" w:cs="Arial"/>
          <w:color w:val="000000"/>
          <w:sz w:val="20"/>
          <w:szCs w:val="20"/>
        </w:rPr>
        <w:t>•We are subject to risks associated with information disseminated through our services.</w:t>
      </w:r>
    </w:p>
    <w:p w14:paraId="22CFA18E" w14:textId="77777777" w:rsidR="002661BA" w:rsidRDefault="00D972BC">
      <w:pPr>
        <w:ind w:hanging="360"/>
        <w:jc w:val="both"/>
      </w:pPr>
      <w:r>
        <w:rPr>
          <w:rFonts w:ascii="Arial" w:eastAsia="宋体" w:hAnsi="Arial" w:cs="Arial"/>
          <w:color w:val="000000"/>
          <w:sz w:val="20"/>
          <w:szCs w:val="20"/>
        </w:rPr>
        <w:t>•Fluctuations in interest rates could adversely impact our financial results.</w:t>
      </w:r>
    </w:p>
    <w:p w14:paraId="22CFA18F" w14:textId="77777777" w:rsidR="002661BA" w:rsidRDefault="00D972BC">
      <w:pPr>
        <w:ind w:hanging="360"/>
        <w:jc w:val="both"/>
      </w:pPr>
      <w:r>
        <w:rPr>
          <w:rFonts w:ascii="Arial" w:eastAsia="宋体" w:hAnsi="Arial" w:cs="Arial"/>
          <w:color w:val="000000"/>
          <w:sz w:val="20"/>
          <w:szCs w:val="20"/>
        </w:rPr>
        <w:t>•</w:t>
      </w:r>
      <w:r>
        <w:rPr>
          <w:rFonts w:ascii="Arial" w:eastAsia="宋体" w:hAnsi="Arial" w:cs="Arial"/>
          <w:color w:val="000000"/>
          <w:sz w:val="20"/>
          <w:szCs w:val="20"/>
        </w:rPr>
        <w:t>We have substantial indebtedness, and we may incur substantial additional indebtedness in the future, and we may not generate sufficient cash flow from our business to service our indebtedness.</w:t>
      </w:r>
    </w:p>
    <w:p w14:paraId="22CFA190" w14:textId="77777777" w:rsidR="002661BA" w:rsidRDefault="00D972BC">
      <w:pPr>
        <w:ind w:hanging="360"/>
        <w:jc w:val="both"/>
      </w:pPr>
      <w:r>
        <w:rPr>
          <w:rFonts w:ascii="Arial" w:eastAsia="宋体" w:hAnsi="Arial" w:cs="Arial"/>
          <w:color w:val="000000"/>
          <w:sz w:val="20"/>
          <w:szCs w:val="20"/>
        </w:rPr>
        <w:t>•Our business and our sellers and buyers may be subject to sal</w:t>
      </w:r>
      <w:r>
        <w:rPr>
          <w:rFonts w:ascii="Arial" w:eastAsia="宋体" w:hAnsi="Arial" w:cs="Arial"/>
          <w:color w:val="000000"/>
          <w:sz w:val="20"/>
          <w:szCs w:val="20"/>
        </w:rPr>
        <w:t xml:space="preserve">es and other tax regimes in various jurisdictions, which may harm our business. </w:t>
      </w:r>
    </w:p>
    <w:p w14:paraId="22CFA191" w14:textId="77777777" w:rsidR="002661BA" w:rsidRDefault="00D972BC">
      <w:pPr>
        <w:ind w:hanging="360"/>
        <w:jc w:val="both"/>
      </w:pPr>
      <w:r>
        <w:rPr>
          <w:rFonts w:ascii="Arial" w:eastAsia="宋体" w:hAnsi="Arial" w:cs="Arial"/>
          <w:color w:val="000000"/>
          <w:sz w:val="20"/>
          <w:szCs w:val="20"/>
        </w:rPr>
        <w:t>•Acquisitions, dispositions, joint ventures, strategic partnerships and strategic investments could result in operating difficulties and could harm our business.</w:t>
      </w:r>
    </w:p>
    <w:p w14:paraId="22CFA192" w14:textId="77777777" w:rsidR="002661BA" w:rsidRDefault="00D972BC">
      <w:pPr>
        <w:ind w:hanging="360"/>
        <w:jc w:val="both"/>
      </w:pPr>
      <w:r>
        <w:rPr>
          <w:rFonts w:ascii="Arial" w:eastAsia="宋体" w:hAnsi="Arial" w:cs="Arial"/>
          <w:color w:val="000000"/>
          <w:sz w:val="20"/>
          <w:szCs w:val="20"/>
        </w:rPr>
        <w:t>•We could inc</w:t>
      </w:r>
      <w:r>
        <w:rPr>
          <w:rFonts w:ascii="Arial" w:eastAsia="宋体" w:hAnsi="Arial" w:cs="Arial"/>
          <w:color w:val="000000"/>
          <w:sz w:val="20"/>
          <w:szCs w:val="20"/>
        </w:rPr>
        <w:t>ur significant liability if the Distribution of PayPal is determined to be a taxable transaction.</w:t>
      </w:r>
    </w:p>
    <w:p w14:paraId="22CFA193" w14:textId="77777777" w:rsidR="002661BA" w:rsidRDefault="00D972BC">
      <w:pPr>
        <w:ind w:hanging="360"/>
        <w:jc w:val="both"/>
      </w:pPr>
      <w:r>
        <w:rPr>
          <w:rFonts w:ascii="Arial" w:eastAsia="宋体" w:hAnsi="Arial" w:cs="Arial"/>
          <w:color w:val="000000"/>
          <w:sz w:val="20"/>
          <w:szCs w:val="20"/>
        </w:rPr>
        <w:t>•We may be exposed to claims and liabilities as a result of the Distribution of PayPal.</w:t>
      </w:r>
    </w:p>
    <w:p w14:paraId="22CFA194" w14:textId="77777777" w:rsidR="002661BA" w:rsidRDefault="002661BA">
      <w:pPr>
        <w:ind w:firstLine="450"/>
        <w:jc w:val="both"/>
      </w:pPr>
    </w:p>
    <w:p w14:paraId="22CFA195" w14:textId="77777777" w:rsidR="002661BA" w:rsidRDefault="002661BA">
      <w:pPr>
        <w:ind w:firstLine="270"/>
        <w:jc w:val="both"/>
      </w:pPr>
    </w:p>
    <w:p w14:paraId="22CFA196" w14:textId="77777777" w:rsidR="002661BA" w:rsidRDefault="00D972BC">
      <w:pPr>
        <w:jc w:val="center"/>
      </w:pPr>
      <w:r>
        <w:rPr>
          <w:rFonts w:ascii="Arial" w:eastAsia="宋体" w:hAnsi="Arial" w:cs="Arial"/>
          <w:color w:val="000000"/>
          <w:sz w:val="18"/>
          <w:szCs w:val="18"/>
        </w:rPr>
        <w:t>11</w:t>
      </w:r>
    </w:p>
    <w:p w14:paraId="22CFA197" w14:textId="77777777" w:rsidR="002661BA" w:rsidRDefault="00D972BC">
      <w:r>
        <w:pict w14:anchorId="22CFE4BA">
          <v:rect id="_x0000_i1035" style="width:415.3pt;height:1.5pt" o:hralign="center" o:hrstd="t" o:hr="t" fillcolor="#a0a0a0" stroked="f"/>
        </w:pict>
      </w:r>
    </w:p>
    <w:p w14:paraId="22CFA198" w14:textId="77777777" w:rsidR="002661BA" w:rsidRDefault="00D972BC">
      <w:hyperlink r:id="rId37" w:anchor="id0d7a71b05ce452ea9fdb54f3cb359c7_7" w:history="1">
        <w:r>
          <w:rPr>
            <w:rStyle w:val="a5"/>
            <w:rFonts w:ascii="Arial" w:eastAsia="宋体" w:hAnsi="Arial" w:cs="Arial"/>
            <w:sz w:val="18"/>
            <w:szCs w:val="18"/>
          </w:rPr>
          <w:t>Table of Contents</w:t>
        </w:r>
      </w:hyperlink>
    </w:p>
    <w:p w14:paraId="22CFA199" w14:textId="77777777" w:rsidR="002661BA" w:rsidRDefault="00D972BC">
      <w:pPr>
        <w:ind w:firstLine="270"/>
        <w:jc w:val="both"/>
      </w:pPr>
      <w:r>
        <w:rPr>
          <w:rFonts w:ascii="Arial" w:eastAsia="宋体" w:hAnsi="Arial" w:cs="Arial"/>
          <w:b/>
          <w:bCs/>
          <w:i/>
          <w:iCs/>
          <w:color w:val="000000"/>
          <w:sz w:val="20"/>
          <w:szCs w:val="20"/>
          <w:u w:val="single"/>
        </w:rPr>
        <w:t>Risk Factors:</w:t>
      </w:r>
    </w:p>
    <w:p w14:paraId="22CFA19A" w14:textId="77777777" w:rsidR="002661BA" w:rsidRDefault="002661BA">
      <w:pPr>
        <w:ind w:firstLine="450"/>
        <w:jc w:val="both"/>
      </w:pPr>
    </w:p>
    <w:p w14:paraId="22CFA19B" w14:textId="77777777" w:rsidR="002661BA" w:rsidRDefault="00D972BC">
      <w:pPr>
        <w:ind w:firstLine="540"/>
        <w:jc w:val="both"/>
      </w:pPr>
      <w:r>
        <w:rPr>
          <w:rFonts w:ascii="Arial" w:eastAsia="宋体" w:hAnsi="Arial" w:cs="Arial"/>
          <w:color w:val="000000"/>
          <w:sz w:val="20"/>
          <w:szCs w:val="20"/>
        </w:rPr>
        <w:t>You should carefully review the following discussion of the risks that</w:t>
      </w:r>
      <w:r>
        <w:rPr>
          <w:rFonts w:ascii="Arial" w:eastAsia="宋体" w:hAnsi="Arial" w:cs="Arial"/>
          <w:color w:val="000000"/>
          <w:sz w:val="20"/>
          <w:szCs w:val="20"/>
        </w:rPr>
        <w:t xml:space="preserve"> may affect our business, results of operations and financial condition, as well as our consolidated financial statements and notes thereto and the other information appearing in this report, for important information regarding risks that affect us. Curren</w:t>
      </w:r>
      <w:r>
        <w:rPr>
          <w:rFonts w:ascii="Arial" w:eastAsia="宋体" w:hAnsi="Arial" w:cs="Arial"/>
          <w:color w:val="000000"/>
          <w:sz w:val="20"/>
          <w:szCs w:val="20"/>
        </w:rPr>
        <w:t>t global economic events and conditions may amplify many of these risks. These risks are not the only risks that may affect us. Additional risks that we are not aware of or do not believe are material at the time of this filing may also become important fa</w:t>
      </w:r>
      <w:r>
        <w:rPr>
          <w:rFonts w:ascii="Arial" w:eastAsia="宋体" w:hAnsi="Arial" w:cs="Arial"/>
          <w:color w:val="000000"/>
          <w:sz w:val="20"/>
          <w:szCs w:val="20"/>
        </w:rPr>
        <w:t xml:space="preserve">ctors that adversely affect our business. </w:t>
      </w:r>
    </w:p>
    <w:p w14:paraId="22CFA19C" w14:textId="77777777" w:rsidR="002661BA" w:rsidRDefault="002661BA">
      <w:pPr>
        <w:jc w:val="both"/>
      </w:pPr>
    </w:p>
    <w:p w14:paraId="22CFA19D" w14:textId="77777777" w:rsidR="002661BA" w:rsidRDefault="00D972BC">
      <w:pPr>
        <w:ind w:firstLine="270"/>
        <w:jc w:val="both"/>
      </w:pPr>
      <w:r>
        <w:rPr>
          <w:rFonts w:ascii="Arial" w:eastAsia="宋体" w:hAnsi="Arial" w:cs="Arial"/>
          <w:b/>
          <w:bCs/>
          <w:i/>
          <w:iCs/>
          <w:color w:val="000000"/>
          <w:sz w:val="20"/>
          <w:szCs w:val="20"/>
        </w:rPr>
        <w:t xml:space="preserve">Business, Economic, Market and Operating Risks </w:t>
      </w:r>
    </w:p>
    <w:p w14:paraId="22CFA19E" w14:textId="77777777" w:rsidR="002661BA" w:rsidRDefault="002661BA">
      <w:pPr>
        <w:ind w:firstLine="450"/>
        <w:jc w:val="both"/>
      </w:pPr>
    </w:p>
    <w:p w14:paraId="22CFA19F" w14:textId="77777777" w:rsidR="002661BA" w:rsidRDefault="00D972BC">
      <w:pPr>
        <w:ind w:firstLine="540"/>
        <w:jc w:val="both"/>
      </w:pPr>
      <w:r>
        <w:rPr>
          <w:rFonts w:ascii="Arial" w:eastAsia="宋体" w:hAnsi="Arial" w:cs="Arial"/>
          <w:i/>
          <w:iCs/>
          <w:color w:val="000000"/>
          <w:sz w:val="20"/>
          <w:szCs w:val="20"/>
        </w:rPr>
        <w:t>Our operating and financial results are subject to various risks and uncertainties that could adversely affect our business, financial condition, results of operat</w:t>
      </w:r>
      <w:r>
        <w:rPr>
          <w:rFonts w:ascii="Arial" w:eastAsia="宋体" w:hAnsi="Arial" w:cs="Arial"/>
          <w:i/>
          <w:iCs/>
          <w:color w:val="000000"/>
          <w:sz w:val="20"/>
          <w:szCs w:val="20"/>
        </w:rPr>
        <w:t xml:space="preserve">ions and cash flows, as well as the trading price of our common stock and debt securities. </w:t>
      </w:r>
    </w:p>
    <w:p w14:paraId="22CFA1A0" w14:textId="77777777" w:rsidR="002661BA" w:rsidRDefault="002661BA">
      <w:pPr>
        <w:ind w:firstLine="540"/>
        <w:jc w:val="both"/>
      </w:pPr>
    </w:p>
    <w:p w14:paraId="22CFA1A1" w14:textId="77777777" w:rsidR="002661BA" w:rsidRDefault="00D972BC">
      <w:pPr>
        <w:ind w:firstLine="540"/>
        <w:jc w:val="both"/>
      </w:pPr>
      <w:r>
        <w:rPr>
          <w:rFonts w:ascii="Arial" w:eastAsia="宋体" w:hAnsi="Arial" w:cs="Arial"/>
          <w:color w:val="000000"/>
          <w:sz w:val="20"/>
          <w:szCs w:val="20"/>
        </w:rPr>
        <w:t>Our operating and financial results have varied on a quarterly basis during our operating history and may continue to fluctuate significantly as a result of a vari</w:t>
      </w:r>
      <w:r>
        <w:rPr>
          <w:rFonts w:ascii="Arial" w:eastAsia="宋体" w:hAnsi="Arial" w:cs="Arial"/>
          <w:color w:val="000000"/>
          <w:sz w:val="20"/>
          <w:szCs w:val="20"/>
        </w:rPr>
        <w:t xml:space="preserve">ety of factors, including as a result of the following risks and other risks set forth in this “Risk Factors” section. </w:t>
      </w:r>
    </w:p>
    <w:p w14:paraId="22CFA1A2" w14:textId="77777777" w:rsidR="002661BA" w:rsidRDefault="002661BA">
      <w:pPr>
        <w:ind w:firstLine="540"/>
        <w:jc w:val="both"/>
      </w:pPr>
    </w:p>
    <w:p w14:paraId="22CFA1A3" w14:textId="77777777" w:rsidR="002661BA" w:rsidRDefault="00D972BC">
      <w:pPr>
        <w:ind w:hanging="360"/>
        <w:jc w:val="both"/>
      </w:pPr>
      <w:r>
        <w:rPr>
          <w:rFonts w:ascii="Arial" w:eastAsia="宋体" w:hAnsi="Arial" w:cs="Arial"/>
          <w:color w:val="000000"/>
          <w:sz w:val="20"/>
          <w:szCs w:val="20"/>
        </w:rPr>
        <w:t>•our ability to convert visits into sales for our sellers;</w:t>
      </w:r>
    </w:p>
    <w:p w14:paraId="22CFA1A4" w14:textId="77777777" w:rsidR="002661BA" w:rsidRDefault="00D972BC">
      <w:pPr>
        <w:ind w:hanging="360"/>
        <w:jc w:val="both"/>
      </w:pPr>
      <w:r>
        <w:rPr>
          <w:rFonts w:ascii="Arial" w:eastAsia="宋体" w:hAnsi="Arial" w:cs="Arial"/>
          <w:color w:val="000000"/>
          <w:sz w:val="20"/>
          <w:szCs w:val="20"/>
        </w:rPr>
        <w:t>•the amount and timing of expenses;</w:t>
      </w:r>
    </w:p>
    <w:p w14:paraId="22CFA1A5" w14:textId="77777777" w:rsidR="002661BA" w:rsidRDefault="00D972BC">
      <w:pPr>
        <w:ind w:hanging="360"/>
        <w:jc w:val="both"/>
      </w:pPr>
      <w:r>
        <w:rPr>
          <w:rFonts w:ascii="Arial" w:eastAsia="宋体" w:hAnsi="Arial" w:cs="Arial"/>
          <w:color w:val="000000"/>
          <w:sz w:val="20"/>
          <w:szCs w:val="20"/>
        </w:rPr>
        <w:t>•our success in attracting and retaining</w:t>
      </w:r>
      <w:r>
        <w:rPr>
          <w:rFonts w:ascii="Arial" w:eastAsia="宋体" w:hAnsi="Arial" w:cs="Arial"/>
          <w:color w:val="000000"/>
          <w:sz w:val="20"/>
          <w:szCs w:val="20"/>
        </w:rPr>
        <w:t xml:space="preserve"> sellers and buyers;</w:t>
      </w:r>
    </w:p>
    <w:p w14:paraId="22CFA1A6" w14:textId="77777777" w:rsidR="002661BA" w:rsidRDefault="00D972BC">
      <w:pPr>
        <w:ind w:hanging="360"/>
        <w:jc w:val="both"/>
      </w:pPr>
      <w:r>
        <w:rPr>
          <w:rFonts w:ascii="Arial" w:eastAsia="宋体" w:hAnsi="Arial" w:cs="Arial"/>
          <w:color w:val="000000"/>
          <w:sz w:val="20"/>
          <w:szCs w:val="20"/>
        </w:rPr>
        <w:t>•changes in consumer discretionary spending trends, including shifts in interests away from any of our major categories;</w:t>
      </w:r>
    </w:p>
    <w:p w14:paraId="22CFA1A7" w14:textId="77777777" w:rsidR="002661BA" w:rsidRDefault="00D972BC">
      <w:pPr>
        <w:ind w:hanging="360"/>
        <w:jc w:val="both"/>
      </w:pPr>
      <w:r>
        <w:rPr>
          <w:rFonts w:ascii="Arial" w:eastAsia="宋体" w:hAnsi="Arial" w:cs="Arial"/>
          <w:color w:val="000000"/>
          <w:sz w:val="20"/>
          <w:szCs w:val="20"/>
        </w:rPr>
        <w:t>•our success in executing on our strategy and the impact of any changes in our strategy;</w:t>
      </w:r>
    </w:p>
    <w:p w14:paraId="22CFA1A8" w14:textId="77777777" w:rsidR="002661BA" w:rsidRDefault="00D972BC">
      <w:pPr>
        <w:ind w:hanging="360"/>
        <w:jc w:val="both"/>
      </w:pPr>
      <w:r>
        <w:rPr>
          <w:rFonts w:ascii="Arial" w:eastAsia="宋体" w:hAnsi="Arial" w:cs="Arial"/>
          <w:color w:val="000000"/>
          <w:sz w:val="20"/>
          <w:szCs w:val="20"/>
        </w:rPr>
        <w:t xml:space="preserve">•the timing and </w:t>
      </w:r>
      <w:r>
        <w:rPr>
          <w:rFonts w:ascii="Arial" w:eastAsia="宋体" w:hAnsi="Arial" w:cs="Arial"/>
          <w:color w:val="000000"/>
          <w:sz w:val="20"/>
          <w:szCs w:val="20"/>
        </w:rPr>
        <w:t>success of product launches, including new services and features we may introduce;</w:t>
      </w:r>
    </w:p>
    <w:p w14:paraId="22CFA1A9" w14:textId="77777777" w:rsidR="002661BA" w:rsidRDefault="00D972BC">
      <w:pPr>
        <w:ind w:hanging="360"/>
        <w:jc w:val="both"/>
      </w:pPr>
      <w:r>
        <w:rPr>
          <w:rFonts w:ascii="Arial" w:eastAsia="宋体" w:hAnsi="Arial" w:cs="Arial"/>
          <w:color w:val="000000"/>
          <w:sz w:val="20"/>
          <w:szCs w:val="20"/>
        </w:rPr>
        <w:t>•the success of our marketing efforts; and</w:t>
      </w:r>
    </w:p>
    <w:p w14:paraId="22CFA1AA" w14:textId="77777777" w:rsidR="002661BA" w:rsidRDefault="00D972BC">
      <w:pPr>
        <w:ind w:hanging="360"/>
        <w:jc w:val="both"/>
      </w:pPr>
      <w:r>
        <w:rPr>
          <w:rFonts w:ascii="Arial" w:eastAsia="宋体" w:hAnsi="Arial" w:cs="Arial"/>
          <w:color w:val="000000"/>
          <w:sz w:val="20"/>
          <w:szCs w:val="20"/>
        </w:rPr>
        <w:t>•the impact of competitive developments and our response to those developments.</w:t>
      </w:r>
    </w:p>
    <w:p w14:paraId="22CFA1AB" w14:textId="77777777" w:rsidR="002661BA" w:rsidRDefault="002661BA">
      <w:pPr>
        <w:ind w:hanging="360"/>
        <w:jc w:val="both"/>
      </w:pPr>
    </w:p>
    <w:p w14:paraId="22CFA1AC" w14:textId="77777777" w:rsidR="002661BA" w:rsidRDefault="00D972BC">
      <w:pPr>
        <w:ind w:firstLine="540"/>
        <w:jc w:val="both"/>
      </w:pPr>
      <w:r>
        <w:rPr>
          <w:rFonts w:ascii="Arial" w:eastAsia="宋体" w:hAnsi="Arial" w:cs="Arial"/>
          <w:color w:val="000000"/>
          <w:sz w:val="20"/>
          <w:szCs w:val="20"/>
        </w:rPr>
        <w:t>In view of the rapidly evolving nature of our bus</w:t>
      </w:r>
      <w:r>
        <w:rPr>
          <w:rFonts w:ascii="Arial" w:eastAsia="宋体" w:hAnsi="Arial" w:cs="Arial"/>
          <w:color w:val="000000"/>
          <w:sz w:val="20"/>
          <w:szCs w:val="20"/>
        </w:rPr>
        <w:t>iness, period-to-period comparisons of our operating results may not be meaningful, and you should not rely upon them as an indication of future performance. It is difficult for us to forecast the level or source of our revenues or earnings (loss) accurate</w:t>
      </w:r>
      <w:r>
        <w:rPr>
          <w:rFonts w:ascii="Arial" w:eastAsia="宋体" w:hAnsi="Arial" w:cs="Arial"/>
          <w:color w:val="000000"/>
          <w:sz w:val="20"/>
          <w:szCs w:val="20"/>
        </w:rPr>
        <w:t xml:space="preserve">ly, particularly given that substantially all of our net revenues each quarter come from transactions involving sales during that quarter. Due to the inherent difficulty in forecasting revenues, it is also difficult to forecast expenses as a percentage of </w:t>
      </w:r>
      <w:r>
        <w:rPr>
          <w:rFonts w:ascii="Arial" w:eastAsia="宋体" w:hAnsi="Arial" w:cs="Arial"/>
          <w:color w:val="000000"/>
          <w:sz w:val="20"/>
          <w:szCs w:val="20"/>
        </w:rPr>
        <w:t>net revenues. Quarterly and annual expenses as a percentage of net revenues reflected in our consolidated financial statements may be significantly different from historical or projected percentages. Because our business model is dependent upon consumer sp</w:t>
      </w:r>
      <w:r>
        <w:rPr>
          <w:rFonts w:ascii="Arial" w:eastAsia="宋体" w:hAnsi="Arial" w:cs="Arial"/>
          <w:color w:val="000000"/>
          <w:sz w:val="20"/>
          <w:szCs w:val="20"/>
        </w:rPr>
        <w:t>ending, our results of operations are sensitive to changes in or uncertainty about macro-economic conditions. Our buyers may in the future have less capacity for discretionary purchases and may reduce their purchases from our sellers as a result of various</w:t>
      </w:r>
      <w:r>
        <w:rPr>
          <w:rFonts w:ascii="Arial" w:eastAsia="宋体" w:hAnsi="Arial" w:cs="Arial"/>
          <w:color w:val="000000"/>
          <w:sz w:val="20"/>
          <w:szCs w:val="20"/>
        </w:rPr>
        <w:t xml:space="preserve"> factors, including job losses, inflation, higher taxes, reduced access to credit, changes in federal economic policy, the COVID-19 pandemic and recent international trade disputes.</w:t>
      </w:r>
    </w:p>
    <w:p w14:paraId="22CFA1AD" w14:textId="77777777" w:rsidR="002661BA" w:rsidRDefault="002661BA">
      <w:pPr>
        <w:ind w:firstLine="540"/>
        <w:jc w:val="both"/>
      </w:pPr>
    </w:p>
    <w:p w14:paraId="22CFA1AE" w14:textId="77777777" w:rsidR="002661BA" w:rsidRDefault="00D972BC">
      <w:pPr>
        <w:ind w:firstLine="540"/>
        <w:jc w:val="both"/>
      </w:pPr>
      <w:r>
        <w:rPr>
          <w:rFonts w:ascii="Arial" w:eastAsia="宋体" w:hAnsi="Arial" w:cs="Arial"/>
          <w:i/>
          <w:iCs/>
          <w:color w:val="000000"/>
          <w:sz w:val="20"/>
          <w:szCs w:val="20"/>
        </w:rPr>
        <w:t xml:space="preserve">Substantial and increasingly intense competition worldwide in </w:t>
      </w:r>
      <w:r>
        <w:rPr>
          <w:rFonts w:ascii="Arial" w:eastAsia="宋体" w:hAnsi="Arial" w:cs="Arial"/>
          <w:i/>
          <w:iCs/>
          <w:color w:val="000000"/>
          <w:sz w:val="20"/>
          <w:szCs w:val="20"/>
        </w:rPr>
        <w:t>ecommerce may harm our business.</w:t>
      </w:r>
    </w:p>
    <w:p w14:paraId="22CFA1AF" w14:textId="77777777" w:rsidR="002661BA" w:rsidRDefault="002661BA">
      <w:pPr>
        <w:ind w:firstLine="540"/>
        <w:jc w:val="both"/>
      </w:pPr>
    </w:p>
    <w:p w14:paraId="22CFA1B0" w14:textId="77777777" w:rsidR="002661BA" w:rsidRDefault="00D972BC">
      <w:pPr>
        <w:ind w:firstLine="540"/>
        <w:jc w:val="both"/>
      </w:pPr>
      <w:r>
        <w:rPr>
          <w:rFonts w:ascii="Arial" w:eastAsia="宋体" w:hAnsi="Arial" w:cs="Arial"/>
          <w:color w:val="000000"/>
          <w:sz w:val="20"/>
          <w:szCs w:val="20"/>
        </w:rPr>
        <w:t xml:space="preserve">The businesses and markets in which we operate are intensely competitive. We currently and potentially compete with a wide variety of online and offline companies providing goods and services to consumers and merchants, a </w:t>
      </w:r>
      <w:r>
        <w:rPr>
          <w:rFonts w:ascii="Arial" w:eastAsia="宋体" w:hAnsi="Arial" w:cs="Arial"/>
          <w:color w:val="000000"/>
          <w:sz w:val="20"/>
          <w:szCs w:val="20"/>
        </w:rPr>
        <w:t>number of which have significant resources, large user communities and well-established brands. The Internet and mobile networks provide new, rapidly evolving and intensely competitive channels for the sale of all types of goods and services. We compete in</w:t>
      </w:r>
      <w:r>
        <w:rPr>
          <w:rFonts w:ascii="Arial" w:eastAsia="宋体" w:hAnsi="Arial" w:cs="Arial"/>
          <w:color w:val="000000"/>
          <w:sz w:val="20"/>
          <w:szCs w:val="20"/>
        </w:rPr>
        <w:t xml:space="preserve"> two-sided markets, and must attract both buyers and sellers to use our platforms. Consumers who purchase or sell goods and services through us have more and more alternatives, and merchants have more channels to reach consumers. We expect competition to c</w:t>
      </w:r>
      <w:r>
        <w:rPr>
          <w:rFonts w:ascii="Arial" w:eastAsia="宋体" w:hAnsi="Arial" w:cs="Arial"/>
          <w:color w:val="000000"/>
          <w:sz w:val="20"/>
          <w:szCs w:val="20"/>
        </w:rPr>
        <w:t>ontinue to intensify. The barriers to entry into these channels can be low, and businesses can easily launch online sites or mobile platforms and applications at nominal cost by using commercially available software or partnering with any of a number of su</w:t>
      </w:r>
      <w:r>
        <w:rPr>
          <w:rFonts w:ascii="Arial" w:eastAsia="宋体" w:hAnsi="Arial" w:cs="Arial"/>
          <w:color w:val="000000"/>
          <w:sz w:val="20"/>
          <w:szCs w:val="20"/>
        </w:rPr>
        <w:t>ccessful ecommerce, search, advertising or social companies. As we respond to changes in the competitive environment, we may, from time to time, make pricing, service, policy or marketing decisions or acquisitions that may be controversial with and lead to</w:t>
      </w:r>
      <w:r>
        <w:rPr>
          <w:rFonts w:ascii="Arial" w:eastAsia="宋体" w:hAnsi="Arial" w:cs="Arial"/>
          <w:color w:val="000000"/>
          <w:sz w:val="20"/>
          <w:szCs w:val="20"/>
        </w:rPr>
        <w:t xml:space="preserve"> dissatisfaction among sellers, which could reduce activity on our platform and harm our reputation and profitability.</w:t>
      </w:r>
    </w:p>
    <w:p w14:paraId="22CFA1B1" w14:textId="77777777" w:rsidR="002661BA" w:rsidRDefault="002661BA">
      <w:pPr>
        <w:ind w:firstLine="540"/>
        <w:jc w:val="both"/>
      </w:pPr>
    </w:p>
    <w:p w14:paraId="22CFA1B2" w14:textId="77777777" w:rsidR="002661BA" w:rsidRDefault="00D972BC">
      <w:pPr>
        <w:jc w:val="center"/>
      </w:pPr>
      <w:r>
        <w:rPr>
          <w:rFonts w:ascii="Arial" w:eastAsia="宋体" w:hAnsi="Arial" w:cs="Arial"/>
          <w:color w:val="000000"/>
          <w:sz w:val="18"/>
          <w:szCs w:val="18"/>
        </w:rPr>
        <w:t>12</w:t>
      </w:r>
    </w:p>
    <w:p w14:paraId="22CFA1B3" w14:textId="77777777" w:rsidR="002661BA" w:rsidRDefault="00D972BC">
      <w:r>
        <w:pict w14:anchorId="22CFE4BB">
          <v:rect id="_x0000_i1036" style="width:415.3pt;height:1.5pt" o:hralign="center" o:hrstd="t" o:hr="t" fillcolor="#a0a0a0" stroked="f"/>
        </w:pict>
      </w:r>
    </w:p>
    <w:p w14:paraId="22CFA1B4" w14:textId="77777777" w:rsidR="002661BA" w:rsidRDefault="00D972BC">
      <w:hyperlink r:id="rId38" w:anchor="id0d7a71b05ce452ea9fdb54f3cb359c7_7" w:history="1">
        <w:r>
          <w:rPr>
            <w:rStyle w:val="a5"/>
            <w:rFonts w:ascii="Arial" w:eastAsia="宋体" w:hAnsi="Arial" w:cs="Arial"/>
            <w:sz w:val="18"/>
            <w:szCs w:val="18"/>
          </w:rPr>
          <w:t>Table of Contents</w:t>
        </w:r>
      </w:hyperlink>
    </w:p>
    <w:p w14:paraId="22CFA1B5" w14:textId="77777777" w:rsidR="002661BA" w:rsidRDefault="00D972BC">
      <w:pPr>
        <w:ind w:firstLine="540"/>
        <w:jc w:val="both"/>
      </w:pPr>
      <w:r>
        <w:rPr>
          <w:rFonts w:ascii="Arial" w:eastAsia="宋体" w:hAnsi="Arial" w:cs="Arial"/>
          <w:color w:val="000000"/>
          <w:sz w:val="20"/>
          <w:szCs w:val="20"/>
        </w:rPr>
        <w:t>We face increased competitive pressure online and offline. In particular, the competitive norm for, and the expected level of service from, ecommerce and mobile commerce has significantly increased due to, among othe</w:t>
      </w:r>
      <w:r>
        <w:rPr>
          <w:rFonts w:ascii="Arial" w:eastAsia="宋体" w:hAnsi="Arial" w:cs="Arial"/>
          <w:color w:val="000000"/>
          <w:sz w:val="20"/>
          <w:szCs w:val="20"/>
        </w:rPr>
        <w:t>r factors, improved user experience, greater ease of buying goods, lower (or no) shipping costs, faster shipping times and more favorable return policies. In addition, certain platform businesses, such as Alibaba, Amazon, Apple, Facebook and Google, many o</w:t>
      </w:r>
      <w:r>
        <w:rPr>
          <w:rFonts w:ascii="Arial" w:eastAsia="宋体" w:hAnsi="Arial" w:cs="Arial"/>
          <w:color w:val="000000"/>
          <w:sz w:val="20"/>
          <w:szCs w:val="20"/>
        </w:rPr>
        <w:t>f whom are larger than us or have greater capitalization, have a dominant and secure position in other industries or certain significant markets, and offer other goods and services to consumers and merchants that we do not offer. If we are unable to change</w:t>
      </w:r>
      <w:r>
        <w:rPr>
          <w:rFonts w:ascii="Arial" w:eastAsia="宋体" w:hAnsi="Arial" w:cs="Arial"/>
          <w:color w:val="000000"/>
          <w:sz w:val="20"/>
          <w:szCs w:val="20"/>
        </w:rPr>
        <w:t xml:space="preserve"> our products, offerings and services in ways that reflect the changing demands of ecommerce and mobile commerce marketplaces, or if products offered through eBay are not available for purchase where the consumers shop, particularly the higher growth of sa</w:t>
      </w:r>
      <w:r>
        <w:rPr>
          <w:rFonts w:ascii="Arial" w:eastAsia="宋体" w:hAnsi="Arial" w:cs="Arial"/>
          <w:color w:val="000000"/>
          <w:sz w:val="20"/>
          <w:szCs w:val="20"/>
        </w:rPr>
        <w:t>les of fixed-price items and higher expected service levels (some of which depend on services provided by sellers on our platforms), or compete effectively with and adapt to changes in larger platform businesses, our business and reputation will suffer.</w:t>
      </w:r>
    </w:p>
    <w:p w14:paraId="22CFA1B6" w14:textId="77777777" w:rsidR="002661BA" w:rsidRDefault="002661BA">
      <w:pPr>
        <w:ind w:firstLine="540"/>
        <w:jc w:val="both"/>
      </w:pPr>
    </w:p>
    <w:p w14:paraId="22CFA1B7" w14:textId="77777777" w:rsidR="002661BA" w:rsidRDefault="00D972BC">
      <w:pPr>
        <w:ind w:firstLine="540"/>
        <w:jc w:val="both"/>
      </w:pPr>
      <w:r>
        <w:rPr>
          <w:rFonts w:ascii="Arial" w:eastAsia="宋体" w:hAnsi="Arial" w:cs="Arial"/>
          <w:color w:val="000000"/>
          <w:sz w:val="20"/>
          <w:szCs w:val="20"/>
        </w:rPr>
        <w:t>C</w:t>
      </w:r>
      <w:r>
        <w:rPr>
          <w:rFonts w:ascii="Arial" w:eastAsia="宋体" w:hAnsi="Arial" w:cs="Arial"/>
          <w:color w:val="000000"/>
          <w:sz w:val="20"/>
          <w:szCs w:val="20"/>
        </w:rPr>
        <w:t>ompetitors with other revenue sources may also be able to devote more resources to marketing and promotional campaigns and buyer acquisition, adopt more aggressive pricing policies and devote more resources to website, mobile platforms and applications and</w:t>
      </w:r>
      <w:r>
        <w:rPr>
          <w:rFonts w:ascii="Arial" w:eastAsia="宋体" w:hAnsi="Arial" w:cs="Arial"/>
          <w:color w:val="000000"/>
          <w:sz w:val="20"/>
          <w:szCs w:val="20"/>
        </w:rPr>
        <w:t xml:space="preserve"> systems development than we can. Other competitors may offer or continue to offer faster and/or free shipping, delivery on Sunday, same-day delivery, favorable return policies or other transaction-related services which improve the user experience on thei</w:t>
      </w:r>
      <w:r>
        <w:rPr>
          <w:rFonts w:ascii="Arial" w:eastAsia="宋体" w:hAnsi="Arial" w:cs="Arial"/>
          <w:color w:val="000000"/>
          <w:sz w:val="20"/>
          <w:szCs w:val="20"/>
        </w:rPr>
        <w:t xml:space="preserve">r sites and which could be impractical or inefficient for our sellers to match. Competitors may be more narrowly focused on a particular type of goods and create a compelling community, be able to innovate faster and more efficiently, and new technologies </w:t>
      </w:r>
      <w:r>
        <w:rPr>
          <w:rFonts w:ascii="Arial" w:eastAsia="宋体" w:hAnsi="Arial" w:cs="Arial"/>
          <w:color w:val="000000"/>
          <w:sz w:val="20"/>
          <w:szCs w:val="20"/>
        </w:rPr>
        <w:t>may increase the competitive pressures by enabling competitors to offer more efficient or lower-cost services.</w:t>
      </w:r>
    </w:p>
    <w:p w14:paraId="22CFA1B8" w14:textId="77777777" w:rsidR="002661BA" w:rsidRDefault="002661BA">
      <w:pPr>
        <w:ind w:firstLine="540"/>
        <w:jc w:val="both"/>
      </w:pPr>
    </w:p>
    <w:p w14:paraId="22CFA1B9" w14:textId="77777777" w:rsidR="002661BA" w:rsidRDefault="00D972BC">
      <w:pPr>
        <w:ind w:firstLine="540"/>
        <w:jc w:val="both"/>
      </w:pPr>
      <w:r>
        <w:rPr>
          <w:rFonts w:ascii="Arial" w:eastAsia="宋体" w:hAnsi="Arial" w:cs="Arial"/>
          <w:color w:val="000000"/>
          <w:sz w:val="20"/>
          <w:szCs w:val="20"/>
        </w:rPr>
        <w:t>Some of our competitors control other products and services that are important to our success, including credit card interchange, Internet searc</w:t>
      </w:r>
      <w:r>
        <w:rPr>
          <w:rFonts w:ascii="Arial" w:eastAsia="宋体" w:hAnsi="Arial" w:cs="Arial"/>
          <w:color w:val="000000"/>
          <w:sz w:val="20"/>
          <w:szCs w:val="20"/>
        </w:rPr>
        <w:t>h, and mobile operating systems. Such competitors could manipulate pricing, availability, terms or operation of service related to their products and services in a manner that impacts our competitive offerings. For example, Google, which operates a shoppin</w:t>
      </w:r>
      <w:r>
        <w:rPr>
          <w:rFonts w:ascii="Arial" w:eastAsia="宋体" w:hAnsi="Arial" w:cs="Arial"/>
          <w:color w:val="000000"/>
          <w:sz w:val="20"/>
          <w:szCs w:val="20"/>
        </w:rPr>
        <w:t>g platform service, has from time to time made changes to its search algorithms that reduced the amount of search traffic directed to us from searches on Google. If we are unable to use or adapt to operational changes in such services, we may face higher c</w:t>
      </w:r>
      <w:r>
        <w:rPr>
          <w:rFonts w:ascii="Arial" w:eastAsia="宋体" w:hAnsi="Arial" w:cs="Arial"/>
          <w:color w:val="000000"/>
          <w:sz w:val="20"/>
          <w:szCs w:val="20"/>
        </w:rPr>
        <w:t xml:space="preserve">osts for such services, face integration or technological barriers or lose customers, which could cause our business to suffer. </w:t>
      </w:r>
    </w:p>
    <w:p w14:paraId="22CFA1BA" w14:textId="77777777" w:rsidR="002661BA" w:rsidRDefault="002661BA">
      <w:pPr>
        <w:ind w:firstLine="540"/>
        <w:jc w:val="both"/>
      </w:pPr>
    </w:p>
    <w:p w14:paraId="22CFA1BB" w14:textId="77777777" w:rsidR="002661BA" w:rsidRDefault="00D972BC">
      <w:pPr>
        <w:ind w:firstLine="540"/>
        <w:jc w:val="both"/>
      </w:pPr>
      <w:r>
        <w:rPr>
          <w:rFonts w:ascii="Arial" w:eastAsia="宋体" w:hAnsi="Arial" w:cs="Arial"/>
          <w:color w:val="000000"/>
          <w:sz w:val="20"/>
          <w:szCs w:val="20"/>
        </w:rPr>
        <w:t>Consumers who might use our sites to buy goods have a wide variety of alternatives, including traditional department, warehous</w:t>
      </w:r>
      <w:r>
        <w:rPr>
          <w:rFonts w:ascii="Arial" w:eastAsia="宋体" w:hAnsi="Arial" w:cs="Arial"/>
          <w:color w:val="000000"/>
          <w:sz w:val="20"/>
          <w:szCs w:val="20"/>
        </w:rPr>
        <w:t>e, boutique, discount and general merchandise stores (as well as the online and mobile operations of these traditional retailers), online retailers and their related mobile offerings, online and offline aggregation and classified services, social media pla</w:t>
      </w:r>
      <w:r>
        <w:rPr>
          <w:rFonts w:ascii="Arial" w:eastAsia="宋体" w:hAnsi="Arial" w:cs="Arial"/>
          <w:color w:val="000000"/>
          <w:sz w:val="20"/>
          <w:szCs w:val="20"/>
        </w:rPr>
        <w:t>tforms and other shopping channels, such as offline and online home shopping networks. In the United States, these include, but are not limited to, Amazon, Facebook, Google, Walmart, Target, Macy’s, Etsy, StockX, Shopify, Wayfair, TheRealReal, Overstock.co</w:t>
      </w:r>
      <w:r>
        <w:rPr>
          <w:rFonts w:ascii="Arial" w:eastAsia="宋体" w:hAnsi="Arial" w:cs="Arial"/>
          <w:color w:val="000000"/>
          <w:sz w:val="20"/>
          <w:szCs w:val="20"/>
        </w:rPr>
        <w:t>m and Rakuten, among others. In addition, consumers have a large number of online and offline channels focused on one or more of the categories of products offered on our site.</w:t>
      </w:r>
    </w:p>
    <w:p w14:paraId="22CFA1BC" w14:textId="77777777" w:rsidR="002661BA" w:rsidRDefault="002661BA">
      <w:pPr>
        <w:ind w:firstLine="540"/>
        <w:jc w:val="both"/>
      </w:pPr>
    </w:p>
    <w:p w14:paraId="22CFA1BD" w14:textId="77777777" w:rsidR="002661BA" w:rsidRDefault="00D972BC">
      <w:pPr>
        <w:ind w:firstLine="540"/>
        <w:jc w:val="both"/>
      </w:pPr>
      <w:r>
        <w:rPr>
          <w:rFonts w:ascii="Arial" w:eastAsia="宋体" w:hAnsi="Arial" w:cs="Arial"/>
          <w:color w:val="000000"/>
          <w:sz w:val="20"/>
          <w:szCs w:val="20"/>
        </w:rPr>
        <w:t>Consumers also can turn to many companies that offer a variety of services tha</w:t>
      </w:r>
      <w:r>
        <w:rPr>
          <w:rFonts w:ascii="Arial" w:eastAsia="宋体" w:hAnsi="Arial" w:cs="Arial"/>
          <w:color w:val="000000"/>
          <w:sz w:val="20"/>
          <w:szCs w:val="20"/>
        </w:rPr>
        <w:t>t provide other channels for buyers to find and buy items from sellers of all sizes, including social media, online aggregation and classifieds platforms, such as websites operated by Adevinta or Naspers Limited and others such as craigslist, Oodle.com and</w:t>
      </w:r>
      <w:r>
        <w:rPr>
          <w:rFonts w:ascii="Arial" w:eastAsia="宋体" w:hAnsi="Arial" w:cs="Arial"/>
          <w:color w:val="000000"/>
          <w:sz w:val="20"/>
          <w:szCs w:val="20"/>
        </w:rPr>
        <w:t xml:space="preserve"> Facebook. Consumers also can turn to shopping-comparison sites, such as Google Shopping, or social networks that enable purchases such as Pinterest and Facebook. In certain markets, our fixed-price listing and traditional auction-style listing formats inc</w:t>
      </w:r>
      <w:r>
        <w:rPr>
          <w:rFonts w:ascii="Arial" w:eastAsia="宋体" w:hAnsi="Arial" w:cs="Arial"/>
          <w:color w:val="000000"/>
          <w:sz w:val="20"/>
          <w:szCs w:val="20"/>
        </w:rPr>
        <w:t xml:space="preserve">reasingly are being challenged by other formats, such as classifieds. We use product search engines and paid search advertising to help users find our sites, but these services also have the potential to divert users to other online shopping destinations. </w:t>
      </w:r>
      <w:r>
        <w:rPr>
          <w:rFonts w:ascii="Arial" w:eastAsia="宋体" w:hAnsi="Arial" w:cs="Arial"/>
          <w:color w:val="000000"/>
          <w:sz w:val="20"/>
          <w:szCs w:val="20"/>
        </w:rPr>
        <w:t>Consumers may choose to search for products and services with a horizontal search engine or shopping comparison website, and such sites may also send users to other shopping destinations. In addition, sellers are increasingly utilizing multiple sales chann</w:t>
      </w:r>
      <w:r>
        <w:rPr>
          <w:rFonts w:ascii="Arial" w:eastAsia="宋体" w:hAnsi="Arial" w:cs="Arial"/>
          <w:color w:val="000000"/>
          <w:sz w:val="20"/>
          <w:szCs w:val="20"/>
        </w:rPr>
        <w:t xml:space="preserve">els, including the acquisition of new customers by paying for search-related advertisements on horizontal search engine sites, such as Google, Naver and Baidu. </w:t>
      </w:r>
    </w:p>
    <w:p w14:paraId="22CFA1BE" w14:textId="77777777" w:rsidR="002661BA" w:rsidRDefault="002661BA">
      <w:pPr>
        <w:ind w:firstLine="540"/>
        <w:jc w:val="both"/>
      </w:pPr>
    </w:p>
    <w:p w14:paraId="22CFA1BF" w14:textId="77777777" w:rsidR="002661BA" w:rsidRDefault="00D972BC">
      <w:pPr>
        <w:ind w:firstLine="540"/>
        <w:jc w:val="both"/>
      </w:pPr>
      <w:r>
        <w:rPr>
          <w:rFonts w:ascii="Arial" w:eastAsia="宋体" w:hAnsi="Arial" w:cs="Arial"/>
          <w:color w:val="000000"/>
          <w:sz w:val="20"/>
          <w:szCs w:val="20"/>
        </w:rPr>
        <w:t>Consumers and merchants who might use our sites to sell goods also have many alternatives, inc</w:t>
      </w:r>
      <w:r>
        <w:rPr>
          <w:rFonts w:ascii="Arial" w:eastAsia="宋体" w:hAnsi="Arial" w:cs="Arial"/>
          <w:color w:val="000000"/>
          <w:sz w:val="20"/>
          <w:szCs w:val="20"/>
        </w:rPr>
        <w:t>luding general ecommerce sites, such as Amazon, Alibaba, and Zalando, and more specialized sites, such as Etsy. Our international sites also compete for sellers with general and specialized ecommerce sites. Sellers may also choose to sell their goods throu</w:t>
      </w:r>
      <w:r>
        <w:rPr>
          <w:rFonts w:ascii="Arial" w:eastAsia="宋体" w:hAnsi="Arial" w:cs="Arial"/>
          <w:color w:val="000000"/>
          <w:sz w:val="20"/>
          <w:szCs w:val="20"/>
        </w:rPr>
        <w:t>gh other channels, such as multi-channel services like Shopify or classifieds platforms. Consumers and merchants also can create and sell through their own sites, and may choose to purchase online advertising instead of using our services. We generate a su</w:t>
      </w:r>
      <w:r>
        <w:rPr>
          <w:rFonts w:ascii="Arial" w:eastAsia="宋体" w:hAnsi="Arial" w:cs="Arial"/>
          <w:color w:val="000000"/>
          <w:sz w:val="20"/>
          <w:szCs w:val="20"/>
        </w:rPr>
        <w:t>bstantial amount of our revenue from our Promoted Listings (a first-party advertising offering) and, to a lesser extent, third-party advertising. To sustain or increase our advertising revenue, we must continue to provide customers with compelling advertis</w:t>
      </w:r>
      <w:r>
        <w:rPr>
          <w:rFonts w:ascii="Arial" w:eastAsia="宋体" w:hAnsi="Arial" w:cs="Arial"/>
          <w:color w:val="000000"/>
          <w:sz w:val="20"/>
          <w:szCs w:val="20"/>
        </w:rPr>
        <w:t xml:space="preserve">ing products to maintain or </w:t>
      </w:r>
    </w:p>
    <w:p w14:paraId="22CFA1C0" w14:textId="77777777" w:rsidR="002661BA" w:rsidRDefault="00D972BC">
      <w:pPr>
        <w:jc w:val="center"/>
      </w:pPr>
      <w:r>
        <w:rPr>
          <w:rFonts w:ascii="Arial" w:eastAsia="宋体" w:hAnsi="Arial" w:cs="Arial"/>
          <w:color w:val="000000"/>
          <w:sz w:val="18"/>
          <w:szCs w:val="18"/>
        </w:rPr>
        <w:t>13</w:t>
      </w:r>
    </w:p>
    <w:p w14:paraId="22CFA1C1" w14:textId="77777777" w:rsidR="002661BA" w:rsidRDefault="00D972BC">
      <w:r>
        <w:pict w14:anchorId="22CFE4BC">
          <v:rect id="_x0000_i1037" style="width:415.3pt;height:1.5pt" o:hralign="center" o:hrstd="t" o:hr="t" fillcolor="#a0a0a0" stroked="f"/>
        </w:pict>
      </w:r>
    </w:p>
    <w:p w14:paraId="22CFA1C2" w14:textId="77777777" w:rsidR="002661BA" w:rsidRDefault="00D972BC">
      <w:hyperlink r:id="rId39" w:anchor="id0d7a71b05ce452ea9fdb54f3cb359c7_7" w:history="1">
        <w:r>
          <w:rPr>
            <w:rStyle w:val="a5"/>
            <w:rFonts w:ascii="Arial" w:eastAsia="宋体" w:hAnsi="Arial" w:cs="Arial"/>
            <w:sz w:val="18"/>
            <w:szCs w:val="18"/>
          </w:rPr>
          <w:t>Table of Contents</w:t>
        </w:r>
      </w:hyperlink>
    </w:p>
    <w:p w14:paraId="22CFA1C3" w14:textId="77777777" w:rsidR="002661BA" w:rsidRDefault="00D972BC">
      <w:pPr>
        <w:jc w:val="both"/>
      </w:pPr>
      <w:r>
        <w:rPr>
          <w:rFonts w:ascii="Arial" w:eastAsia="宋体" w:hAnsi="Arial" w:cs="Arial"/>
          <w:color w:val="000000"/>
          <w:sz w:val="20"/>
          <w:szCs w:val="20"/>
        </w:rPr>
        <w:t>increase the amount of advertising purchased throug</w:t>
      </w:r>
      <w:r>
        <w:rPr>
          <w:rFonts w:ascii="Arial" w:eastAsia="宋体" w:hAnsi="Arial" w:cs="Arial"/>
          <w:color w:val="000000"/>
          <w:sz w:val="20"/>
          <w:szCs w:val="20"/>
        </w:rPr>
        <w:t>h our platform. If we are unable to compete effectively for advertising spend, our business and operating results could be harmed. In some countries, there are online sites that have larger customer bases and greater brand recognition, as well as competito</w:t>
      </w:r>
      <w:r>
        <w:rPr>
          <w:rFonts w:ascii="Arial" w:eastAsia="宋体" w:hAnsi="Arial" w:cs="Arial"/>
          <w:color w:val="000000"/>
          <w:sz w:val="20"/>
          <w:szCs w:val="20"/>
        </w:rPr>
        <w:t>rs that may have a better understanding of local culture and commerce. We may increasingly compete with local competitors in developing countries that have unique advantages, such as a greater ability to operate under local regulatory authorities.</w:t>
      </w:r>
    </w:p>
    <w:p w14:paraId="22CFA1C4" w14:textId="77777777" w:rsidR="002661BA" w:rsidRDefault="002661BA">
      <w:pPr>
        <w:ind w:firstLine="540"/>
        <w:jc w:val="both"/>
      </w:pPr>
    </w:p>
    <w:p w14:paraId="22CFA1C5" w14:textId="77777777" w:rsidR="002661BA" w:rsidRDefault="00D972BC">
      <w:pPr>
        <w:ind w:firstLine="540"/>
        <w:jc w:val="both"/>
      </w:pPr>
      <w:r>
        <w:rPr>
          <w:rFonts w:ascii="Arial" w:eastAsia="宋体" w:hAnsi="Arial" w:cs="Arial"/>
          <w:color w:val="000000"/>
          <w:sz w:val="20"/>
          <w:szCs w:val="20"/>
        </w:rPr>
        <w:t>In addi</w:t>
      </w:r>
      <w:r>
        <w:rPr>
          <w:rFonts w:ascii="Arial" w:eastAsia="宋体" w:hAnsi="Arial" w:cs="Arial"/>
          <w:color w:val="000000"/>
          <w:sz w:val="20"/>
          <w:szCs w:val="20"/>
        </w:rPr>
        <w:t>tion, certain manufacturers may limit or cease distribution of their products through online channels, such as our sites. Manufacturers may attempt to use contractual obligations or existing or future government regulation to prohibit or limit ecommerce in</w:t>
      </w:r>
      <w:r>
        <w:rPr>
          <w:rFonts w:ascii="Arial" w:eastAsia="宋体" w:hAnsi="Arial" w:cs="Arial"/>
          <w:color w:val="000000"/>
          <w:sz w:val="20"/>
          <w:szCs w:val="20"/>
        </w:rPr>
        <w:t xml:space="preserve"> certain categories of goods or services. Manufacturers may also attempt to enforce minimum resale price maintenance or minimum advertised price arrangements to prevent distributors from selling on our platforms or on the Internet generally, or drive distr</w:t>
      </w:r>
      <w:r>
        <w:rPr>
          <w:rFonts w:ascii="Arial" w:eastAsia="宋体" w:hAnsi="Arial" w:cs="Arial"/>
          <w:color w:val="000000"/>
          <w:sz w:val="20"/>
          <w:szCs w:val="20"/>
        </w:rPr>
        <w:t xml:space="preserve">ibutors to sell at prices that would make us less attractive relative to other alternatives. The adoption by those or other policies could adversely affect our results of operations and result in loss of market share and diminished value of our brands. </w:t>
      </w:r>
    </w:p>
    <w:p w14:paraId="22CFA1C6" w14:textId="77777777" w:rsidR="002661BA" w:rsidRDefault="002661BA">
      <w:pPr>
        <w:ind w:firstLine="540"/>
        <w:jc w:val="both"/>
      </w:pPr>
    </w:p>
    <w:p w14:paraId="22CFA1C7" w14:textId="77777777" w:rsidR="002661BA" w:rsidRDefault="00D972BC">
      <w:pPr>
        <w:ind w:firstLine="540"/>
        <w:jc w:val="both"/>
      </w:pPr>
      <w:r>
        <w:rPr>
          <w:rFonts w:ascii="Arial" w:eastAsia="宋体" w:hAnsi="Arial" w:cs="Arial"/>
          <w:color w:val="000000"/>
          <w:sz w:val="20"/>
          <w:szCs w:val="20"/>
        </w:rPr>
        <w:t xml:space="preserve">The principal competitive factors for us include the following: </w:t>
      </w:r>
    </w:p>
    <w:p w14:paraId="22CFA1C8" w14:textId="77777777" w:rsidR="002661BA" w:rsidRDefault="00D972BC">
      <w:pPr>
        <w:jc w:val="both"/>
      </w:pPr>
      <w:r>
        <w:rPr>
          <w:rFonts w:ascii="Arial" w:eastAsia="宋体" w:hAnsi="Arial" w:cs="Arial"/>
          <w:color w:val="000000"/>
          <w:sz w:val="20"/>
          <w:szCs w:val="20"/>
        </w:rPr>
        <w:t>    </w:t>
      </w:r>
    </w:p>
    <w:p w14:paraId="22CFA1C9" w14:textId="77777777" w:rsidR="002661BA" w:rsidRDefault="00D972BC">
      <w:pPr>
        <w:ind w:hanging="360"/>
        <w:jc w:val="both"/>
      </w:pPr>
      <w:r>
        <w:rPr>
          <w:rFonts w:ascii="Arial" w:eastAsia="宋体" w:hAnsi="Arial" w:cs="Arial"/>
          <w:color w:val="000000"/>
          <w:sz w:val="20"/>
          <w:szCs w:val="20"/>
        </w:rPr>
        <w:t>•ability to attract, retain and engage buyers and sellers;</w:t>
      </w:r>
    </w:p>
    <w:p w14:paraId="22CFA1CA" w14:textId="77777777" w:rsidR="002661BA" w:rsidRDefault="00D972BC">
      <w:pPr>
        <w:ind w:hanging="360"/>
        <w:jc w:val="both"/>
      </w:pPr>
      <w:r>
        <w:rPr>
          <w:rFonts w:ascii="Arial" w:eastAsia="宋体" w:hAnsi="Arial" w:cs="Arial"/>
          <w:color w:val="000000"/>
          <w:sz w:val="20"/>
          <w:szCs w:val="20"/>
        </w:rPr>
        <w:t>•volume of transactions and price and selection of goods;</w:t>
      </w:r>
    </w:p>
    <w:p w14:paraId="22CFA1CB" w14:textId="77777777" w:rsidR="002661BA" w:rsidRDefault="00D972BC">
      <w:pPr>
        <w:ind w:hanging="360"/>
        <w:jc w:val="both"/>
      </w:pPr>
      <w:r>
        <w:rPr>
          <w:rFonts w:ascii="Arial" w:eastAsia="宋体" w:hAnsi="Arial" w:cs="Arial"/>
          <w:color w:val="000000"/>
          <w:sz w:val="20"/>
          <w:szCs w:val="20"/>
        </w:rPr>
        <w:t>•trust in the seller and the transaction;</w:t>
      </w:r>
    </w:p>
    <w:p w14:paraId="22CFA1CC" w14:textId="77777777" w:rsidR="002661BA" w:rsidRDefault="00D972BC">
      <w:pPr>
        <w:ind w:hanging="360"/>
        <w:jc w:val="both"/>
      </w:pPr>
      <w:r>
        <w:rPr>
          <w:rFonts w:ascii="Arial" w:eastAsia="宋体" w:hAnsi="Arial" w:cs="Arial"/>
          <w:color w:val="000000"/>
          <w:sz w:val="20"/>
          <w:szCs w:val="20"/>
        </w:rPr>
        <w:t xml:space="preserve">•customer service; </w:t>
      </w:r>
    </w:p>
    <w:p w14:paraId="22CFA1CD" w14:textId="77777777" w:rsidR="002661BA" w:rsidRDefault="00D972BC">
      <w:pPr>
        <w:ind w:hanging="360"/>
        <w:jc w:val="both"/>
      </w:pPr>
      <w:r>
        <w:rPr>
          <w:rFonts w:ascii="Arial" w:eastAsia="宋体" w:hAnsi="Arial" w:cs="Arial"/>
          <w:color w:val="000000"/>
          <w:sz w:val="20"/>
          <w:szCs w:val="20"/>
        </w:rPr>
        <w:t>•brand recognition;    </w:t>
      </w:r>
    </w:p>
    <w:p w14:paraId="22CFA1CE" w14:textId="77777777" w:rsidR="002661BA" w:rsidRDefault="00D972BC">
      <w:pPr>
        <w:ind w:hanging="360"/>
        <w:jc w:val="both"/>
      </w:pPr>
      <w:r>
        <w:rPr>
          <w:rFonts w:ascii="Arial" w:eastAsia="宋体" w:hAnsi="Arial" w:cs="Arial"/>
          <w:color w:val="000000"/>
          <w:sz w:val="20"/>
          <w:szCs w:val="20"/>
        </w:rPr>
        <w:t>•community cohesion, interaction and size;</w:t>
      </w:r>
    </w:p>
    <w:p w14:paraId="22CFA1CF" w14:textId="77777777" w:rsidR="002661BA" w:rsidRDefault="00D972BC">
      <w:pPr>
        <w:ind w:hanging="360"/>
        <w:jc w:val="both"/>
      </w:pPr>
      <w:r>
        <w:rPr>
          <w:rFonts w:ascii="Arial" w:eastAsia="宋体" w:hAnsi="Arial" w:cs="Arial"/>
          <w:color w:val="000000"/>
          <w:sz w:val="20"/>
          <w:szCs w:val="20"/>
        </w:rPr>
        <w:t>•website, mobile platform and application ease-of-use and accessibility;</w:t>
      </w:r>
    </w:p>
    <w:p w14:paraId="22CFA1D0" w14:textId="77777777" w:rsidR="002661BA" w:rsidRDefault="00D972BC">
      <w:pPr>
        <w:ind w:hanging="360"/>
        <w:jc w:val="both"/>
      </w:pPr>
      <w:r>
        <w:rPr>
          <w:rFonts w:ascii="Arial" w:eastAsia="宋体" w:hAnsi="Arial" w:cs="Arial"/>
          <w:color w:val="000000"/>
          <w:sz w:val="20"/>
          <w:szCs w:val="20"/>
        </w:rPr>
        <w:t>•system reliability and security;</w:t>
      </w:r>
    </w:p>
    <w:p w14:paraId="22CFA1D1" w14:textId="77777777" w:rsidR="002661BA" w:rsidRDefault="00D972BC">
      <w:pPr>
        <w:ind w:hanging="360"/>
        <w:jc w:val="both"/>
      </w:pPr>
      <w:r>
        <w:rPr>
          <w:rFonts w:ascii="Arial" w:eastAsia="宋体" w:hAnsi="Arial" w:cs="Arial"/>
          <w:color w:val="000000"/>
          <w:sz w:val="20"/>
          <w:szCs w:val="20"/>
        </w:rPr>
        <w:t>•reliability of delivery and payment, including customer prefe</w:t>
      </w:r>
      <w:r>
        <w:rPr>
          <w:rFonts w:ascii="Arial" w:eastAsia="宋体" w:hAnsi="Arial" w:cs="Arial"/>
          <w:color w:val="000000"/>
          <w:sz w:val="20"/>
          <w:szCs w:val="20"/>
        </w:rPr>
        <w:t>rence for fast delivery and free shipping and returns;</w:t>
      </w:r>
    </w:p>
    <w:p w14:paraId="22CFA1D2" w14:textId="77777777" w:rsidR="002661BA" w:rsidRDefault="00D972BC">
      <w:pPr>
        <w:ind w:hanging="360"/>
        <w:jc w:val="both"/>
      </w:pPr>
      <w:r>
        <w:rPr>
          <w:rFonts w:ascii="Arial" w:eastAsia="宋体" w:hAnsi="Arial" w:cs="Arial"/>
          <w:color w:val="000000"/>
          <w:sz w:val="20"/>
          <w:szCs w:val="20"/>
        </w:rPr>
        <w:t>•level of service fees; and</w:t>
      </w:r>
    </w:p>
    <w:p w14:paraId="22CFA1D3" w14:textId="77777777" w:rsidR="002661BA" w:rsidRDefault="00D972BC">
      <w:pPr>
        <w:ind w:hanging="360"/>
        <w:jc w:val="both"/>
      </w:pPr>
      <w:r>
        <w:rPr>
          <w:rFonts w:ascii="Arial" w:eastAsia="宋体" w:hAnsi="Arial" w:cs="Arial"/>
          <w:color w:val="000000"/>
          <w:sz w:val="20"/>
          <w:szCs w:val="20"/>
        </w:rPr>
        <w:t>•quality of search tools.</w:t>
      </w:r>
    </w:p>
    <w:p w14:paraId="22CFA1D4" w14:textId="77777777" w:rsidR="002661BA" w:rsidRDefault="002661BA">
      <w:pPr>
        <w:jc w:val="both"/>
      </w:pPr>
    </w:p>
    <w:p w14:paraId="22CFA1D5" w14:textId="77777777" w:rsidR="002661BA" w:rsidRDefault="00D972BC">
      <w:pPr>
        <w:ind w:firstLine="540"/>
        <w:jc w:val="both"/>
      </w:pPr>
      <w:r>
        <w:rPr>
          <w:rFonts w:ascii="Arial" w:eastAsia="宋体" w:hAnsi="Arial" w:cs="Arial"/>
          <w:color w:val="000000"/>
          <w:sz w:val="20"/>
          <w:szCs w:val="20"/>
        </w:rPr>
        <w:t>We may be unable to compete successfully against current and future competitors. Some current and potential competitors have longer operating hist</w:t>
      </w:r>
      <w:r>
        <w:rPr>
          <w:rFonts w:ascii="Arial" w:eastAsia="宋体" w:hAnsi="Arial" w:cs="Arial"/>
          <w:color w:val="000000"/>
          <w:sz w:val="20"/>
          <w:szCs w:val="20"/>
        </w:rPr>
        <w:t>ories, larger customer bases and greater brand recognition in other business and Internet sectors than we do.</w:t>
      </w:r>
    </w:p>
    <w:p w14:paraId="22CFA1D6" w14:textId="77777777" w:rsidR="002661BA" w:rsidRDefault="002661BA"/>
    <w:p w14:paraId="22CFA1D7" w14:textId="77777777" w:rsidR="002661BA" w:rsidRDefault="00D972BC">
      <w:pPr>
        <w:ind w:firstLine="540"/>
        <w:jc w:val="both"/>
      </w:pPr>
      <w:r>
        <w:rPr>
          <w:rFonts w:ascii="Arial" w:eastAsia="宋体" w:hAnsi="Arial" w:cs="Arial"/>
          <w:i/>
          <w:iCs/>
          <w:color w:val="000000"/>
          <w:sz w:val="20"/>
          <w:szCs w:val="20"/>
        </w:rPr>
        <w:t xml:space="preserve">The global COVID-19 pandemic could harm our business and results of operations. </w:t>
      </w:r>
    </w:p>
    <w:p w14:paraId="22CFA1D8" w14:textId="77777777" w:rsidR="002661BA" w:rsidRDefault="002661BA">
      <w:pPr>
        <w:ind w:firstLine="540"/>
        <w:jc w:val="both"/>
      </w:pPr>
    </w:p>
    <w:p w14:paraId="22CFA1D9" w14:textId="77777777" w:rsidR="002661BA" w:rsidRDefault="00D972BC">
      <w:pPr>
        <w:ind w:firstLine="540"/>
        <w:jc w:val="both"/>
      </w:pPr>
      <w:r>
        <w:rPr>
          <w:rFonts w:ascii="Arial" w:eastAsia="宋体" w:hAnsi="Arial" w:cs="Arial"/>
          <w:color w:val="000000"/>
          <w:sz w:val="20"/>
          <w:szCs w:val="20"/>
        </w:rPr>
        <w:t xml:space="preserve">The global spread of COVID-19 variants and related measures to </w:t>
      </w:r>
      <w:r>
        <w:rPr>
          <w:rFonts w:ascii="Arial" w:eastAsia="宋体" w:hAnsi="Arial" w:cs="Arial"/>
          <w:color w:val="000000"/>
          <w:sz w:val="20"/>
          <w:szCs w:val="20"/>
        </w:rPr>
        <w:t>contain its spread (such as government mandated business closures and shelter in-place guidelines) have created significant volatility, uncertainty and economic disruption. The extent to which the COVID-19 pandemic impacts our business, results of operatio</w:t>
      </w:r>
      <w:r>
        <w:rPr>
          <w:rFonts w:ascii="Arial" w:eastAsia="宋体" w:hAnsi="Arial" w:cs="Arial"/>
          <w:color w:val="000000"/>
          <w:sz w:val="20"/>
          <w:szCs w:val="20"/>
        </w:rPr>
        <w:t>ns, financial condition and liquidity in the future will depend on numerous evolving factors that we cannot predict, including the duration and scope of the pandemic; any resurgence of the pandemic; the availability and distribution of effective treatments</w:t>
      </w:r>
      <w:r>
        <w:rPr>
          <w:rFonts w:ascii="Arial" w:eastAsia="宋体" w:hAnsi="Arial" w:cs="Arial"/>
          <w:color w:val="000000"/>
          <w:sz w:val="20"/>
          <w:szCs w:val="20"/>
        </w:rPr>
        <w:t xml:space="preserve"> and vaccines; governmental, business and individuals’ actions that have been and continue to be taken in response to the pandemic; the impact of the pandemic on national and global economic activity, unemployment levels and financial markets, including th</w:t>
      </w:r>
      <w:r>
        <w:rPr>
          <w:rFonts w:ascii="Arial" w:eastAsia="宋体" w:hAnsi="Arial" w:cs="Arial"/>
          <w:color w:val="000000"/>
          <w:sz w:val="20"/>
          <w:szCs w:val="20"/>
        </w:rPr>
        <w:t>e possibility of a national or global recession; the potential for shipping difficulties, including slowed deliveries from sellers to their customers; and the ability of consumers to pay for products. The COVID-19 pandemic has generally resulted in a decre</w:t>
      </w:r>
      <w:r>
        <w:rPr>
          <w:rFonts w:ascii="Arial" w:eastAsia="宋体" w:hAnsi="Arial" w:cs="Arial"/>
          <w:color w:val="000000"/>
          <w:sz w:val="20"/>
          <w:szCs w:val="20"/>
        </w:rPr>
        <w:t>ase in consumer spending, which could have an adverse impact on our sellers through reduced consumer demand for their products and availability of inventory, which could in turn negatively impact the demand for use of our platforms. Additionally, the COVID</w:t>
      </w:r>
      <w:r>
        <w:rPr>
          <w:rFonts w:ascii="Arial" w:eastAsia="宋体" w:hAnsi="Arial" w:cs="Arial"/>
          <w:color w:val="000000"/>
          <w:sz w:val="20"/>
          <w:szCs w:val="20"/>
        </w:rPr>
        <w:t>-19 pandemic has caused us to require employees to work remotely for an extended period of time, which could negatively impact our business and harm productivity and collaboration. If there is a prolonged impact of COVID-19, it could adversely affect our b</w:t>
      </w:r>
      <w:r>
        <w:rPr>
          <w:rFonts w:ascii="Arial" w:eastAsia="宋体" w:hAnsi="Arial" w:cs="Arial"/>
          <w:color w:val="000000"/>
          <w:sz w:val="20"/>
          <w:szCs w:val="20"/>
        </w:rPr>
        <w:t>usiness, results of operations, financial condition and liquidity, perhaps materially. The future impact of COVID-19 and these containment measures cannot be predicted with certainty and may increase our borrowing costs and other costs of capital and other</w:t>
      </w:r>
      <w:r>
        <w:rPr>
          <w:rFonts w:ascii="Arial" w:eastAsia="宋体" w:hAnsi="Arial" w:cs="Arial"/>
          <w:color w:val="000000"/>
          <w:sz w:val="20"/>
          <w:szCs w:val="20"/>
        </w:rPr>
        <w:t xml:space="preserve">wise adversely affect our business, results of operations, financial condition and liquidity, and we cannot assure that we will have access to external financing at times and on terms we consider acceptable, or at all, or that we will not experience other </w:t>
      </w:r>
      <w:r>
        <w:rPr>
          <w:rFonts w:ascii="Arial" w:eastAsia="宋体" w:hAnsi="Arial" w:cs="Arial"/>
          <w:color w:val="000000"/>
          <w:sz w:val="20"/>
          <w:szCs w:val="20"/>
        </w:rPr>
        <w:t>liquidity issues going forward.</w:t>
      </w:r>
    </w:p>
    <w:p w14:paraId="22CFA1DA" w14:textId="77777777" w:rsidR="002661BA" w:rsidRDefault="002661BA">
      <w:pPr>
        <w:ind w:firstLine="540"/>
        <w:jc w:val="both"/>
      </w:pPr>
    </w:p>
    <w:p w14:paraId="22CFA1DB" w14:textId="77777777" w:rsidR="002661BA" w:rsidRDefault="00D972BC">
      <w:pPr>
        <w:ind w:firstLine="540"/>
        <w:jc w:val="both"/>
      </w:pPr>
      <w:r>
        <w:rPr>
          <w:rFonts w:ascii="Arial" w:eastAsia="宋体" w:hAnsi="Arial" w:cs="Arial"/>
          <w:color w:val="000000"/>
          <w:sz w:val="20"/>
          <w:szCs w:val="20"/>
        </w:rPr>
        <w:t>The COVID-19 pandemic and the related measures to contain its spread did not adversely affect our consolidated results of operations. Initially, our Marketplace platforms experienced improved traffic and buyer acquisition d</w:t>
      </w:r>
      <w:r>
        <w:rPr>
          <w:rFonts w:ascii="Arial" w:eastAsia="宋体" w:hAnsi="Arial" w:cs="Arial"/>
          <w:color w:val="000000"/>
          <w:sz w:val="20"/>
          <w:szCs w:val="20"/>
        </w:rPr>
        <w:t xml:space="preserve">ue to the ongoing impact of mobility restrictions taken globally to contain the spread of COVID-19 and changes in consumer behaviors that have resulted in more online shopping. As restrictions have loosened and </w:t>
      </w:r>
    </w:p>
    <w:p w14:paraId="22CFA1DC" w14:textId="77777777" w:rsidR="002661BA" w:rsidRDefault="00D972BC">
      <w:pPr>
        <w:jc w:val="center"/>
      </w:pPr>
      <w:r>
        <w:rPr>
          <w:rFonts w:ascii="Arial" w:eastAsia="宋体" w:hAnsi="Arial" w:cs="Arial"/>
          <w:color w:val="000000"/>
          <w:sz w:val="18"/>
          <w:szCs w:val="18"/>
        </w:rPr>
        <w:t>14</w:t>
      </w:r>
    </w:p>
    <w:p w14:paraId="22CFA1DD" w14:textId="77777777" w:rsidR="002661BA" w:rsidRDefault="00D972BC">
      <w:r>
        <w:pict w14:anchorId="22CFE4BD">
          <v:rect id="_x0000_i1038" style="width:415.3pt;height:1.5pt" o:hralign="center" o:hrstd="t" o:hr="t" fillcolor="#a0a0a0" stroked="f"/>
        </w:pict>
      </w:r>
    </w:p>
    <w:p w14:paraId="22CFA1DE" w14:textId="77777777" w:rsidR="002661BA" w:rsidRDefault="00D972BC">
      <w:hyperlink r:id="rId40" w:anchor="id0d7a71b05ce452ea9fdb54f3cb359c7_7" w:history="1">
        <w:r>
          <w:rPr>
            <w:rStyle w:val="a5"/>
            <w:rFonts w:ascii="Arial" w:eastAsia="宋体" w:hAnsi="Arial" w:cs="Arial"/>
            <w:sz w:val="18"/>
            <w:szCs w:val="18"/>
          </w:rPr>
          <w:t>Table of Contents</w:t>
        </w:r>
      </w:hyperlink>
    </w:p>
    <w:p w14:paraId="22CFA1DF" w14:textId="77777777" w:rsidR="002661BA" w:rsidRDefault="00D972BC">
      <w:pPr>
        <w:jc w:val="both"/>
      </w:pPr>
      <w:r>
        <w:rPr>
          <w:rFonts w:ascii="Arial" w:eastAsia="宋体" w:hAnsi="Arial" w:cs="Arial"/>
          <w:color w:val="000000"/>
          <w:sz w:val="20"/>
          <w:szCs w:val="20"/>
        </w:rPr>
        <w:t>mobility increases, we may experience lower traffic and buyer acquisition, and the impacts seen may continue to create volat</w:t>
      </w:r>
      <w:r>
        <w:rPr>
          <w:rFonts w:ascii="Arial" w:eastAsia="宋体" w:hAnsi="Arial" w:cs="Arial"/>
          <w:color w:val="000000"/>
          <w:sz w:val="20"/>
          <w:szCs w:val="20"/>
        </w:rPr>
        <w:t>ility in our results and a wider range of outcomes as consumer behaviors and mobility restrictions continue to evolve.</w:t>
      </w:r>
    </w:p>
    <w:p w14:paraId="22CFA1E0" w14:textId="77777777" w:rsidR="002661BA" w:rsidRDefault="002661BA">
      <w:pPr>
        <w:ind w:firstLine="540"/>
        <w:jc w:val="both"/>
      </w:pPr>
    </w:p>
    <w:p w14:paraId="22CFA1E1" w14:textId="77777777" w:rsidR="002661BA" w:rsidRDefault="00D972BC">
      <w:pPr>
        <w:ind w:firstLine="540"/>
        <w:jc w:val="both"/>
      </w:pPr>
      <w:r>
        <w:rPr>
          <w:rFonts w:ascii="Arial" w:eastAsia="宋体" w:hAnsi="Arial" w:cs="Arial"/>
          <w:i/>
          <w:iCs/>
          <w:color w:val="000000"/>
          <w:sz w:val="20"/>
          <w:szCs w:val="20"/>
        </w:rPr>
        <w:t>We are exposed to fluctuations in foreign currency exchange rates, which could negatively impact our financial results.</w:t>
      </w:r>
    </w:p>
    <w:p w14:paraId="22CFA1E2" w14:textId="77777777" w:rsidR="002661BA" w:rsidRDefault="002661BA">
      <w:pPr>
        <w:ind w:firstLine="540"/>
        <w:jc w:val="both"/>
      </w:pPr>
    </w:p>
    <w:p w14:paraId="22CFA1E3" w14:textId="77777777" w:rsidR="002661BA" w:rsidRDefault="00D972BC">
      <w:pPr>
        <w:ind w:firstLine="540"/>
        <w:jc w:val="both"/>
      </w:pPr>
      <w:r>
        <w:rPr>
          <w:rFonts w:ascii="Arial" w:eastAsia="宋体" w:hAnsi="Arial" w:cs="Arial"/>
          <w:color w:val="000000"/>
          <w:sz w:val="20"/>
          <w:szCs w:val="20"/>
        </w:rPr>
        <w:t>Because we generate approximately half of our revenues outside the United States but report our financial results in U.S. dollars, our financial results are impacted by fluctuations in foreign currency exchange rates, or foreign exchange rates. The results</w:t>
      </w:r>
      <w:r>
        <w:rPr>
          <w:rFonts w:ascii="Arial" w:eastAsia="宋体" w:hAnsi="Arial" w:cs="Arial"/>
          <w:color w:val="000000"/>
          <w:sz w:val="20"/>
          <w:szCs w:val="20"/>
        </w:rPr>
        <w:t xml:space="preserve"> of operations of many of our internationally focused platforms are exposed to foreign exchange rate fluctuations as the financial results of the applicable subsidiaries are translated from the local currency into U.S. dollars for financial reporting purpo</w:t>
      </w:r>
      <w:r>
        <w:rPr>
          <w:rFonts w:ascii="Arial" w:eastAsia="宋体" w:hAnsi="Arial" w:cs="Arial"/>
          <w:color w:val="000000"/>
          <w:sz w:val="20"/>
          <w:szCs w:val="20"/>
        </w:rPr>
        <w:t xml:space="preserve">ses. </w:t>
      </w:r>
    </w:p>
    <w:p w14:paraId="22CFA1E4" w14:textId="77777777" w:rsidR="002661BA" w:rsidRDefault="002661BA">
      <w:pPr>
        <w:ind w:firstLine="540"/>
        <w:jc w:val="both"/>
      </w:pPr>
    </w:p>
    <w:p w14:paraId="22CFA1E5" w14:textId="77777777" w:rsidR="002661BA" w:rsidRDefault="00D972BC">
      <w:pPr>
        <w:ind w:firstLine="540"/>
        <w:jc w:val="both"/>
      </w:pPr>
      <w:r>
        <w:rPr>
          <w:rFonts w:ascii="Arial" w:eastAsia="宋体" w:hAnsi="Arial" w:cs="Arial"/>
          <w:color w:val="000000"/>
          <w:sz w:val="20"/>
          <w:szCs w:val="20"/>
        </w:rPr>
        <w:t>While from time to time we enter into transactions to hedge portions of our foreign currency translation exposure, it is impossible to predict or eliminate the effects of this exposure. Fluctuations in foreign exchange rates could significantly impa</w:t>
      </w:r>
      <w:r>
        <w:rPr>
          <w:rFonts w:ascii="Arial" w:eastAsia="宋体" w:hAnsi="Arial" w:cs="Arial"/>
          <w:color w:val="000000"/>
          <w:sz w:val="20"/>
          <w:szCs w:val="20"/>
        </w:rPr>
        <w:t>ct our financial results, which may have a significant impact on the trading price of our common stock and debt securities.</w:t>
      </w:r>
    </w:p>
    <w:p w14:paraId="22CFA1E6" w14:textId="77777777" w:rsidR="002661BA" w:rsidRDefault="002661BA">
      <w:pPr>
        <w:ind w:firstLine="540"/>
        <w:jc w:val="both"/>
      </w:pPr>
    </w:p>
    <w:p w14:paraId="22CFA1E7" w14:textId="77777777" w:rsidR="002661BA" w:rsidRDefault="00D972BC">
      <w:pPr>
        <w:ind w:firstLine="540"/>
        <w:jc w:val="both"/>
      </w:pPr>
      <w:r>
        <w:rPr>
          <w:rFonts w:ascii="Arial" w:eastAsia="宋体" w:hAnsi="Arial" w:cs="Arial"/>
          <w:i/>
          <w:iCs/>
          <w:color w:val="000000"/>
          <w:sz w:val="20"/>
          <w:szCs w:val="20"/>
        </w:rPr>
        <w:t>Our international operations and engagement in cross-border trade are subject to risks, which could harm our business.</w:t>
      </w:r>
    </w:p>
    <w:p w14:paraId="22CFA1E8" w14:textId="77777777" w:rsidR="002661BA" w:rsidRDefault="002661BA">
      <w:pPr>
        <w:ind w:firstLine="540"/>
        <w:jc w:val="both"/>
      </w:pPr>
    </w:p>
    <w:p w14:paraId="22CFA1E9" w14:textId="77777777" w:rsidR="002661BA" w:rsidRDefault="00D972BC">
      <w:pPr>
        <w:ind w:firstLine="540"/>
        <w:jc w:val="both"/>
      </w:pPr>
      <w:r>
        <w:rPr>
          <w:rFonts w:ascii="Arial" w:eastAsia="宋体" w:hAnsi="Arial" w:cs="Arial"/>
          <w:color w:val="000000"/>
          <w:sz w:val="20"/>
          <w:szCs w:val="20"/>
        </w:rPr>
        <w:t>Our interna</w:t>
      </w:r>
      <w:r>
        <w:rPr>
          <w:rFonts w:ascii="Arial" w:eastAsia="宋体" w:hAnsi="Arial" w:cs="Arial"/>
          <w:color w:val="000000"/>
          <w:sz w:val="20"/>
          <w:szCs w:val="20"/>
        </w:rPr>
        <w:t xml:space="preserve">tional businesses, especially in the United Kingdom, Germany and Australia, and cross-border business from greater China, have generated a majority of our net revenues in recent years. In addition to uncertainty about our ability to generate revenues from </w:t>
      </w:r>
      <w:r>
        <w:rPr>
          <w:rFonts w:ascii="Arial" w:eastAsia="宋体" w:hAnsi="Arial" w:cs="Arial"/>
          <w:color w:val="000000"/>
          <w:sz w:val="20"/>
          <w:szCs w:val="20"/>
        </w:rPr>
        <w:t>our foreign operations and expand into international markets, there are risks inherent in doing business internationally, including:</w:t>
      </w:r>
    </w:p>
    <w:p w14:paraId="22CFA1EA" w14:textId="77777777" w:rsidR="002661BA" w:rsidRDefault="002661BA">
      <w:pPr>
        <w:jc w:val="both"/>
      </w:pPr>
    </w:p>
    <w:p w14:paraId="22CFA1EB" w14:textId="77777777" w:rsidR="002661BA" w:rsidRDefault="00D972BC">
      <w:pPr>
        <w:ind w:hanging="360"/>
        <w:jc w:val="both"/>
      </w:pPr>
      <w:r>
        <w:rPr>
          <w:rFonts w:ascii="Arial" w:eastAsia="宋体" w:hAnsi="Arial" w:cs="Arial"/>
          <w:color w:val="000000"/>
          <w:sz w:val="20"/>
          <w:szCs w:val="20"/>
        </w:rPr>
        <w:t>•uncertainties and instability in economic and market conditions resulting from Brexit;</w:t>
      </w:r>
    </w:p>
    <w:p w14:paraId="22CFA1EC" w14:textId="77777777" w:rsidR="002661BA" w:rsidRDefault="00D972BC">
      <w:pPr>
        <w:ind w:hanging="360"/>
        <w:jc w:val="both"/>
      </w:pPr>
      <w:r>
        <w:rPr>
          <w:rFonts w:ascii="Arial" w:eastAsia="宋体" w:hAnsi="Arial" w:cs="Arial"/>
          <w:color w:val="000000"/>
          <w:sz w:val="20"/>
          <w:szCs w:val="20"/>
        </w:rPr>
        <w:t>•expenses associated with localizi</w:t>
      </w:r>
      <w:r>
        <w:rPr>
          <w:rFonts w:ascii="Arial" w:eastAsia="宋体" w:hAnsi="Arial" w:cs="Arial"/>
          <w:color w:val="000000"/>
          <w:sz w:val="20"/>
          <w:szCs w:val="20"/>
        </w:rPr>
        <w:t>ng our products and services and customer data, including offering customers the ability to transact business in the local currency and adapting our products and services to local preferences (e.g., payment methods) with which we may have limited or no exp</w:t>
      </w:r>
      <w:r>
        <w:rPr>
          <w:rFonts w:ascii="Arial" w:eastAsia="宋体" w:hAnsi="Arial" w:cs="Arial"/>
          <w:color w:val="000000"/>
          <w:sz w:val="20"/>
          <w:szCs w:val="20"/>
        </w:rPr>
        <w:t>erience;</w:t>
      </w:r>
    </w:p>
    <w:p w14:paraId="22CFA1ED" w14:textId="77777777" w:rsidR="002661BA" w:rsidRDefault="00D972BC">
      <w:pPr>
        <w:ind w:hanging="360"/>
        <w:jc w:val="both"/>
      </w:pPr>
      <w:r>
        <w:rPr>
          <w:rFonts w:ascii="Arial" w:eastAsia="宋体" w:hAnsi="Arial" w:cs="Arial"/>
          <w:color w:val="000000"/>
          <w:sz w:val="20"/>
          <w:szCs w:val="20"/>
        </w:rPr>
        <w:t>•trade barriers and changes in trade regulations;</w:t>
      </w:r>
    </w:p>
    <w:p w14:paraId="22CFA1EE" w14:textId="77777777" w:rsidR="002661BA" w:rsidRDefault="00D972BC">
      <w:pPr>
        <w:ind w:hanging="360"/>
        <w:jc w:val="both"/>
      </w:pPr>
      <w:r>
        <w:rPr>
          <w:rFonts w:ascii="Arial" w:eastAsia="宋体" w:hAnsi="Arial" w:cs="Arial"/>
          <w:color w:val="000000"/>
          <w:sz w:val="20"/>
          <w:szCs w:val="20"/>
        </w:rPr>
        <w:t>•difficulties in developing, staffing, and simultaneously managing a large number of varying foreign operations as a result of distance, language, and cultural differences;</w:t>
      </w:r>
    </w:p>
    <w:p w14:paraId="22CFA1EF" w14:textId="77777777" w:rsidR="002661BA" w:rsidRDefault="00D972BC">
      <w:pPr>
        <w:ind w:hanging="360"/>
        <w:jc w:val="both"/>
      </w:pPr>
      <w:r>
        <w:rPr>
          <w:rFonts w:ascii="Arial" w:eastAsia="宋体" w:hAnsi="Arial" w:cs="Arial"/>
          <w:color w:val="000000"/>
          <w:sz w:val="20"/>
          <w:szCs w:val="20"/>
        </w:rPr>
        <w:t>•stringent local labor l</w:t>
      </w:r>
      <w:r>
        <w:rPr>
          <w:rFonts w:ascii="Arial" w:eastAsia="宋体" w:hAnsi="Arial" w:cs="Arial"/>
          <w:color w:val="000000"/>
          <w:sz w:val="20"/>
          <w:szCs w:val="20"/>
        </w:rPr>
        <w:t>aws and regulations;</w:t>
      </w:r>
    </w:p>
    <w:p w14:paraId="22CFA1F0" w14:textId="77777777" w:rsidR="002661BA" w:rsidRDefault="00D972BC">
      <w:pPr>
        <w:ind w:hanging="360"/>
        <w:jc w:val="both"/>
      </w:pPr>
      <w:r>
        <w:rPr>
          <w:rFonts w:ascii="Arial" w:eastAsia="宋体" w:hAnsi="Arial" w:cs="Arial"/>
          <w:color w:val="000000"/>
          <w:sz w:val="20"/>
          <w:szCs w:val="20"/>
        </w:rPr>
        <w:t>•credit risk and higher levels of payment fraud;</w:t>
      </w:r>
    </w:p>
    <w:p w14:paraId="22CFA1F1" w14:textId="77777777" w:rsidR="002661BA" w:rsidRDefault="00D972BC">
      <w:pPr>
        <w:ind w:hanging="360"/>
        <w:jc w:val="both"/>
      </w:pPr>
      <w:r>
        <w:rPr>
          <w:rFonts w:ascii="Arial" w:eastAsia="宋体" w:hAnsi="Arial" w:cs="Arial"/>
          <w:color w:val="000000"/>
          <w:sz w:val="20"/>
          <w:szCs w:val="20"/>
        </w:rPr>
        <w:t>•profit repatriation restrictions, foreign currency exchange restrictions or extreme fluctuations in foreign currency exchange rates for a particular currency;</w:t>
      </w:r>
    </w:p>
    <w:p w14:paraId="22CFA1F2" w14:textId="77777777" w:rsidR="002661BA" w:rsidRDefault="00D972BC">
      <w:pPr>
        <w:ind w:hanging="360"/>
        <w:jc w:val="both"/>
      </w:pPr>
      <w:r>
        <w:rPr>
          <w:rFonts w:ascii="Arial" w:eastAsia="宋体" w:hAnsi="Arial" w:cs="Arial"/>
          <w:color w:val="000000"/>
          <w:sz w:val="20"/>
          <w:szCs w:val="20"/>
        </w:rPr>
        <w:t>•global or regional econom</w:t>
      </w:r>
      <w:r>
        <w:rPr>
          <w:rFonts w:ascii="Arial" w:eastAsia="宋体" w:hAnsi="Arial" w:cs="Arial"/>
          <w:color w:val="000000"/>
          <w:sz w:val="20"/>
          <w:szCs w:val="20"/>
        </w:rPr>
        <w:t>ic conditions that impact companies and customers with which we do business;</w:t>
      </w:r>
    </w:p>
    <w:p w14:paraId="22CFA1F3" w14:textId="77777777" w:rsidR="002661BA" w:rsidRDefault="00D972BC">
      <w:pPr>
        <w:ind w:hanging="360"/>
        <w:jc w:val="both"/>
      </w:pPr>
      <w:r>
        <w:rPr>
          <w:rFonts w:ascii="Arial" w:eastAsia="宋体" w:hAnsi="Arial" w:cs="Arial"/>
          <w:color w:val="000000"/>
          <w:sz w:val="20"/>
          <w:szCs w:val="20"/>
        </w:rPr>
        <w:t>•political or social unrest, economic instability, repression, or human rights issues;</w:t>
      </w:r>
    </w:p>
    <w:p w14:paraId="22CFA1F4" w14:textId="77777777" w:rsidR="002661BA" w:rsidRDefault="00D972BC">
      <w:pPr>
        <w:ind w:hanging="360"/>
        <w:jc w:val="both"/>
      </w:pPr>
      <w:r>
        <w:rPr>
          <w:rFonts w:ascii="Arial" w:eastAsia="宋体" w:hAnsi="Arial" w:cs="Arial"/>
          <w:color w:val="000000"/>
          <w:sz w:val="20"/>
          <w:szCs w:val="20"/>
        </w:rPr>
        <w:t>•geopolitical events, including natural disasters, public health issues (such as the coronav</w:t>
      </w:r>
      <w:r>
        <w:rPr>
          <w:rFonts w:ascii="Arial" w:eastAsia="宋体" w:hAnsi="Arial" w:cs="Arial"/>
          <w:color w:val="000000"/>
          <w:sz w:val="20"/>
          <w:szCs w:val="20"/>
        </w:rPr>
        <w:t>irus), acts of war, and terrorism;</w:t>
      </w:r>
    </w:p>
    <w:p w14:paraId="22CFA1F5" w14:textId="77777777" w:rsidR="002661BA" w:rsidRDefault="00D972BC">
      <w:pPr>
        <w:ind w:hanging="360"/>
        <w:jc w:val="both"/>
      </w:pPr>
      <w:r>
        <w:rPr>
          <w:rFonts w:ascii="Arial" w:eastAsia="宋体" w:hAnsi="Arial" w:cs="Arial"/>
          <w:color w:val="000000"/>
          <w:sz w:val="20"/>
          <w:szCs w:val="20"/>
        </w:rPr>
        <w:t>•supply chain disruptions;</w:t>
      </w:r>
    </w:p>
    <w:p w14:paraId="22CFA1F6" w14:textId="77777777" w:rsidR="002661BA" w:rsidRDefault="00D972BC">
      <w:pPr>
        <w:ind w:hanging="360"/>
        <w:jc w:val="both"/>
      </w:pPr>
      <w:r>
        <w:rPr>
          <w:rFonts w:ascii="Arial" w:eastAsia="宋体" w:hAnsi="Arial" w:cs="Arial"/>
          <w:color w:val="000000"/>
          <w:sz w:val="20"/>
          <w:szCs w:val="20"/>
        </w:rPr>
        <w:t>•import or export regulations;</w:t>
      </w:r>
    </w:p>
    <w:p w14:paraId="22CFA1F7" w14:textId="77777777" w:rsidR="002661BA" w:rsidRDefault="00D972BC">
      <w:pPr>
        <w:ind w:hanging="360"/>
        <w:jc w:val="both"/>
      </w:pPr>
      <w:r>
        <w:rPr>
          <w:rFonts w:ascii="Arial" w:eastAsia="宋体" w:hAnsi="Arial" w:cs="Arial"/>
          <w:color w:val="000000"/>
          <w:sz w:val="20"/>
          <w:szCs w:val="20"/>
        </w:rPr>
        <w:t>•compliance with U.S. laws such as the Foreign Corrupt Practices Act, and foreign laws prohibiting corrupt payments to government officials, as well as U.S. and fo</w:t>
      </w:r>
      <w:r>
        <w:rPr>
          <w:rFonts w:ascii="Arial" w:eastAsia="宋体" w:hAnsi="Arial" w:cs="Arial"/>
          <w:color w:val="000000"/>
          <w:sz w:val="20"/>
          <w:szCs w:val="20"/>
        </w:rPr>
        <w:t>reign laws designed to combat money laundering and the financing of terrorist activities;</w:t>
      </w:r>
    </w:p>
    <w:p w14:paraId="22CFA1F8" w14:textId="77777777" w:rsidR="002661BA" w:rsidRDefault="00D972BC">
      <w:pPr>
        <w:ind w:hanging="360"/>
        <w:jc w:val="both"/>
      </w:pPr>
      <w:r>
        <w:rPr>
          <w:rFonts w:ascii="Arial" w:eastAsia="宋体" w:hAnsi="Arial" w:cs="Arial"/>
          <w:color w:val="000000"/>
          <w:sz w:val="20"/>
          <w:szCs w:val="20"/>
        </w:rPr>
        <w:t>•antitrust and competition regulations;</w:t>
      </w:r>
    </w:p>
    <w:p w14:paraId="22CFA1F9" w14:textId="77777777" w:rsidR="002661BA" w:rsidRDefault="00D972BC">
      <w:pPr>
        <w:ind w:hanging="360"/>
        <w:jc w:val="both"/>
      </w:pPr>
      <w:r>
        <w:rPr>
          <w:rFonts w:ascii="Arial" w:eastAsia="宋体" w:hAnsi="Arial" w:cs="Arial"/>
          <w:color w:val="000000"/>
          <w:sz w:val="20"/>
          <w:szCs w:val="20"/>
        </w:rPr>
        <w:t>•potentially adverse tax developments and consequences;</w:t>
      </w:r>
    </w:p>
    <w:p w14:paraId="22CFA1FA" w14:textId="77777777" w:rsidR="002661BA" w:rsidRDefault="00D972BC">
      <w:pPr>
        <w:ind w:hanging="360"/>
        <w:jc w:val="both"/>
      </w:pPr>
      <w:r>
        <w:rPr>
          <w:rFonts w:ascii="Arial" w:eastAsia="宋体" w:hAnsi="Arial" w:cs="Arial"/>
          <w:color w:val="000000"/>
          <w:sz w:val="20"/>
          <w:szCs w:val="20"/>
        </w:rPr>
        <w:t>•economic uncertainties relating to sovereign and other debt;</w:t>
      </w:r>
    </w:p>
    <w:p w14:paraId="22CFA1FB" w14:textId="77777777" w:rsidR="002661BA" w:rsidRDefault="00D972BC">
      <w:pPr>
        <w:ind w:hanging="360"/>
        <w:jc w:val="both"/>
      </w:pPr>
      <w:r>
        <w:rPr>
          <w:rFonts w:ascii="Arial" w:eastAsia="宋体" w:hAnsi="Arial" w:cs="Arial"/>
          <w:color w:val="000000"/>
          <w:sz w:val="20"/>
          <w:szCs w:val="20"/>
        </w:rPr>
        <w:t>•differe</w:t>
      </w:r>
      <w:r>
        <w:rPr>
          <w:rFonts w:ascii="Arial" w:eastAsia="宋体" w:hAnsi="Arial" w:cs="Arial"/>
          <w:color w:val="000000"/>
          <w:sz w:val="20"/>
          <w:szCs w:val="20"/>
        </w:rPr>
        <w:t xml:space="preserve">nt, uncertain, or more stringent user protection, data protection, privacy, and other laws; </w:t>
      </w:r>
    </w:p>
    <w:p w14:paraId="22CFA1FC" w14:textId="77777777" w:rsidR="002661BA" w:rsidRDefault="00D972BC">
      <w:pPr>
        <w:ind w:hanging="360"/>
        <w:jc w:val="both"/>
      </w:pPr>
      <w:r>
        <w:rPr>
          <w:rFonts w:ascii="Arial" w:eastAsia="宋体" w:hAnsi="Arial" w:cs="Arial"/>
          <w:color w:val="000000"/>
          <w:sz w:val="20"/>
          <w:szCs w:val="20"/>
        </w:rPr>
        <w:t>•risks related to other government regulation or required compliance with local laws;</w:t>
      </w:r>
    </w:p>
    <w:p w14:paraId="22CFA1FD" w14:textId="77777777" w:rsidR="002661BA" w:rsidRDefault="00D972BC">
      <w:pPr>
        <w:ind w:hanging="360"/>
        <w:jc w:val="both"/>
      </w:pPr>
      <w:r>
        <w:rPr>
          <w:rFonts w:ascii="Arial" w:eastAsia="宋体" w:hAnsi="Arial" w:cs="Arial"/>
          <w:color w:val="000000"/>
          <w:sz w:val="20"/>
          <w:szCs w:val="20"/>
        </w:rPr>
        <w:t>•national or regional differences in macroeconomic growth rates;</w:t>
      </w:r>
    </w:p>
    <w:p w14:paraId="22CFA1FE" w14:textId="77777777" w:rsidR="002661BA" w:rsidRDefault="00D972BC">
      <w:pPr>
        <w:ind w:hanging="360"/>
        <w:jc w:val="both"/>
      </w:pPr>
      <w:r>
        <w:rPr>
          <w:rFonts w:ascii="Arial" w:eastAsia="宋体" w:hAnsi="Arial" w:cs="Arial"/>
          <w:color w:val="000000"/>
          <w:sz w:val="20"/>
          <w:szCs w:val="20"/>
        </w:rPr>
        <w:t>•payment intermediation regulations;</w:t>
      </w:r>
    </w:p>
    <w:p w14:paraId="22CFA1FF" w14:textId="77777777" w:rsidR="002661BA" w:rsidRDefault="00D972BC">
      <w:pPr>
        <w:ind w:hanging="360"/>
        <w:jc w:val="both"/>
      </w:pPr>
      <w:r>
        <w:rPr>
          <w:rFonts w:ascii="Arial" w:eastAsia="宋体" w:hAnsi="Arial" w:cs="Arial"/>
          <w:color w:val="000000"/>
          <w:sz w:val="20"/>
          <w:szCs w:val="20"/>
        </w:rPr>
        <w:t>•local licensing and reporting obligations; and</w:t>
      </w:r>
    </w:p>
    <w:p w14:paraId="22CFA200" w14:textId="77777777" w:rsidR="002661BA" w:rsidRDefault="00D972BC">
      <w:pPr>
        <w:ind w:hanging="360"/>
        <w:jc w:val="both"/>
      </w:pPr>
      <w:r>
        <w:rPr>
          <w:rFonts w:ascii="Arial" w:eastAsia="宋体" w:hAnsi="Arial" w:cs="Arial"/>
          <w:color w:val="000000"/>
          <w:sz w:val="20"/>
          <w:szCs w:val="20"/>
        </w:rPr>
        <w:t>•increased difficulties in collecting accounts receivable.</w:t>
      </w:r>
    </w:p>
    <w:p w14:paraId="22CFA201" w14:textId="77777777" w:rsidR="002661BA" w:rsidRDefault="00D972BC">
      <w:pPr>
        <w:jc w:val="both"/>
      </w:pPr>
      <w:r>
        <w:rPr>
          <w:rFonts w:ascii="Arial" w:eastAsia="宋体" w:hAnsi="Arial" w:cs="Arial"/>
          <w:color w:val="000000"/>
          <w:sz w:val="20"/>
          <w:szCs w:val="20"/>
        </w:rPr>
        <w:t> </w:t>
      </w:r>
    </w:p>
    <w:p w14:paraId="22CFA202" w14:textId="77777777" w:rsidR="002661BA" w:rsidRDefault="00D972BC">
      <w:pPr>
        <w:ind w:firstLine="540"/>
        <w:jc w:val="both"/>
      </w:pPr>
      <w:r>
        <w:rPr>
          <w:rFonts w:ascii="Arial" w:eastAsia="宋体" w:hAnsi="Arial" w:cs="Arial"/>
          <w:color w:val="000000"/>
          <w:sz w:val="20"/>
          <w:szCs w:val="20"/>
        </w:rPr>
        <w:t>Violations of the complex foreign and U.S. laws and regulations that apply to our international operations may</w:t>
      </w:r>
      <w:r>
        <w:rPr>
          <w:rFonts w:ascii="Arial" w:eastAsia="宋体" w:hAnsi="Arial" w:cs="Arial"/>
          <w:color w:val="000000"/>
          <w:sz w:val="20"/>
          <w:szCs w:val="20"/>
        </w:rPr>
        <w:t xml:space="preserve"> result in fines, criminal actions, or sanctions against us, our officers, or our employees; prohibitions on the conduct of our business; and damage to our reputation. Although we have implemented policies and procedures designed to </w:t>
      </w:r>
    </w:p>
    <w:p w14:paraId="22CFA203" w14:textId="77777777" w:rsidR="002661BA" w:rsidRDefault="00D972BC">
      <w:pPr>
        <w:jc w:val="center"/>
      </w:pPr>
      <w:r>
        <w:rPr>
          <w:rFonts w:ascii="Arial" w:eastAsia="宋体" w:hAnsi="Arial" w:cs="Arial"/>
          <w:color w:val="000000"/>
          <w:sz w:val="18"/>
          <w:szCs w:val="18"/>
        </w:rPr>
        <w:t>15</w:t>
      </w:r>
    </w:p>
    <w:p w14:paraId="22CFA204" w14:textId="77777777" w:rsidR="002661BA" w:rsidRDefault="00D972BC">
      <w:r>
        <w:pict w14:anchorId="22CFE4BE">
          <v:rect id="_x0000_i1039" style="width:415.3pt;height:1.5pt" o:hralign="center" o:hrstd="t" o:hr="t" fillcolor="#a0a0a0" stroked="f"/>
        </w:pict>
      </w:r>
    </w:p>
    <w:p w14:paraId="22CFA205" w14:textId="77777777" w:rsidR="002661BA" w:rsidRDefault="00D972BC">
      <w:hyperlink r:id="rId41" w:anchor="id0d7a71b05ce452ea9fdb54f3cb359c7_7" w:history="1">
        <w:r>
          <w:rPr>
            <w:rStyle w:val="a5"/>
            <w:rFonts w:ascii="Arial" w:eastAsia="宋体" w:hAnsi="Arial" w:cs="Arial"/>
            <w:sz w:val="18"/>
            <w:szCs w:val="18"/>
          </w:rPr>
          <w:t>Table of Contents</w:t>
        </w:r>
      </w:hyperlink>
    </w:p>
    <w:p w14:paraId="22CFA206" w14:textId="77777777" w:rsidR="002661BA" w:rsidRDefault="00D972BC">
      <w:pPr>
        <w:jc w:val="both"/>
      </w:pPr>
      <w:r>
        <w:rPr>
          <w:rFonts w:ascii="Arial" w:eastAsia="宋体" w:hAnsi="Arial" w:cs="Arial"/>
          <w:color w:val="000000"/>
          <w:sz w:val="20"/>
          <w:szCs w:val="20"/>
        </w:rPr>
        <w:t xml:space="preserve">promote compliance with these laws, there can be no assurance that our employees, contractors, or agents will not violate our policies. These risks inherent in our international operations and expansion increase our costs of doing business internationally </w:t>
      </w:r>
      <w:r>
        <w:rPr>
          <w:rFonts w:ascii="Arial" w:eastAsia="宋体" w:hAnsi="Arial" w:cs="Arial"/>
          <w:color w:val="000000"/>
          <w:sz w:val="20"/>
          <w:szCs w:val="20"/>
        </w:rPr>
        <w:t xml:space="preserve">and could harm our business. </w:t>
      </w:r>
    </w:p>
    <w:p w14:paraId="22CFA207" w14:textId="77777777" w:rsidR="002661BA" w:rsidRDefault="002661BA">
      <w:pPr>
        <w:ind w:firstLine="540"/>
        <w:jc w:val="both"/>
      </w:pPr>
    </w:p>
    <w:p w14:paraId="22CFA208" w14:textId="77777777" w:rsidR="002661BA" w:rsidRDefault="00D972BC">
      <w:pPr>
        <w:ind w:firstLine="540"/>
        <w:jc w:val="both"/>
      </w:pPr>
      <w:r>
        <w:rPr>
          <w:rFonts w:ascii="Arial" w:eastAsia="宋体" w:hAnsi="Arial" w:cs="Arial"/>
          <w:color w:val="000000"/>
          <w:sz w:val="20"/>
          <w:szCs w:val="20"/>
        </w:rPr>
        <w:t>Cross-border trade is an important source of both revenue and profits for us. Cross-border trade also represents our primary (or in some cases, only) presence in certain important markets, such as China, and various other cou</w:t>
      </w:r>
      <w:r>
        <w:rPr>
          <w:rFonts w:ascii="Arial" w:eastAsia="宋体" w:hAnsi="Arial" w:cs="Arial"/>
          <w:color w:val="000000"/>
          <w:sz w:val="20"/>
          <w:szCs w:val="20"/>
        </w:rPr>
        <w:t>ntries. The interpretation and/or application of laws, such as those related to intellectual property rights of authentic products, selective distribution networks, and sellers in other countries listing items on the Internet, could impose restrictions on,</w:t>
      </w:r>
      <w:r>
        <w:rPr>
          <w:rFonts w:ascii="Arial" w:eastAsia="宋体" w:hAnsi="Arial" w:cs="Arial"/>
          <w:color w:val="000000"/>
          <w:sz w:val="20"/>
          <w:szCs w:val="20"/>
        </w:rPr>
        <w:t xml:space="preserve"> or increase the costs of, purchasing, selling, shipping, or returning goods across national borders. The shipping of goods across national borders is often more expensive and complicated than domestic shipping. Any factors that increase the costs of cross</w:t>
      </w:r>
      <w:r>
        <w:rPr>
          <w:rFonts w:ascii="Arial" w:eastAsia="宋体" w:hAnsi="Arial" w:cs="Arial"/>
          <w:color w:val="000000"/>
          <w:sz w:val="20"/>
          <w:szCs w:val="20"/>
        </w:rPr>
        <w:t xml:space="preserve">-border trade or restrict, delay, or make cross-border trade more difficult or impractical would lower our revenues and profits and could harm our business. </w:t>
      </w:r>
    </w:p>
    <w:p w14:paraId="22CFA209" w14:textId="77777777" w:rsidR="002661BA" w:rsidRDefault="002661BA">
      <w:pPr>
        <w:ind w:firstLine="540"/>
        <w:jc w:val="both"/>
      </w:pPr>
    </w:p>
    <w:p w14:paraId="22CFA20A" w14:textId="77777777" w:rsidR="002661BA" w:rsidRDefault="00D972BC">
      <w:pPr>
        <w:ind w:firstLine="540"/>
        <w:jc w:val="both"/>
      </w:pPr>
      <w:r>
        <w:rPr>
          <w:rFonts w:ascii="Arial" w:eastAsia="宋体" w:hAnsi="Arial" w:cs="Arial"/>
          <w:i/>
          <w:iCs/>
          <w:color w:val="000000"/>
          <w:sz w:val="20"/>
          <w:szCs w:val="20"/>
        </w:rPr>
        <w:t>Our business may be adversely affected by geopolitical events, natural disasters, seasonal factor</w:t>
      </w:r>
      <w:r>
        <w:rPr>
          <w:rFonts w:ascii="Arial" w:eastAsia="宋体" w:hAnsi="Arial" w:cs="Arial"/>
          <w:i/>
          <w:iCs/>
          <w:color w:val="000000"/>
          <w:sz w:val="20"/>
          <w:szCs w:val="20"/>
        </w:rPr>
        <w:t>s and other factors that cause our users to spend less time on our websites or mobile platforms and applications, including increased usage of other websites.</w:t>
      </w:r>
    </w:p>
    <w:p w14:paraId="22CFA20B" w14:textId="77777777" w:rsidR="002661BA" w:rsidRDefault="002661BA">
      <w:pPr>
        <w:ind w:firstLine="540"/>
        <w:jc w:val="both"/>
      </w:pPr>
    </w:p>
    <w:p w14:paraId="22CFA20C" w14:textId="77777777" w:rsidR="002661BA" w:rsidRDefault="00D972BC">
      <w:pPr>
        <w:ind w:firstLine="540"/>
        <w:jc w:val="both"/>
      </w:pPr>
      <w:r>
        <w:rPr>
          <w:rFonts w:ascii="Arial" w:eastAsia="宋体" w:hAnsi="Arial" w:cs="Arial"/>
          <w:color w:val="000000"/>
          <w:sz w:val="20"/>
          <w:szCs w:val="20"/>
        </w:rPr>
        <w:t>Our users may spend less time on our websites and our applications for mobile devices as a resul</w:t>
      </w:r>
      <w:r>
        <w:rPr>
          <w:rFonts w:ascii="Arial" w:eastAsia="宋体" w:hAnsi="Arial" w:cs="Arial"/>
          <w:color w:val="000000"/>
          <w:sz w:val="20"/>
          <w:szCs w:val="20"/>
        </w:rPr>
        <w:t>t of a variety of diversions, including: geopolitical events, such as war, the threat of war, or terrorist activity; natural disasters or the effects of climate change (such as drought, flooding, wildfires, increased storm severity and sea level rise); pow</w:t>
      </w:r>
      <w:r>
        <w:rPr>
          <w:rFonts w:ascii="Arial" w:eastAsia="宋体" w:hAnsi="Arial" w:cs="Arial"/>
          <w:color w:val="000000"/>
          <w:sz w:val="20"/>
          <w:szCs w:val="20"/>
        </w:rPr>
        <w:t xml:space="preserve">er shortages or outages, major public health issues, including pandemics (such as COVID-19 variants); social networking or other entertainment websites or mobile applications; significant local, national or global events capturing the attention of a large </w:t>
      </w:r>
      <w:r>
        <w:rPr>
          <w:rFonts w:ascii="Arial" w:eastAsia="宋体" w:hAnsi="Arial" w:cs="Arial"/>
          <w:color w:val="000000"/>
          <w:sz w:val="20"/>
          <w:szCs w:val="20"/>
        </w:rPr>
        <w:t xml:space="preserve">part of the population; and seasonal fluctuations due to a variety of factors. If any of these, or any other factors, divert our users from using our websites or mobile applications, our business could be materially adversely affected. </w:t>
      </w:r>
    </w:p>
    <w:p w14:paraId="22CFA20D" w14:textId="77777777" w:rsidR="002661BA" w:rsidRDefault="002661BA">
      <w:pPr>
        <w:ind w:firstLine="540"/>
        <w:jc w:val="both"/>
      </w:pPr>
    </w:p>
    <w:p w14:paraId="22CFA20E" w14:textId="77777777" w:rsidR="002661BA" w:rsidRDefault="00D972BC">
      <w:pPr>
        <w:ind w:firstLine="540"/>
        <w:jc w:val="both"/>
      </w:pPr>
      <w:r>
        <w:rPr>
          <w:rFonts w:ascii="Arial" w:eastAsia="宋体" w:hAnsi="Arial" w:cs="Arial"/>
          <w:i/>
          <w:iCs/>
          <w:color w:val="000000"/>
          <w:sz w:val="20"/>
          <w:szCs w:val="20"/>
        </w:rPr>
        <w:t xml:space="preserve">If we cannot keep </w:t>
      </w:r>
      <w:r>
        <w:rPr>
          <w:rFonts w:ascii="Arial" w:eastAsia="宋体" w:hAnsi="Arial" w:cs="Arial"/>
          <w:i/>
          <w:iCs/>
          <w:color w:val="000000"/>
          <w:sz w:val="20"/>
          <w:szCs w:val="20"/>
        </w:rPr>
        <w:t>pace with rapid technological developments or continue to innovate and create new initiatives to provide new programs, products and services, the use of our products and our revenues could decline.</w:t>
      </w:r>
    </w:p>
    <w:p w14:paraId="22CFA20F" w14:textId="77777777" w:rsidR="002661BA" w:rsidRDefault="002661BA">
      <w:pPr>
        <w:ind w:firstLine="540"/>
        <w:jc w:val="both"/>
      </w:pPr>
    </w:p>
    <w:p w14:paraId="22CFA210" w14:textId="77777777" w:rsidR="002661BA" w:rsidRDefault="00D972BC">
      <w:pPr>
        <w:ind w:firstLine="540"/>
        <w:jc w:val="both"/>
      </w:pPr>
      <w:r>
        <w:rPr>
          <w:rFonts w:ascii="Arial" w:eastAsia="宋体" w:hAnsi="Arial" w:cs="Arial"/>
          <w:color w:val="000000"/>
          <w:sz w:val="20"/>
          <w:szCs w:val="20"/>
        </w:rPr>
        <w:t>Rapid, significant technological changes continue to conf</w:t>
      </w:r>
      <w:r>
        <w:rPr>
          <w:rFonts w:ascii="Arial" w:eastAsia="宋体" w:hAnsi="Arial" w:cs="Arial"/>
          <w:color w:val="000000"/>
          <w:sz w:val="20"/>
          <w:szCs w:val="20"/>
        </w:rPr>
        <w:t>ront the industries in which we operate and we cannot predict the effect of technological changes on our business. We also continuously strive to create new initiatives and innovations that promote growth, such as our payments and advertising offerings and</w:t>
      </w:r>
      <w:r>
        <w:rPr>
          <w:rFonts w:ascii="Arial" w:eastAsia="宋体" w:hAnsi="Arial" w:cs="Arial"/>
          <w:color w:val="000000"/>
          <w:sz w:val="20"/>
          <w:szCs w:val="20"/>
        </w:rPr>
        <w:t xml:space="preserve"> other features that enhance the customer experience. In addition to our own initiatives and innovations, we rely in part on third parties, including some of our competitors, for the development of and access to new technologies. We expect that new service</w:t>
      </w:r>
      <w:r>
        <w:rPr>
          <w:rFonts w:ascii="Arial" w:eastAsia="宋体" w:hAnsi="Arial" w:cs="Arial"/>
          <w:color w:val="000000"/>
          <w:sz w:val="20"/>
          <w:szCs w:val="20"/>
        </w:rPr>
        <w:t>s and technologies applicable to the industries in which we operate will continue to emerge. These new services and technologies may be superior to, or render obsolete, the technologies we currently use in our products and services. Incorporating new techn</w:t>
      </w:r>
      <w:r>
        <w:rPr>
          <w:rFonts w:ascii="Arial" w:eastAsia="宋体" w:hAnsi="Arial" w:cs="Arial"/>
          <w:color w:val="000000"/>
          <w:sz w:val="20"/>
          <w:szCs w:val="20"/>
        </w:rPr>
        <w:t>ologies into our products and services may require substantial expenditures and take considerable time, and ultimately may not be successful. In addition, our ability to adopt new services and develop new technologies may be inhibited by industry-wide stan</w:t>
      </w:r>
      <w:r>
        <w:rPr>
          <w:rFonts w:ascii="Arial" w:eastAsia="宋体" w:hAnsi="Arial" w:cs="Arial"/>
          <w:color w:val="000000"/>
          <w:sz w:val="20"/>
          <w:szCs w:val="20"/>
        </w:rPr>
        <w:t>dards, new laws and regulations, resistance to change from our users, clients or merchants, or third parties’ intellectual property rights. Our success will depend on our ability to develop new technologies and adapt to technological changes and evolving i</w:t>
      </w:r>
      <w:r>
        <w:rPr>
          <w:rFonts w:ascii="Arial" w:eastAsia="宋体" w:hAnsi="Arial" w:cs="Arial"/>
          <w:color w:val="000000"/>
          <w:sz w:val="20"/>
          <w:szCs w:val="20"/>
        </w:rPr>
        <w:t>ndustry standards.</w:t>
      </w:r>
    </w:p>
    <w:p w14:paraId="22CFA211" w14:textId="77777777" w:rsidR="002661BA" w:rsidRDefault="002661BA">
      <w:pPr>
        <w:ind w:firstLine="540"/>
        <w:jc w:val="both"/>
      </w:pPr>
    </w:p>
    <w:p w14:paraId="22CFA212" w14:textId="77777777" w:rsidR="002661BA" w:rsidRDefault="00D972BC">
      <w:pPr>
        <w:ind w:firstLine="540"/>
        <w:jc w:val="both"/>
      </w:pPr>
      <w:r>
        <w:rPr>
          <w:rFonts w:ascii="Arial" w:eastAsia="宋体" w:hAnsi="Arial" w:cs="Arial"/>
          <w:i/>
          <w:iCs/>
          <w:color w:val="000000"/>
          <w:sz w:val="20"/>
          <w:szCs w:val="20"/>
        </w:rPr>
        <w:t>Changes to our programs to protect buyers and sellers could increase our costs and loss rate, and failure to manage such programs effectively can result in harm to our reputation.</w:t>
      </w:r>
    </w:p>
    <w:p w14:paraId="22CFA213" w14:textId="77777777" w:rsidR="002661BA" w:rsidRDefault="002661BA">
      <w:pPr>
        <w:ind w:firstLine="540"/>
        <w:jc w:val="both"/>
      </w:pPr>
    </w:p>
    <w:p w14:paraId="22CFA214" w14:textId="77777777" w:rsidR="002661BA" w:rsidRDefault="00D972BC">
      <w:pPr>
        <w:ind w:firstLine="540"/>
        <w:jc w:val="both"/>
      </w:pPr>
      <w:r>
        <w:rPr>
          <w:rFonts w:ascii="Arial" w:eastAsia="宋体" w:hAnsi="Arial" w:cs="Arial"/>
          <w:color w:val="000000"/>
          <w:sz w:val="20"/>
          <w:szCs w:val="20"/>
        </w:rPr>
        <w:t>Our eBay Money Back Guarantee program represents the me</w:t>
      </w:r>
      <w:r>
        <w:rPr>
          <w:rFonts w:ascii="Arial" w:eastAsia="宋体" w:hAnsi="Arial" w:cs="Arial"/>
          <w:color w:val="000000"/>
          <w:sz w:val="20"/>
          <w:szCs w:val="20"/>
        </w:rPr>
        <w:t>ans by which we compensate users who believe that they have been defrauded, have not received the item that they purchased or have received an item different from what was described. We expect to continue to receive communications from users requesting rei</w:t>
      </w:r>
      <w:r>
        <w:rPr>
          <w:rFonts w:ascii="Arial" w:eastAsia="宋体" w:hAnsi="Arial" w:cs="Arial"/>
          <w:color w:val="000000"/>
          <w:sz w:val="20"/>
          <w:szCs w:val="20"/>
        </w:rPr>
        <w:t>mbursement or threatening or commencing legal action against us if no reimbursement is made. Our liability for these sorts of claims is beginning to be clarified in some jurisdictions. Litigation involving liability for any such third-party actions could b</w:t>
      </w:r>
      <w:r>
        <w:rPr>
          <w:rFonts w:ascii="Arial" w:eastAsia="宋体" w:hAnsi="Arial" w:cs="Arial"/>
          <w:color w:val="000000"/>
          <w:sz w:val="20"/>
          <w:szCs w:val="20"/>
        </w:rPr>
        <w:t>e costly and time consuming for us, divert management attention, result in increased costs of doing business, lead to adverse judgments or settlements or otherwise harm our business. In addition, affected users will likely complain to regulatory agencies t</w:t>
      </w:r>
      <w:r>
        <w:rPr>
          <w:rFonts w:ascii="Arial" w:eastAsia="宋体" w:hAnsi="Arial" w:cs="Arial"/>
          <w:color w:val="000000"/>
          <w:sz w:val="20"/>
          <w:szCs w:val="20"/>
        </w:rPr>
        <w:t>hat could take action against us, including imposing fines or seeking injunctions.</w:t>
      </w:r>
    </w:p>
    <w:p w14:paraId="22CFA215" w14:textId="77777777" w:rsidR="002661BA" w:rsidRDefault="002661BA">
      <w:pPr>
        <w:ind w:firstLine="540"/>
        <w:jc w:val="both"/>
      </w:pPr>
    </w:p>
    <w:p w14:paraId="22CFA216" w14:textId="77777777" w:rsidR="002661BA" w:rsidRDefault="00D972BC">
      <w:pPr>
        <w:ind w:firstLine="540"/>
        <w:jc w:val="both"/>
      </w:pPr>
      <w:r>
        <w:rPr>
          <w:rFonts w:ascii="Arial" w:eastAsia="宋体" w:hAnsi="Arial" w:cs="Arial"/>
          <w:color w:val="000000"/>
          <w:sz w:val="20"/>
          <w:szCs w:val="20"/>
        </w:rPr>
        <w:t>Additionally, in order to further strengthen our buyers’ confidence and trust in our services and the goods offered on our marketplace, in 2021, we expanded "Authenticity G</w:t>
      </w:r>
      <w:r>
        <w:rPr>
          <w:rFonts w:ascii="Arial" w:eastAsia="宋体" w:hAnsi="Arial" w:cs="Arial"/>
          <w:color w:val="000000"/>
          <w:sz w:val="20"/>
          <w:szCs w:val="20"/>
        </w:rPr>
        <w:t>uarantee," an independent authentication service, to more luxury categories and more markets. If we are unable to effectively manage the authentication process, we may suffer harm to our reputation.</w:t>
      </w:r>
    </w:p>
    <w:p w14:paraId="22CFA217" w14:textId="77777777" w:rsidR="002661BA" w:rsidRDefault="00D972BC">
      <w:pPr>
        <w:jc w:val="center"/>
      </w:pPr>
      <w:r>
        <w:rPr>
          <w:rFonts w:ascii="Arial" w:eastAsia="宋体" w:hAnsi="Arial" w:cs="Arial"/>
          <w:color w:val="000000"/>
          <w:sz w:val="18"/>
          <w:szCs w:val="18"/>
        </w:rPr>
        <w:t>16</w:t>
      </w:r>
    </w:p>
    <w:p w14:paraId="22CFA218" w14:textId="77777777" w:rsidR="002661BA" w:rsidRDefault="00D972BC">
      <w:r>
        <w:pict w14:anchorId="22CFE4BF">
          <v:rect id="_x0000_i1040" style="width:415.3pt;height:1.5pt" o:hralign="center" o:hrstd="t" o:hr="t" fillcolor="#a0a0a0" stroked="f"/>
        </w:pict>
      </w:r>
    </w:p>
    <w:p w14:paraId="22CFA219" w14:textId="77777777" w:rsidR="002661BA" w:rsidRDefault="00D972BC">
      <w:hyperlink r:id="rId42" w:anchor="id0d7a71b05ce452ea9fdb54f3cb359c7_7" w:history="1">
        <w:r>
          <w:rPr>
            <w:rStyle w:val="a5"/>
            <w:rFonts w:ascii="Arial" w:eastAsia="宋体" w:hAnsi="Arial" w:cs="Arial"/>
            <w:sz w:val="18"/>
            <w:szCs w:val="18"/>
          </w:rPr>
          <w:t>Table of Contents</w:t>
        </w:r>
      </w:hyperlink>
    </w:p>
    <w:p w14:paraId="22CFA21A" w14:textId="77777777" w:rsidR="002661BA" w:rsidRDefault="002661BA">
      <w:pPr>
        <w:ind w:firstLine="540"/>
        <w:jc w:val="both"/>
      </w:pPr>
    </w:p>
    <w:p w14:paraId="22CFA21B" w14:textId="77777777" w:rsidR="002661BA" w:rsidRDefault="00D972BC">
      <w:pPr>
        <w:ind w:firstLine="540"/>
        <w:jc w:val="both"/>
      </w:pPr>
      <w:r>
        <w:rPr>
          <w:rFonts w:ascii="Arial" w:eastAsia="宋体" w:hAnsi="Arial" w:cs="Arial"/>
          <w:i/>
          <w:iCs/>
          <w:color w:val="000000"/>
          <w:sz w:val="20"/>
          <w:szCs w:val="20"/>
        </w:rPr>
        <w:t>Development of our payments system requires ongoing investment, is subject to evolvi</w:t>
      </w:r>
      <w:r>
        <w:rPr>
          <w:rFonts w:ascii="Arial" w:eastAsia="宋体" w:hAnsi="Arial" w:cs="Arial"/>
          <w:i/>
          <w:iCs/>
          <w:color w:val="000000"/>
          <w:sz w:val="20"/>
          <w:szCs w:val="20"/>
        </w:rPr>
        <w:t>ng laws, regulations, rules, and standards, and involves risk, including risks related to our dependence on third-party providers.</w:t>
      </w:r>
    </w:p>
    <w:p w14:paraId="22CFA21C" w14:textId="77777777" w:rsidR="002661BA" w:rsidRDefault="002661BA">
      <w:pPr>
        <w:ind w:firstLine="540"/>
        <w:jc w:val="both"/>
      </w:pPr>
    </w:p>
    <w:p w14:paraId="22CFA21D" w14:textId="77777777" w:rsidR="002661BA" w:rsidRDefault="00D972BC">
      <w:pPr>
        <w:ind w:firstLine="540"/>
        <w:jc w:val="both"/>
      </w:pPr>
      <w:r>
        <w:rPr>
          <w:rFonts w:ascii="Arial" w:eastAsia="宋体" w:hAnsi="Arial" w:cs="Arial"/>
          <w:color w:val="000000"/>
          <w:sz w:val="20"/>
          <w:szCs w:val="20"/>
        </w:rPr>
        <w:t>We have invested and plan to continue to invest internal resources into our payments tools in order to maintain existing ava</w:t>
      </w:r>
      <w:r>
        <w:rPr>
          <w:rFonts w:ascii="Arial" w:eastAsia="宋体" w:hAnsi="Arial" w:cs="Arial"/>
          <w:color w:val="000000"/>
          <w:sz w:val="20"/>
          <w:szCs w:val="20"/>
        </w:rPr>
        <w:t>ilability, expand into additional markets and offer new payment methods and other types of financial services to our buyers and sellers. If we fail to invest adequate resources into payments on our platform, or if our investment efforts are unsuccessful, u</w:t>
      </w:r>
      <w:r>
        <w:rPr>
          <w:rFonts w:ascii="Arial" w:eastAsia="宋体" w:hAnsi="Arial" w:cs="Arial"/>
          <w:color w:val="000000"/>
          <w:sz w:val="20"/>
          <w:szCs w:val="20"/>
        </w:rPr>
        <w:t xml:space="preserve">nreliable or result in system failure, our payments and financial services may not function properly or keep pace with competitive offerings, which could negatively impact their usage and our Marketplace. Future errors, failures or outages could cause our </w:t>
      </w:r>
      <w:r>
        <w:rPr>
          <w:rFonts w:ascii="Arial" w:eastAsia="宋体" w:hAnsi="Arial" w:cs="Arial"/>
          <w:color w:val="000000"/>
          <w:sz w:val="20"/>
          <w:szCs w:val="20"/>
        </w:rPr>
        <w:t>buyers and sellers to lose confidence in our payments system and could cause them to cease using our marketplace.</w:t>
      </w:r>
    </w:p>
    <w:p w14:paraId="22CFA21E" w14:textId="77777777" w:rsidR="002661BA" w:rsidRDefault="002661BA">
      <w:pPr>
        <w:ind w:firstLine="540"/>
        <w:jc w:val="both"/>
      </w:pPr>
    </w:p>
    <w:p w14:paraId="22CFA21F" w14:textId="77777777" w:rsidR="002661BA" w:rsidRDefault="00D972BC">
      <w:pPr>
        <w:ind w:firstLine="540"/>
        <w:jc w:val="both"/>
      </w:pPr>
      <w:r>
        <w:rPr>
          <w:rFonts w:ascii="Arial" w:eastAsia="宋体" w:hAnsi="Arial" w:cs="Arial"/>
          <w:color w:val="000000"/>
          <w:sz w:val="20"/>
          <w:szCs w:val="20"/>
        </w:rPr>
        <w:t>If we transition to new third-party payment service providers for any reason, we may be required to invest significant financial and personne</w:t>
      </w:r>
      <w:r>
        <w:rPr>
          <w:rFonts w:ascii="Arial" w:eastAsia="宋体" w:hAnsi="Arial" w:cs="Arial"/>
          <w:color w:val="000000"/>
          <w:sz w:val="20"/>
          <w:szCs w:val="20"/>
        </w:rPr>
        <w:t>l resources to support such transition or could be unable to find a suitable replacement service provider. As we offer new payment methods and financial services to our sellers and buyers, we are now subject to additional regulations and compliance require</w:t>
      </w:r>
      <w:r>
        <w:rPr>
          <w:rFonts w:ascii="Arial" w:eastAsia="宋体" w:hAnsi="Arial" w:cs="Arial"/>
          <w:color w:val="000000"/>
          <w:sz w:val="20"/>
          <w:szCs w:val="20"/>
        </w:rPr>
        <w:t>ments, and exposed to heightened fraud and regulatory risk, which could lead to an increase in our operating expenses</w:t>
      </w:r>
      <w:r>
        <w:rPr>
          <w:rFonts w:ascii="Times New Roman" w:eastAsia="宋体" w:hAnsi="Times New Roman"/>
          <w:color w:val="000000"/>
          <w:sz w:val="20"/>
          <w:szCs w:val="20"/>
        </w:rPr>
        <w:t>.</w:t>
      </w:r>
    </w:p>
    <w:p w14:paraId="22CFA220" w14:textId="77777777" w:rsidR="002661BA" w:rsidRDefault="002661BA">
      <w:pPr>
        <w:ind w:firstLine="540"/>
        <w:jc w:val="both"/>
      </w:pPr>
    </w:p>
    <w:p w14:paraId="22CFA221" w14:textId="77777777" w:rsidR="002661BA" w:rsidRDefault="00D972BC">
      <w:pPr>
        <w:ind w:firstLine="540"/>
        <w:jc w:val="both"/>
      </w:pPr>
      <w:r>
        <w:rPr>
          <w:rFonts w:ascii="Arial" w:eastAsia="宋体" w:hAnsi="Arial" w:cs="Arial"/>
          <w:color w:val="000000"/>
          <w:sz w:val="20"/>
          <w:szCs w:val="20"/>
        </w:rPr>
        <w:t>We rely on third-party service providers to perform services related to compliance among other activities, credit card processing, payme</w:t>
      </w:r>
      <w:r>
        <w:rPr>
          <w:rFonts w:ascii="Arial" w:eastAsia="宋体" w:hAnsi="Arial" w:cs="Arial"/>
          <w:color w:val="000000"/>
          <w:sz w:val="20"/>
          <w:szCs w:val="20"/>
        </w:rPr>
        <w:t xml:space="preserve">nt disbursements, currency exchange, identity verification, sanctions screening, and fraud analysis and detection. As a result, we are subject to a number of risks related to our dependence on third-party service providers. If any or some of these service </w:t>
      </w:r>
      <w:r>
        <w:rPr>
          <w:rFonts w:ascii="Arial" w:eastAsia="宋体" w:hAnsi="Arial" w:cs="Arial"/>
          <w:color w:val="000000"/>
          <w:sz w:val="20"/>
          <w:szCs w:val="20"/>
        </w:rPr>
        <w:t>providers fail to perform adequately or if any such service provider were to terminate or modify its relationship with us unexpectedly, our sellers’ ability to use our platform to receive orders or payments could be adversely affected, which would increase</w:t>
      </w:r>
      <w:r>
        <w:rPr>
          <w:rFonts w:ascii="Arial" w:eastAsia="宋体" w:hAnsi="Arial" w:cs="Arial"/>
          <w:color w:val="000000"/>
          <w:sz w:val="20"/>
          <w:szCs w:val="20"/>
        </w:rPr>
        <w:t xml:space="preserve"> costs, drive sellers away from our marketplaces, result in potential legal liability, and harm our business. In addition, we and our third-party service providers may experience service outages from time to time that could adversely impact payments made o</w:t>
      </w:r>
      <w:r>
        <w:rPr>
          <w:rFonts w:ascii="Arial" w:eastAsia="宋体" w:hAnsi="Arial" w:cs="Arial"/>
          <w:color w:val="000000"/>
          <w:sz w:val="20"/>
          <w:szCs w:val="20"/>
        </w:rPr>
        <w:t>n our platform. Additionally, any unexpected termination or modification of those third-party services could lead to a lapse in the effectiveness of certain fraud prevention and detection tools.</w:t>
      </w:r>
    </w:p>
    <w:p w14:paraId="22CFA222" w14:textId="77777777" w:rsidR="002661BA" w:rsidRDefault="002661BA">
      <w:pPr>
        <w:ind w:firstLine="540"/>
      </w:pPr>
    </w:p>
    <w:p w14:paraId="22CFA223" w14:textId="77777777" w:rsidR="002661BA" w:rsidRDefault="00D972BC">
      <w:pPr>
        <w:ind w:firstLine="540"/>
        <w:jc w:val="both"/>
      </w:pPr>
      <w:r>
        <w:rPr>
          <w:rFonts w:ascii="Arial" w:eastAsia="宋体" w:hAnsi="Arial" w:cs="Arial"/>
          <w:color w:val="000000"/>
          <w:sz w:val="20"/>
          <w:szCs w:val="20"/>
        </w:rPr>
        <w:t xml:space="preserve">Our third-party service providers may increase the fees </w:t>
      </w:r>
      <w:r>
        <w:rPr>
          <w:rFonts w:ascii="Arial" w:eastAsia="宋体" w:hAnsi="Arial" w:cs="Arial"/>
          <w:color w:val="000000"/>
          <w:sz w:val="20"/>
          <w:szCs w:val="20"/>
        </w:rPr>
        <w:t>they charge us in the future, which would increase our operating expenses. This could, in turn, require us to increase the fees we charge to sellers and cause some sellers to reduce listings on our marketplaces or to leave our platform altogether by closin</w:t>
      </w:r>
      <w:r>
        <w:rPr>
          <w:rFonts w:ascii="Arial" w:eastAsia="宋体" w:hAnsi="Arial" w:cs="Arial"/>
          <w:color w:val="000000"/>
          <w:sz w:val="20"/>
          <w:szCs w:val="20"/>
        </w:rPr>
        <w:t>g their accounts.</w:t>
      </w:r>
    </w:p>
    <w:p w14:paraId="22CFA224" w14:textId="77777777" w:rsidR="002661BA" w:rsidRDefault="002661BA">
      <w:pPr>
        <w:ind w:firstLine="540"/>
        <w:jc w:val="both"/>
      </w:pPr>
    </w:p>
    <w:p w14:paraId="22CFA225" w14:textId="77777777" w:rsidR="002661BA" w:rsidRDefault="00D972BC">
      <w:pPr>
        <w:ind w:firstLine="540"/>
        <w:jc w:val="both"/>
      </w:pPr>
      <w:r>
        <w:rPr>
          <w:rFonts w:ascii="Arial" w:eastAsia="宋体" w:hAnsi="Arial" w:cs="Arial"/>
          <w:color w:val="000000"/>
          <w:sz w:val="20"/>
          <w:szCs w:val="20"/>
        </w:rPr>
        <w:t>Payments and other financial services are governed by complex and continuously evolving laws and regulations that are subject to change and vary across different jurisdictions in the United States and globally. As a result, we are requir</w:t>
      </w:r>
      <w:r>
        <w:rPr>
          <w:rFonts w:ascii="Arial" w:eastAsia="宋体" w:hAnsi="Arial" w:cs="Arial"/>
          <w:color w:val="000000"/>
          <w:sz w:val="20"/>
          <w:szCs w:val="20"/>
        </w:rPr>
        <w:t>ed to spend significant time and effort to determine whether various licensing and registration laws relating to payments and other financial services we offer apply to us and to comply with applicable laws and licensing and registration regulations. In ad</w:t>
      </w:r>
      <w:r>
        <w:rPr>
          <w:rFonts w:ascii="Arial" w:eastAsia="宋体" w:hAnsi="Arial" w:cs="Arial"/>
          <w:color w:val="000000"/>
          <w:sz w:val="20"/>
          <w:szCs w:val="20"/>
        </w:rPr>
        <w:t>dition, there can be no assurance that we will be able to obtain or retain any necessary licenses or registrations. Any failure or claim of failure on the part of the Company or its third-party service providers to comply with applicable laws and regulatio</w:t>
      </w:r>
      <w:r>
        <w:rPr>
          <w:rFonts w:ascii="Arial" w:eastAsia="宋体" w:hAnsi="Arial" w:cs="Arial"/>
          <w:color w:val="000000"/>
          <w:sz w:val="20"/>
          <w:szCs w:val="20"/>
        </w:rPr>
        <w:t>ns relating to payments or financial services could require us to expend significant resources, result in liabilities, limit or preclude our ability to enter certain markets and harm our reputation. In addition, changes in payment regulations, or other fin</w:t>
      </w:r>
      <w:r>
        <w:rPr>
          <w:rFonts w:ascii="Arial" w:eastAsia="宋体" w:hAnsi="Arial" w:cs="Arial"/>
          <w:color w:val="000000"/>
          <w:sz w:val="20"/>
          <w:szCs w:val="20"/>
        </w:rPr>
        <w:t>ancial regulation, including changes to the credit or debit card interchange rates in the United States or other markets, could adversely affect payments on our platform and make our payments systems less profitable</w:t>
      </w:r>
      <w:r>
        <w:rPr>
          <w:rFonts w:ascii="Times New Roman" w:eastAsia="宋体" w:hAnsi="Times New Roman"/>
          <w:color w:val="000000"/>
          <w:sz w:val="20"/>
          <w:szCs w:val="20"/>
        </w:rPr>
        <w:t>.</w:t>
      </w:r>
    </w:p>
    <w:p w14:paraId="22CFA226" w14:textId="77777777" w:rsidR="002661BA" w:rsidRDefault="002661BA">
      <w:pPr>
        <w:ind w:firstLine="540"/>
        <w:jc w:val="both"/>
      </w:pPr>
    </w:p>
    <w:p w14:paraId="22CFA227" w14:textId="77777777" w:rsidR="002661BA" w:rsidRDefault="00D972BC">
      <w:pPr>
        <w:ind w:firstLine="540"/>
        <w:jc w:val="both"/>
      </w:pPr>
      <w:r>
        <w:rPr>
          <w:rFonts w:ascii="Arial" w:eastAsia="宋体" w:hAnsi="Arial" w:cs="Arial"/>
          <w:color w:val="000000"/>
          <w:sz w:val="20"/>
          <w:szCs w:val="20"/>
        </w:rPr>
        <w:t xml:space="preserve">Further, we are indirectly subject to </w:t>
      </w:r>
      <w:r>
        <w:rPr>
          <w:rFonts w:ascii="Arial" w:eastAsia="宋体" w:hAnsi="Arial" w:cs="Arial"/>
          <w:color w:val="000000"/>
          <w:sz w:val="20"/>
          <w:szCs w:val="20"/>
        </w:rPr>
        <w:t xml:space="preserve">payment card association operating rules and certification requirements pursuant to agreements with our third-party payment processors. These rules and requirements, including the Payment Card Industry Data Security Standard and rules governing electronic </w:t>
      </w:r>
      <w:r>
        <w:rPr>
          <w:rFonts w:ascii="Arial" w:eastAsia="宋体" w:hAnsi="Arial" w:cs="Arial"/>
          <w:color w:val="000000"/>
          <w:sz w:val="20"/>
          <w:szCs w:val="20"/>
        </w:rPr>
        <w:t xml:space="preserve">funds transfers, are subject to change or reinterpretation, making it difficult for us to comply. Any failure to comply with these rules and certification requirements could impact our ability to meet our contractual obligations to our third-party payment </w:t>
      </w:r>
      <w:r>
        <w:rPr>
          <w:rFonts w:ascii="Arial" w:eastAsia="宋体" w:hAnsi="Arial" w:cs="Arial"/>
          <w:color w:val="000000"/>
          <w:sz w:val="20"/>
          <w:szCs w:val="20"/>
        </w:rPr>
        <w:t>processors and could result in potential fines. In addition, changes in these rules and requirements, including any change in our designation by major payment card providers, could require a change in our business operations and could result in limitations</w:t>
      </w:r>
      <w:r>
        <w:rPr>
          <w:rFonts w:ascii="Arial" w:eastAsia="宋体" w:hAnsi="Arial" w:cs="Arial"/>
          <w:color w:val="000000"/>
          <w:sz w:val="20"/>
          <w:szCs w:val="20"/>
        </w:rPr>
        <w:t xml:space="preserve"> on or loss of our ability to accept payment cards or other forms of payment, any of which could negatively impact our business. Such changes could also increase our costs of compliance, which could lead to increased fees for us or our sellers and adversel</w:t>
      </w:r>
      <w:r>
        <w:rPr>
          <w:rFonts w:ascii="Arial" w:eastAsia="宋体" w:hAnsi="Arial" w:cs="Arial"/>
          <w:color w:val="000000"/>
          <w:sz w:val="20"/>
          <w:szCs w:val="20"/>
        </w:rPr>
        <w:t>y affect payments on our platform or usage of our payments services and Marketplace.</w:t>
      </w:r>
    </w:p>
    <w:p w14:paraId="22CFA228" w14:textId="77777777" w:rsidR="002661BA" w:rsidRDefault="002661BA">
      <w:pPr>
        <w:ind w:firstLine="540"/>
        <w:jc w:val="both"/>
      </w:pPr>
    </w:p>
    <w:p w14:paraId="22CFA229" w14:textId="77777777" w:rsidR="002661BA" w:rsidRDefault="00D972BC">
      <w:pPr>
        <w:jc w:val="center"/>
      </w:pPr>
      <w:r>
        <w:rPr>
          <w:rFonts w:ascii="Arial" w:eastAsia="宋体" w:hAnsi="Arial" w:cs="Arial"/>
          <w:color w:val="000000"/>
          <w:sz w:val="18"/>
          <w:szCs w:val="18"/>
        </w:rPr>
        <w:t>17</w:t>
      </w:r>
    </w:p>
    <w:p w14:paraId="22CFA22A" w14:textId="77777777" w:rsidR="002661BA" w:rsidRDefault="00D972BC">
      <w:r>
        <w:pict w14:anchorId="22CFE4C0">
          <v:rect id="_x0000_i1041" style="width:415.3pt;height:1.5pt" o:hralign="center" o:hrstd="t" o:hr="t" fillcolor="#a0a0a0" stroked="f"/>
        </w:pict>
      </w:r>
    </w:p>
    <w:p w14:paraId="22CFA22B" w14:textId="77777777" w:rsidR="002661BA" w:rsidRDefault="00D972BC">
      <w:hyperlink r:id="rId43" w:anchor="id0d7a71b05ce452ea9fdb54f3cb359c7_7" w:history="1">
        <w:r>
          <w:rPr>
            <w:rStyle w:val="a5"/>
            <w:rFonts w:ascii="Arial" w:eastAsia="宋体" w:hAnsi="Arial" w:cs="Arial"/>
            <w:sz w:val="18"/>
            <w:szCs w:val="18"/>
          </w:rPr>
          <w:t>Table of Conten</w:t>
        </w:r>
        <w:r>
          <w:rPr>
            <w:rStyle w:val="a5"/>
            <w:rFonts w:ascii="Arial" w:eastAsia="宋体" w:hAnsi="Arial" w:cs="Arial"/>
            <w:sz w:val="18"/>
            <w:szCs w:val="18"/>
          </w:rPr>
          <w:t>ts</w:t>
        </w:r>
      </w:hyperlink>
    </w:p>
    <w:p w14:paraId="22CFA22C" w14:textId="77777777" w:rsidR="002661BA" w:rsidRDefault="00D972BC">
      <w:pPr>
        <w:ind w:firstLine="540"/>
        <w:jc w:val="both"/>
      </w:pPr>
      <w:r>
        <w:rPr>
          <w:rFonts w:ascii="Arial" w:eastAsia="宋体" w:hAnsi="Arial" w:cs="Arial"/>
          <w:color w:val="000000"/>
          <w:sz w:val="20"/>
          <w:szCs w:val="20"/>
        </w:rPr>
        <w:t xml:space="preserve">Our payments system is susceptible to illegal uses, including money laundering, terrorist financing, fraud and payments to sanctioned parties. If our compliance program and internal controls to limit such illegal activity are ineffective, government </w:t>
      </w:r>
      <w:r>
        <w:rPr>
          <w:rFonts w:ascii="Arial" w:eastAsia="宋体" w:hAnsi="Arial" w:cs="Arial"/>
          <w:color w:val="000000"/>
          <w:sz w:val="20"/>
          <w:szCs w:val="20"/>
        </w:rPr>
        <w:t>authorities could bring legal action against us or otherwise suspend our ability to offer payment services in one or more markets.</w:t>
      </w:r>
    </w:p>
    <w:p w14:paraId="22CFA22D" w14:textId="77777777" w:rsidR="002661BA" w:rsidRDefault="002661BA">
      <w:pPr>
        <w:ind w:firstLine="540"/>
        <w:jc w:val="both"/>
      </w:pPr>
    </w:p>
    <w:p w14:paraId="22CFA22E" w14:textId="77777777" w:rsidR="002661BA" w:rsidRDefault="00D972BC">
      <w:pPr>
        <w:ind w:firstLine="540"/>
        <w:jc w:val="both"/>
      </w:pPr>
      <w:r>
        <w:rPr>
          <w:rFonts w:ascii="Arial" w:eastAsia="宋体" w:hAnsi="Arial" w:cs="Arial"/>
          <w:i/>
          <w:iCs/>
          <w:color w:val="000000"/>
          <w:sz w:val="20"/>
          <w:szCs w:val="20"/>
        </w:rPr>
        <w:t>We may be unable to adequately protect or enforce our intellectual property rights and face ongoing allegations by third par</w:t>
      </w:r>
      <w:r>
        <w:rPr>
          <w:rFonts w:ascii="Arial" w:eastAsia="宋体" w:hAnsi="Arial" w:cs="Arial"/>
          <w:i/>
          <w:iCs/>
          <w:color w:val="000000"/>
          <w:sz w:val="20"/>
          <w:szCs w:val="20"/>
        </w:rPr>
        <w:t xml:space="preserve">ties that we are infringing their intellectual property rights. </w:t>
      </w:r>
    </w:p>
    <w:p w14:paraId="22CFA22F" w14:textId="77777777" w:rsidR="002661BA" w:rsidRDefault="002661BA">
      <w:pPr>
        <w:ind w:firstLine="540"/>
        <w:jc w:val="both"/>
      </w:pPr>
    </w:p>
    <w:p w14:paraId="22CFA230" w14:textId="77777777" w:rsidR="002661BA" w:rsidRDefault="00D972BC">
      <w:pPr>
        <w:ind w:firstLine="540"/>
        <w:jc w:val="both"/>
      </w:pPr>
      <w:r>
        <w:rPr>
          <w:rFonts w:ascii="Arial" w:eastAsia="宋体" w:hAnsi="Arial" w:cs="Arial"/>
          <w:color w:val="000000"/>
          <w:sz w:val="20"/>
          <w:szCs w:val="20"/>
        </w:rPr>
        <w:t>We believe the protection of our intellectual property, including our trademarks, patents, copyrights, domain names, trade dress, and trade secrets, is critical to our success. We seek to pr</w:t>
      </w:r>
      <w:r>
        <w:rPr>
          <w:rFonts w:ascii="Arial" w:eastAsia="宋体" w:hAnsi="Arial" w:cs="Arial"/>
          <w:color w:val="000000"/>
          <w:sz w:val="20"/>
          <w:szCs w:val="20"/>
        </w:rPr>
        <w:t>otect our intellectual property rights by relying on applicable laws and regulations in the United States and internationally, as well as a variety of administrative procedures. We also rely on contractual restrictions to protect our proprietary rights whe</w:t>
      </w:r>
      <w:r>
        <w:rPr>
          <w:rFonts w:ascii="Arial" w:eastAsia="宋体" w:hAnsi="Arial" w:cs="Arial"/>
          <w:color w:val="000000"/>
          <w:sz w:val="20"/>
          <w:szCs w:val="20"/>
        </w:rPr>
        <w:t>n offering or procuring products and services, including confidentiality and invention assignment agreements entered into with our employees and contractors and confidentiality agreements with parties with whom we conduct business.</w:t>
      </w:r>
    </w:p>
    <w:p w14:paraId="22CFA231" w14:textId="77777777" w:rsidR="002661BA" w:rsidRDefault="002661BA">
      <w:pPr>
        <w:ind w:firstLine="540"/>
        <w:jc w:val="both"/>
      </w:pPr>
    </w:p>
    <w:p w14:paraId="22CFA232" w14:textId="77777777" w:rsidR="002661BA" w:rsidRDefault="00D972BC">
      <w:pPr>
        <w:ind w:firstLine="540"/>
        <w:jc w:val="both"/>
      </w:pPr>
      <w:r>
        <w:rPr>
          <w:rFonts w:ascii="Arial" w:eastAsia="宋体" w:hAnsi="Arial" w:cs="Arial"/>
          <w:color w:val="000000"/>
          <w:sz w:val="20"/>
          <w:szCs w:val="20"/>
        </w:rPr>
        <w:t xml:space="preserve">However, </w:t>
      </w:r>
      <w:r>
        <w:rPr>
          <w:rFonts w:ascii="Arial" w:eastAsia="宋体" w:hAnsi="Arial" w:cs="Arial"/>
          <w:color w:val="000000"/>
          <w:sz w:val="20"/>
          <w:szCs w:val="20"/>
        </w:rPr>
        <w:t>effective intellectual property protection may not be available in every country in which our products and services are made available, and contractual arrangements and other steps we have taken to protect our intellectual property may not prevent third pa</w:t>
      </w:r>
      <w:r>
        <w:rPr>
          <w:rFonts w:ascii="Arial" w:eastAsia="宋体" w:hAnsi="Arial" w:cs="Arial"/>
          <w:color w:val="000000"/>
          <w:sz w:val="20"/>
          <w:szCs w:val="20"/>
        </w:rPr>
        <w:t>rties from infringing or misappropriating our intellectual property or deter independent development of equivalent or superior intellectual property rights by others. Trademark, copyright, patent, domain name, trade dress and trade secret protection is ver</w:t>
      </w:r>
      <w:r>
        <w:rPr>
          <w:rFonts w:ascii="Arial" w:eastAsia="宋体" w:hAnsi="Arial" w:cs="Arial"/>
          <w:color w:val="000000"/>
          <w:sz w:val="20"/>
          <w:szCs w:val="20"/>
        </w:rPr>
        <w:t>y expensive to maintain and may require litigation. We must protect our intellectual property rights and other proprietary rights in an increasing number of jurisdictions, a process that is expensive and time consuming and may not be successful in every ju</w:t>
      </w:r>
      <w:r>
        <w:rPr>
          <w:rFonts w:ascii="Arial" w:eastAsia="宋体" w:hAnsi="Arial" w:cs="Arial"/>
          <w:color w:val="000000"/>
          <w:sz w:val="20"/>
          <w:szCs w:val="20"/>
        </w:rPr>
        <w:t>risdiction. Also, we may not be able to discover or determine the extent of any unauthorized use of our proprietary rights. We have licensed in the past, and expect to license in the future, certain of our proprietary rights, such as trademarks or copyrigh</w:t>
      </w:r>
      <w:r>
        <w:rPr>
          <w:rFonts w:ascii="Arial" w:eastAsia="宋体" w:hAnsi="Arial" w:cs="Arial"/>
          <w:color w:val="000000"/>
          <w:sz w:val="20"/>
          <w:szCs w:val="20"/>
        </w:rPr>
        <w:t>ted material, to others. These licensees may take actions that diminish the value of our proprietary rights or harm our reputation. Any failure to adequately protect or enforce our intellectual property rights, or significant costs incurred in doing so, co</w:t>
      </w:r>
      <w:r>
        <w:rPr>
          <w:rFonts w:ascii="Arial" w:eastAsia="宋体" w:hAnsi="Arial" w:cs="Arial"/>
          <w:color w:val="000000"/>
          <w:sz w:val="20"/>
          <w:szCs w:val="20"/>
        </w:rPr>
        <w:t>uld materially harm our business.</w:t>
      </w:r>
    </w:p>
    <w:p w14:paraId="22CFA233" w14:textId="77777777" w:rsidR="002661BA" w:rsidRDefault="002661BA">
      <w:pPr>
        <w:ind w:firstLine="540"/>
        <w:jc w:val="both"/>
      </w:pPr>
    </w:p>
    <w:p w14:paraId="22CFA234" w14:textId="77777777" w:rsidR="002661BA" w:rsidRDefault="00D972BC">
      <w:pPr>
        <w:ind w:firstLine="540"/>
        <w:jc w:val="both"/>
      </w:pPr>
      <w:r>
        <w:rPr>
          <w:rFonts w:ascii="Arial" w:eastAsia="宋体" w:hAnsi="Arial" w:cs="Arial"/>
          <w:color w:val="000000"/>
          <w:sz w:val="20"/>
          <w:szCs w:val="20"/>
        </w:rPr>
        <w:t xml:space="preserve">Additionally, we have repeatedly been sued for allegedly infringing other parties’ patents. We are a defendant in various patent suits and have been notified of several other potential patent disputes. </w:t>
      </w:r>
    </w:p>
    <w:p w14:paraId="22CFA235" w14:textId="77777777" w:rsidR="002661BA" w:rsidRDefault="002661BA">
      <w:pPr>
        <w:ind w:firstLine="540"/>
        <w:jc w:val="both"/>
      </w:pPr>
    </w:p>
    <w:p w14:paraId="22CFA236" w14:textId="77777777" w:rsidR="002661BA" w:rsidRDefault="00D972BC">
      <w:pPr>
        <w:ind w:firstLine="540"/>
        <w:jc w:val="both"/>
      </w:pPr>
      <w:r>
        <w:rPr>
          <w:rFonts w:ascii="Arial" w:eastAsia="宋体" w:hAnsi="Arial" w:cs="Arial"/>
          <w:color w:val="000000"/>
          <w:sz w:val="20"/>
          <w:szCs w:val="20"/>
        </w:rPr>
        <w:t xml:space="preserve">As the number of </w:t>
      </w:r>
      <w:r>
        <w:rPr>
          <w:rFonts w:ascii="Arial" w:eastAsia="宋体" w:hAnsi="Arial" w:cs="Arial"/>
          <w:color w:val="000000"/>
          <w:sz w:val="20"/>
          <w:szCs w:val="20"/>
        </w:rPr>
        <w:t>patent owners and products in the software industry increases and the functionality of these products further overlap, and as we acquire technology through acquisitions or licenses, litigation may be necessary to determine the validity and scope of the int</w:t>
      </w:r>
      <w:r>
        <w:rPr>
          <w:rFonts w:ascii="Arial" w:eastAsia="宋体" w:hAnsi="Arial" w:cs="Arial"/>
          <w:color w:val="000000"/>
          <w:sz w:val="20"/>
          <w:szCs w:val="20"/>
        </w:rPr>
        <w:t>ellectual property rights of others and we may become increasingly subject to patent suits and other infringement claims, including copyright, and trademark infringement claims. Such claims may be brought directly against us and/or against our customers wh</w:t>
      </w:r>
      <w:r>
        <w:rPr>
          <w:rFonts w:ascii="Arial" w:eastAsia="宋体" w:hAnsi="Arial" w:cs="Arial"/>
          <w:color w:val="000000"/>
          <w:sz w:val="20"/>
          <w:szCs w:val="20"/>
        </w:rPr>
        <w:t>om we may indemnify either because we are contractually obligated to do so or we choose to do so as a business matter. Patent claims, whether meritorious or not, are time-consuming and costly to defend and resolve, and could require us to make expensive ch</w:t>
      </w:r>
      <w:r>
        <w:rPr>
          <w:rFonts w:ascii="Arial" w:eastAsia="宋体" w:hAnsi="Arial" w:cs="Arial"/>
          <w:color w:val="000000"/>
          <w:sz w:val="20"/>
          <w:szCs w:val="20"/>
        </w:rPr>
        <w:t>anges in our methods of doing business, enter into costly royalty or licensing agreements, make substantial payments to satisfy adverse judgments or settle claims or proceedings, or cease conducting certain operations, which would harm our business.</w:t>
      </w:r>
    </w:p>
    <w:p w14:paraId="22CFA237" w14:textId="77777777" w:rsidR="002661BA" w:rsidRDefault="002661BA">
      <w:pPr>
        <w:ind w:firstLine="540"/>
        <w:jc w:val="both"/>
      </w:pPr>
    </w:p>
    <w:p w14:paraId="22CFA238" w14:textId="77777777" w:rsidR="002661BA" w:rsidRDefault="00D972BC">
      <w:pPr>
        <w:ind w:firstLine="540"/>
        <w:jc w:val="both"/>
      </w:pPr>
      <w:r>
        <w:rPr>
          <w:rFonts w:ascii="Arial" w:eastAsia="宋体" w:hAnsi="Arial" w:cs="Arial"/>
          <w:i/>
          <w:iCs/>
          <w:color w:val="000000"/>
          <w:sz w:val="20"/>
          <w:szCs w:val="20"/>
        </w:rPr>
        <w:t>Failu</w:t>
      </w:r>
      <w:r>
        <w:rPr>
          <w:rFonts w:ascii="Arial" w:eastAsia="宋体" w:hAnsi="Arial" w:cs="Arial"/>
          <w:i/>
          <w:iCs/>
          <w:color w:val="000000"/>
          <w:sz w:val="20"/>
          <w:szCs w:val="20"/>
        </w:rPr>
        <w:t>re to deal effectively with fraudulent activities on our platforms would increase our loss rate and harm our business, and could severely diminish merchant and consumer confidence in and use of our services.</w:t>
      </w:r>
    </w:p>
    <w:p w14:paraId="22CFA239" w14:textId="77777777" w:rsidR="002661BA" w:rsidRDefault="002661BA">
      <w:pPr>
        <w:ind w:firstLine="540"/>
        <w:jc w:val="both"/>
      </w:pPr>
    </w:p>
    <w:p w14:paraId="22CFA23A" w14:textId="77777777" w:rsidR="002661BA" w:rsidRDefault="00D972BC">
      <w:pPr>
        <w:ind w:firstLine="540"/>
        <w:jc w:val="both"/>
      </w:pPr>
      <w:r>
        <w:rPr>
          <w:rFonts w:ascii="Arial" w:eastAsia="宋体" w:hAnsi="Arial" w:cs="Arial"/>
          <w:color w:val="000000"/>
          <w:sz w:val="20"/>
          <w:szCs w:val="20"/>
        </w:rPr>
        <w:t>We face reputational and other risks with respe</w:t>
      </w:r>
      <w:r>
        <w:rPr>
          <w:rFonts w:ascii="Arial" w:eastAsia="宋体" w:hAnsi="Arial" w:cs="Arial"/>
          <w:color w:val="000000"/>
          <w:sz w:val="20"/>
          <w:szCs w:val="20"/>
        </w:rPr>
        <w:t>ct to fraudulent activities on our platforms and periodically receive complaints from buyers and sellers who may not have received the goods that they had contracted to purchase or payment for the goods that a buyer had contracted to purchase. In some Euro</w:t>
      </w:r>
      <w:r>
        <w:rPr>
          <w:rFonts w:ascii="Arial" w:eastAsia="宋体" w:hAnsi="Arial" w:cs="Arial"/>
          <w:color w:val="000000"/>
          <w:sz w:val="20"/>
          <w:szCs w:val="20"/>
        </w:rPr>
        <w:t>pean and Asian jurisdictions, buyers may also have the right to withdraw from a sale made by a professional seller within a specified time period. While we can, in some cases, suspend the accounts of users who fail to fulfill their payment or delivery obli</w:t>
      </w:r>
      <w:r>
        <w:rPr>
          <w:rFonts w:ascii="Arial" w:eastAsia="宋体" w:hAnsi="Arial" w:cs="Arial"/>
          <w:color w:val="000000"/>
          <w:sz w:val="20"/>
          <w:szCs w:val="20"/>
        </w:rPr>
        <w:t>gations to other users, we do not have the ability to require users to make payment or deliver goods, or otherwise make users whole other than through our protection programs. Although we have implemented measures to detect and reduce the occurrence of fra</w:t>
      </w:r>
      <w:r>
        <w:rPr>
          <w:rFonts w:ascii="Arial" w:eastAsia="宋体" w:hAnsi="Arial" w:cs="Arial"/>
          <w:color w:val="000000"/>
          <w:sz w:val="20"/>
          <w:szCs w:val="20"/>
        </w:rPr>
        <w:t>udulent activities, combat bad buyer experiences and increase buyer satisfaction, including evaluating sellers on the basis of their identity and transaction history and restricting or suspending their activity, there can be no assurance that these measure</w:t>
      </w:r>
      <w:r>
        <w:rPr>
          <w:rFonts w:ascii="Arial" w:eastAsia="宋体" w:hAnsi="Arial" w:cs="Arial"/>
          <w:color w:val="000000"/>
          <w:sz w:val="20"/>
          <w:szCs w:val="20"/>
        </w:rPr>
        <w:t xml:space="preserve">s will be effective in combating fraudulent transactions or improving overall satisfaction among sellers, buyers, and other participants. Additional measures to address fraud could negatively affect the attractiveness of our services to buyers or sellers, </w:t>
      </w:r>
      <w:r>
        <w:rPr>
          <w:rFonts w:ascii="Arial" w:eastAsia="宋体" w:hAnsi="Arial" w:cs="Arial"/>
          <w:color w:val="000000"/>
          <w:sz w:val="20"/>
          <w:szCs w:val="20"/>
        </w:rPr>
        <w:t>resulting in a reduction in the ability to attract new users or retain current users, damage to our reputation, or a diminution in the value of our brand names.</w:t>
      </w:r>
    </w:p>
    <w:p w14:paraId="22CFA23B" w14:textId="77777777" w:rsidR="002661BA" w:rsidRDefault="00D972BC">
      <w:pPr>
        <w:jc w:val="center"/>
      </w:pPr>
      <w:r>
        <w:rPr>
          <w:rFonts w:ascii="Arial" w:eastAsia="宋体" w:hAnsi="Arial" w:cs="Arial"/>
          <w:color w:val="000000"/>
          <w:sz w:val="18"/>
          <w:szCs w:val="18"/>
        </w:rPr>
        <w:t>18</w:t>
      </w:r>
    </w:p>
    <w:p w14:paraId="22CFA23C" w14:textId="77777777" w:rsidR="002661BA" w:rsidRDefault="00D972BC">
      <w:r>
        <w:pict w14:anchorId="22CFE4C1">
          <v:rect id="_x0000_i1042" style="width:415.3pt;height:1.5pt" o:hralign="center" o:hrstd="t" o:hr="t" fillcolor="#a0a0a0" stroked="f"/>
        </w:pict>
      </w:r>
    </w:p>
    <w:p w14:paraId="22CFA23D" w14:textId="77777777" w:rsidR="002661BA" w:rsidRDefault="00D972BC">
      <w:hyperlink r:id="rId44" w:anchor="id0d7a71b05ce452ea9fdb54f3cb359c7_7" w:history="1">
        <w:r>
          <w:rPr>
            <w:rStyle w:val="a5"/>
            <w:rFonts w:ascii="Arial" w:eastAsia="宋体" w:hAnsi="Arial" w:cs="Arial"/>
            <w:sz w:val="18"/>
            <w:szCs w:val="18"/>
          </w:rPr>
          <w:t>Table of Contents</w:t>
        </w:r>
      </w:hyperlink>
    </w:p>
    <w:p w14:paraId="22CFA23E" w14:textId="77777777" w:rsidR="002661BA" w:rsidRDefault="002661BA">
      <w:pPr>
        <w:ind w:firstLine="540"/>
        <w:jc w:val="both"/>
      </w:pPr>
    </w:p>
    <w:p w14:paraId="22CFA23F" w14:textId="77777777" w:rsidR="002661BA" w:rsidRDefault="00D972BC">
      <w:pPr>
        <w:ind w:firstLine="540"/>
        <w:jc w:val="both"/>
      </w:pPr>
      <w:r>
        <w:rPr>
          <w:rFonts w:ascii="Arial" w:eastAsia="宋体" w:hAnsi="Arial" w:cs="Arial"/>
          <w:i/>
          <w:iCs/>
          <w:color w:val="000000"/>
          <w:sz w:val="20"/>
          <w:szCs w:val="20"/>
        </w:rPr>
        <w:t>Our business is subject to online security risks, including security breaches and cyberattacks.</w:t>
      </w:r>
    </w:p>
    <w:p w14:paraId="22CFA240" w14:textId="77777777" w:rsidR="002661BA" w:rsidRDefault="002661BA">
      <w:pPr>
        <w:ind w:firstLine="540"/>
        <w:jc w:val="both"/>
      </w:pPr>
    </w:p>
    <w:p w14:paraId="22CFA241" w14:textId="77777777" w:rsidR="002661BA" w:rsidRDefault="00D972BC">
      <w:pPr>
        <w:ind w:firstLine="540"/>
        <w:jc w:val="both"/>
      </w:pPr>
      <w:r>
        <w:rPr>
          <w:rFonts w:ascii="Arial" w:eastAsia="宋体" w:hAnsi="Arial" w:cs="Arial"/>
          <w:color w:val="000000"/>
          <w:sz w:val="20"/>
          <w:szCs w:val="20"/>
        </w:rPr>
        <w:t xml:space="preserve">Our businesses involve the storage and transmission of users’ </w:t>
      </w:r>
      <w:r>
        <w:rPr>
          <w:rFonts w:ascii="Arial" w:eastAsia="宋体" w:hAnsi="Arial" w:cs="Arial"/>
          <w:color w:val="000000"/>
          <w:sz w:val="20"/>
          <w:szCs w:val="20"/>
        </w:rPr>
        <w:t>personal financial information. In addition, a significant number of our users authorize us to bill their payment card accounts directly for all transaction and other fees charged by us or, in certain cases, third-party service providers utilized in our pa</w:t>
      </w:r>
      <w:r>
        <w:rPr>
          <w:rFonts w:ascii="Arial" w:eastAsia="宋体" w:hAnsi="Arial" w:cs="Arial"/>
          <w:color w:val="000000"/>
          <w:sz w:val="20"/>
          <w:szCs w:val="20"/>
        </w:rPr>
        <w:t>yment services. An increasing number of websites, including those owned by several other large Internet and offline companies, have disclosed breaches of their security, some of which have involved sophisticated and highly targeted attacks on portions of t</w:t>
      </w:r>
      <w:r>
        <w:rPr>
          <w:rFonts w:ascii="Arial" w:eastAsia="宋体" w:hAnsi="Arial" w:cs="Arial"/>
          <w:color w:val="000000"/>
          <w:sz w:val="20"/>
          <w:szCs w:val="20"/>
        </w:rPr>
        <w:t>heir websites or infrastructure. Our information technology and infrastructure may be vulnerable to cyberattacks or security incidents and third parties may be able to access our users’ proprietary information and payment card data that are stored on or ac</w:t>
      </w:r>
      <w:r>
        <w:rPr>
          <w:rFonts w:ascii="Arial" w:eastAsia="宋体" w:hAnsi="Arial" w:cs="Arial"/>
          <w:color w:val="000000"/>
          <w:sz w:val="20"/>
          <w:szCs w:val="20"/>
        </w:rPr>
        <w:t>cessible through our systems. Any security breach at a company providing services to us or our users could have similar effects.</w:t>
      </w:r>
    </w:p>
    <w:p w14:paraId="22CFA242" w14:textId="77777777" w:rsidR="002661BA" w:rsidRDefault="002661BA">
      <w:pPr>
        <w:ind w:firstLine="540"/>
        <w:jc w:val="both"/>
      </w:pPr>
    </w:p>
    <w:p w14:paraId="22CFA243" w14:textId="77777777" w:rsidR="002661BA" w:rsidRDefault="00D972BC">
      <w:pPr>
        <w:ind w:firstLine="540"/>
        <w:jc w:val="both"/>
      </w:pPr>
      <w:r>
        <w:rPr>
          <w:rFonts w:ascii="Arial" w:eastAsia="宋体" w:hAnsi="Arial" w:cs="Arial"/>
          <w:color w:val="000000"/>
          <w:sz w:val="20"/>
          <w:szCs w:val="20"/>
        </w:rPr>
        <w:t>We may also need to expend significant additional resources to protect against security breaches or to redress problems caused</w:t>
      </w:r>
      <w:r>
        <w:rPr>
          <w:rFonts w:ascii="Arial" w:eastAsia="宋体" w:hAnsi="Arial" w:cs="Arial"/>
          <w:color w:val="000000"/>
          <w:sz w:val="20"/>
          <w:szCs w:val="20"/>
        </w:rPr>
        <w:t xml:space="preserve"> by breaches. Additionally, our insurance policies may not be adequate to reimburse us for losses caused by security breaches and we may not be able to fully collect, if at all, under these insurance policies.</w:t>
      </w:r>
    </w:p>
    <w:p w14:paraId="22CFA244" w14:textId="77777777" w:rsidR="002661BA" w:rsidRDefault="002661BA">
      <w:pPr>
        <w:ind w:firstLine="540"/>
        <w:jc w:val="both"/>
      </w:pPr>
    </w:p>
    <w:p w14:paraId="22CFA245" w14:textId="77777777" w:rsidR="002661BA" w:rsidRDefault="00D972BC">
      <w:pPr>
        <w:ind w:firstLine="540"/>
        <w:jc w:val="both"/>
      </w:pPr>
      <w:r>
        <w:rPr>
          <w:rFonts w:ascii="Arial" w:eastAsia="宋体" w:hAnsi="Arial" w:cs="Arial"/>
          <w:i/>
          <w:iCs/>
          <w:color w:val="000000"/>
          <w:sz w:val="20"/>
          <w:szCs w:val="20"/>
        </w:rPr>
        <w:t xml:space="preserve">Systems failures and resulting interruptions </w:t>
      </w:r>
      <w:r>
        <w:rPr>
          <w:rFonts w:ascii="Arial" w:eastAsia="宋体" w:hAnsi="Arial" w:cs="Arial"/>
          <w:i/>
          <w:iCs/>
          <w:color w:val="000000"/>
          <w:sz w:val="20"/>
          <w:szCs w:val="20"/>
        </w:rPr>
        <w:t xml:space="preserve">in the availability of or degradation in the performance of our websites, applications, products or services could harm our business. </w:t>
      </w:r>
    </w:p>
    <w:p w14:paraId="22CFA246" w14:textId="77777777" w:rsidR="002661BA" w:rsidRDefault="002661BA">
      <w:pPr>
        <w:ind w:firstLine="540"/>
        <w:jc w:val="both"/>
      </w:pPr>
    </w:p>
    <w:p w14:paraId="22CFA247" w14:textId="77777777" w:rsidR="002661BA" w:rsidRDefault="00D972BC">
      <w:pPr>
        <w:ind w:firstLine="540"/>
        <w:jc w:val="both"/>
      </w:pPr>
      <w:r>
        <w:rPr>
          <w:rFonts w:ascii="Arial" w:eastAsia="宋体" w:hAnsi="Arial" w:cs="Arial"/>
          <w:color w:val="000000"/>
          <w:sz w:val="20"/>
          <w:szCs w:val="20"/>
        </w:rPr>
        <w:t>Our systems may experience service interruptions or degradation due to hardware and software defects or malfunctions, co</w:t>
      </w:r>
      <w:r>
        <w:rPr>
          <w:rFonts w:ascii="Arial" w:eastAsia="宋体" w:hAnsi="Arial" w:cs="Arial"/>
          <w:color w:val="000000"/>
          <w:sz w:val="20"/>
          <w:szCs w:val="20"/>
        </w:rPr>
        <w:t xml:space="preserve">mputer denial-of-service and other cyberattacks, human error, earthquakes, hurricanes, floods, fires, natural disasters, power losses, disruptions in telecommunications services, fraud, military or political conflicts, terrorist attacks, computer viruses, </w:t>
      </w:r>
      <w:r>
        <w:rPr>
          <w:rFonts w:ascii="Arial" w:eastAsia="宋体" w:hAnsi="Arial" w:cs="Arial"/>
          <w:color w:val="000000"/>
          <w:sz w:val="20"/>
          <w:szCs w:val="20"/>
        </w:rPr>
        <w:t xml:space="preserve">or other events. Our systems are also subject to break-ins, sabotage and intentional acts of vandalism. Some of our systems are not fully redundant and our disaster recovery planning is not sufficient for all eventualities. </w:t>
      </w:r>
    </w:p>
    <w:p w14:paraId="22CFA248" w14:textId="77777777" w:rsidR="002661BA" w:rsidRDefault="002661BA">
      <w:pPr>
        <w:ind w:firstLine="540"/>
        <w:jc w:val="both"/>
      </w:pPr>
    </w:p>
    <w:p w14:paraId="22CFA249" w14:textId="77777777" w:rsidR="002661BA" w:rsidRDefault="00D972BC">
      <w:pPr>
        <w:ind w:firstLine="540"/>
        <w:jc w:val="both"/>
      </w:pPr>
      <w:r>
        <w:rPr>
          <w:rFonts w:ascii="Arial" w:eastAsia="宋体" w:hAnsi="Arial" w:cs="Arial"/>
          <w:color w:val="000000"/>
          <w:sz w:val="20"/>
          <w:szCs w:val="20"/>
        </w:rPr>
        <w:t>We have experienced and will l</w:t>
      </w:r>
      <w:r>
        <w:rPr>
          <w:rFonts w:ascii="Arial" w:eastAsia="宋体" w:hAnsi="Arial" w:cs="Arial"/>
          <w:color w:val="000000"/>
          <w:sz w:val="20"/>
          <w:szCs w:val="20"/>
        </w:rPr>
        <w:t>ikely continue to experience system failures, denial-of-service attacks, human error and other events or conditions from time to time that interrupt the availability or reduce the speed or functionality of our websites and mobile applications, including ou</w:t>
      </w:r>
      <w:r>
        <w:rPr>
          <w:rFonts w:ascii="Arial" w:eastAsia="宋体" w:hAnsi="Arial" w:cs="Arial"/>
          <w:color w:val="000000"/>
          <w:sz w:val="20"/>
          <w:szCs w:val="20"/>
        </w:rPr>
        <w:t>r payments services. These events have resulted and likely will result in loss of revenue. A prolonged interruption in the availability or reduction in the speed or other functionality of our websites and mobile applications or payments services could mate</w:t>
      </w:r>
      <w:r>
        <w:rPr>
          <w:rFonts w:ascii="Arial" w:eastAsia="宋体" w:hAnsi="Arial" w:cs="Arial"/>
          <w:color w:val="000000"/>
          <w:sz w:val="20"/>
          <w:szCs w:val="20"/>
        </w:rPr>
        <w:t>rially harm our business. Frequent or persistent interruptions in our services could cause current or potential users to believe that our systems are unreliable, leading them to switch to our competitors or to avoid our sites, and could permanently harm ou</w:t>
      </w:r>
      <w:r>
        <w:rPr>
          <w:rFonts w:ascii="Arial" w:eastAsia="宋体" w:hAnsi="Arial" w:cs="Arial"/>
          <w:color w:val="000000"/>
          <w:sz w:val="20"/>
          <w:szCs w:val="20"/>
        </w:rPr>
        <w:t>r reputation and brands. Moreover, to the extent that any system failure or similar event results in damages to our customers or their businesses, these customers could seek significant compensation from us for their losses and those claims, even if unsucc</w:t>
      </w:r>
      <w:r>
        <w:rPr>
          <w:rFonts w:ascii="Arial" w:eastAsia="宋体" w:hAnsi="Arial" w:cs="Arial"/>
          <w:color w:val="000000"/>
          <w:sz w:val="20"/>
          <w:szCs w:val="20"/>
        </w:rPr>
        <w:t xml:space="preserve">essful, would likely be time-consuming and costly for us to address. We also rely on facilities, components and services supplied by third parties and our business may be materially adversely affected to the extent these components or services do not meet </w:t>
      </w:r>
      <w:r>
        <w:rPr>
          <w:rFonts w:ascii="Arial" w:eastAsia="宋体" w:hAnsi="Arial" w:cs="Arial"/>
          <w:color w:val="000000"/>
          <w:sz w:val="20"/>
          <w:szCs w:val="20"/>
        </w:rPr>
        <w:t>our expectations or these third parties cease to provide the services or facilities. In particular, a decision by any of our third party hosting providers to close a facility that we use could cause system interruptions and delays, result in loss of critic</w:t>
      </w:r>
      <w:r>
        <w:rPr>
          <w:rFonts w:ascii="Arial" w:eastAsia="宋体" w:hAnsi="Arial" w:cs="Arial"/>
          <w:color w:val="000000"/>
          <w:sz w:val="20"/>
          <w:szCs w:val="20"/>
        </w:rPr>
        <w:t>al data and cause lengthy interruptions in our services. We do not carry business interruption insurance sufficient to compensate us for losses that may result from interruptions in our service as a result of systems failures and similar events.</w:t>
      </w:r>
    </w:p>
    <w:p w14:paraId="22CFA24A" w14:textId="77777777" w:rsidR="002661BA" w:rsidRDefault="002661BA">
      <w:pPr>
        <w:ind w:firstLine="540"/>
        <w:jc w:val="both"/>
      </w:pPr>
    </w:p>
    <w:p w14:paraId="22CFA24B" w14:textId="77777777" w:rsidR="002661BA" w:rsidRDefault="00D972BC">
      <w:pPr>
        <w:ind w:firstLine="540"/>
        <w:jc w:val="both"/>
      </w:pPr>
      <w:r>
        <w:rPr>
          <w:rFonts w:ascii="Arial" w:eastAsia="宋体" w:hAnsi="Arial" w:cs="Arial"/>
          <w:i/>
          <w:iCs/>
          <w:color w:val="000000"/>
          <w:sz w:val="20"/>
          <w:szCs w:val="20"/>
        </w:rPr>
        <w:t>Our succe</w:t>
      </w:r>
      <w:r>
        <w:rPr>
          <w:rFonts w:ascii="Arial" w:eastAsia="宋体" w:hAnsi="Arial" w:cs="Arial"/>
          <w:i/>
          <w:iCs/>
          <w:color w:val="000000"/>
          <w:sz w:val="20"/>
          <w:szCs w:val="20"/>
        </w:rPr>
        <w:t>ss largely depends on key employees. Because competition for our key employees is intense, we may not be able to attract, retain, and develop the highly skilled employees we need to support our business. The loss of senior management or other key employees</w:t>
      </w:r>
      <w:r>
        <w:rPr>
          <w:rFonts w:ascii="Arial" w:eastAsia="宋体" w:hAnsi="Arial" w:cs="Arial"/>
          <w:i/>
          <w:iCs/>
          <w:color w:val="000000"/>
          <w:sz w:val="20"/>
          <w:szCs w:val="20"/>
        </w:rPr>
        <w:t xml:space="preserve"> could harm our business.</w:t>
      </w:r>
    </w:p>
    <w:p w14:paraId="22CFA24C" w14:textId="77777777" w:rsidR="002661BA" w:rsidRDefault="002661BA">
      <w:pPr>
        <w:ind w:firstLine="540"/>
        <w:jc w:val="both"/>
      </w:pPr>
    </w:p>
    <w:p w14:paraId="22CFA24D" w14:textId="77777777" w:rsidR="002661BA" w:rsidRDefault="00D972BC">
      <w:pPr>
        <w:ind w:firstLine="540"/>
        <w:jc w:val="both"/>
      </w:pPr>
      <w:r>
        <w:rPr>
          <w:rFonts w:ascii="Arial" w:eastAsia="宋体" w:hAnsi="Arial" w:cs="Arial"/>
          <w:color w:val="000000"/>
          <w:sz w:val="20"/>
          <w:szCs w:val="20"/>
        </w:rPr>
        <w:t xml:space="preserve">Our future performance depends substantially on the continued services of our senior management and other key employees, including highly skilled engineers and product developers, and our ability to attract, retain, and </w:t>
      </w:r>
      <w:r>
        <w:rPr>
          <w:rFonts w:ascii="Arial" w:eastAsia="宋体" w:hAnsi="Arial" w:cs="Arial"/>
          <w:color w:val="000000"/>
          <w:sz w:val="20"/>
          <w:szCs w:val="20"/>
        </w:rPr>
        <w:t>motivate them. Competition for highly skilled individuals is intense, especially in the Silicon Valley where our corporate headquarters are located, and we may be unable to successfully attract, integrate or retain sufficiently qualified employees. In maki</w:t>
      </w:r>
      <w:r>
        <w:rPr>
          <w:rFonts w:ascii="Arial" w:eastAsia="宋体" w:hAnsi="Arial" w:cs="Arial"/>
          <w:color w:val="000000"/>
          <w:sz w:val="20"/>
          <w:szCs w:val="20"/>
        </w:rPr>
        <w:t>ng employment decisions, particularly in the Internet and high-technology industries, employees often consider the value of their total compensation, including share-based awards such as restricted stock units, that they could receive in connection with th</w:t>
      </w:r>
      <w:r>
        <w:rPr>
          <w:rFonts w:ascii="Arial" w:eastAsia="宋体" w:hAnsi="Arial" w:cs="Arial"/>
          <w:color w:val="000000"/>
          <w:sz w:val="20"/>
          <w:szCs w:val="20"/>
        </w:rPr>
        <w:t>eir employment. In addition, our employee hiring and retention also depend on our ability to build and maintain a diverse, welcoming and inclusive workplace.</w:t>
      </w:r>
      <w:r>
        <w:rPr>
          <w:rFonts w:ascii="Arial" w:eastAsia="宋体" w:hAnsi="Arial" w:cs="Arial"/>
          <w:color w:val="000000"/>
        </w:rPr>
        <w:t xml:space="preserve"> </w:t>
      </w:r>
      <w:r>
        <w:rPr>
          <w:rFonts w:ascii="Arial" w:eastAsia="宋体" w:hAnsi="Arial" w:cs="Arial"/>
          <w:color w:val="000000"/>
          <w:sz w:val="20"/>
          <w:szCs w:val="20"/>
        </w:rPr>
        <w:t>If our share-based or other compensation programs cease to be viewed as competitive, including due</w:t>
      </w:r>
      <w:r>
        <w:rPr>
          <w:rFonts w:ascii="Arial" w:eastAsia="宋体" w:hAnsi="Arial" w:cs="Arial"/>
          <w:color w:val="000000"/>
          <w:sz w:val="20"/>
          <w:szCs w:val="20"/>
        </w:rPr>
        <w:t xml:space="preserve"> to fluctuations in our stock price, or our workplace is not viewed as welcoming and inclusive, our ability to attract, retain, and motivate </w:t>
      </w:r>
    </w:p>
    <w:p w14:paraId="22CFA24E" w14:textId="77777777" w:rsidR="002661BA" w:rsidRDefault="00D972BC">
      <w:pPr>
        <w:jc w:val="center"/>
      </w:pPr>
      <w:r>
        <w:rPr>
          <w:rFonts w:ascii="Arial" w:eastAsia="宋体" w:hAnsi="Arial" w:cs="Arial"/>
          <w:color w:val="000000"/>
          <w:sz w:val="18"/>
          <w:szCs w:val="18"/>
        </w:rPr>
        <w:t>19</w:t>
      </w:r>
    </w:p>
    <w:p w14:paraId="22CFA24F" w14:textId="77777777" w:rsidR="002661BA" w:rsidRDefault="00D972BC">
      <w:r>
        <w:pict w14:anchorId="22CFE4C2">
          <v:rect id="_x0000_i1043" style="width:415.3pt;height:1.5pt" o:hralign="center" o:hrstd="t" o:hr="t" fillcolor="#a0a0a0" stroked="f"/>
        </w:pict>
      </w:r>
    </w:p>
    <w:p w14:paraId="22CFA250" w14:textId="77777777" w:rsidR="002661BA" w:rsidRDefault="00D972BC">
      <w:hyperlink r:id="rId45" w:anchor="id0d7a71b05ce452ea9fdb54f3cb359c7_7" w:history="1">
        <w:r>
          <w:rPr>
            <w:rStyle w:val="a5"/>
            <w:rFonts w:ascii="Arial" w:eastAsia="宋体" w:hAnsi="Arial" w:cs="Arial"/>
            <w:sz w:val="18"/>
            <w:szCs w:val="18"/>
          </w:rPr>
          <w:t>Table of Contents</w:t>
        </w:r>
      </w:hyperlink>
    </w:p>
    <w:p w14:paraId="22CFA251" w14:textId="77777777" w:rsidR="002661BA" w:rsidRDefault="00D972BC">
      <w:pPr>
        <w:jc w:val="both"/>
      </w:pPr>
      <w:r>
        <w:rPr>
          <w:rFonts w:ascii="Arial" w:eastAsia="宋体" w:hAnsi="Arial" w:cs="Arial"/>
          <w:color w:val="000000"/>
          <w:sz w:val="20"/>
          <w:szCs w:val="20"/>
        </w:rPr>
        <w:t>employees would be weakened, which could harm our business. We do not have long-term employment agreements with any of our key employees and do not maintain any “key person” life insurance polic</w:t>
      </w:r>
      <w:r>
        <w:rPr>
          <w:rFonts w:ascii="Arial" w:eastAsia="宋体" w:hAnsi="Arial" w:cs="Arial"/>
          <w:color w:val="000000"/>
          <w:sz w:val="20"/>
          <w:szCs w:val="20"/>
        </w:rPr>
        <w:t>ies. The loss of the services of any of our senior management or other key employees, or our inability to attract highly qualified senior management and other key employees, could harm our business.</w:t>
      </w:r>
    </w:p>
    <w:p w14:paraId="22CFA252" w14:textId="77777777" w:rsidR="002661BA" w:rsidRDefault="002661BA">
      <w:pPr>
        <w:ind w:firstLine="540"/>
        <w:jc w:val="both"/>
      </w:pPr>
    </w:p>
    <w:p w14:paraId="22CFA253" w14:textId="77777777" w:rsidR="002661BA" w:rsidRDefault="00D972BC">
      <w:pPr>
        <w:ind w:firstLine="540"/>
        <w:jc w:val="both"/>
      </w:pPr>
      <w:r>
        <w:rPr>
          <w:rFonts w:ascii="Arial" w:eastAsia="宋体" w:hAnsi="Arial" w:cs="Arial"/>
          <w:i/>
          <w:iCs/>
          <w:color w:val="000000"/>
          <w:sz w:val="20"/>
          <w:szCs w:val="20"/>
        </w:rPr>
        <w:t>Problems with or price increases by third parties who pr</w:t>
      </w:r>
      <w:r>
        <w:rPr>
          <w:rFonts w:ascii="Arial" w:eastAsia="宋体" w:hAnsi="Arial" w:cs="Arial"/>
          <w:i/>
          <w:iCs/>
          <w:color w:val="000000"/>
          <w:sz w:val="20"/>
          <w:szCs w:val="20"/>
        </w:rPr>
        <w:t>ovide services to us or to our sellers could harm our business.</w:t>
      </w:r>
    </w:p>
    <w:p w14:paraId="22CFA254" w14:textId="77777777" w:rsidR="002661BA" w:rsidRDefault="002661BA">
      <w:pPr>
        <w:ind w:firstLine="540"/>
        <w:jc w:val="both"/>
      </w:pPr>
    </w:p>
    <w:p w14:paraId="22CFA255" w14:textId="77777777" w:rsidR="002661BA" w:rsidRDefault="00D972BC">
      <w:pPr>
        <w:ind w:firstLine="540"/>
        <w:jc w:val="both"/>
      </w:pPr>
      <w:r>
        <w:rPr>
          <w:rFonts w:ascii="Arial" w:eastAsia="宋体" w:hAnsi="Arial" w:cs="Arial"/>
          <w:color w:val="000000"/>
          <w:sz w:val="20"/>
          <w:szCs w:val="20"/>
        </w:rPr>
        <w:t>A number of third parties provide services to us or to our sellers. Such services include seller tools that automate and manage listings, merchant tools that manage listings and interface wit</w:t>
      </w:r>
      <w:r>
        <w:rPr>
          <w:rFonts w:ascii="Arial" w:eastAsia="宋体" w:hAnsi="Arial" w:cs="Arial"/>
          <w:color w:val="000000"/>
          <w:sz w:val="20"/>
          <w:szCs w:val="20"/>
        </w:rPr>
        <w:t>h inventory management software, storefronts that help our sellers list items and shipping providers that deliver goods sold on our platform, managed payments intermediation, among others. Financial or regulatory issues, labor issues (e.g., strikes, lockou</w:t>
      </w:r>
      <w:r>
        <w:rPr>
          <w:rFonts w:ascii="Arial" w:eastAsia="宋体" w:hAnsi="Arial" w:cs="Arial"/>
          <w:color w:val="000000"/>
          <w:sz w:val="20"/>
          <w:szCs w:val="20"/>
        </w:rPr>
        <w:t>ts, worker shortages or work stoppages), or other problems that prevent these companies from providing services to us or our sellers could harm our business.</w:t>
      </w:r>
    </w:p>
    <w:p w14:paraId="22CFA256" w14:textId="77777777" w:rsidR="002661BA" w:rsidRDefault="002661BA">
      <w:pPr>
        <w:ind w:firstLine="540"/>
        <w:jc w:val="both"/>
      </w:pPr>
    </w:p>
    <w:p w14:paraId="22CFA257" w14:textId="77777777" w:rsidR="002661BA" w:rsidRDefault="00D972BC">
      <w:pPr>
        <w:ind w:firstLine="540"/>
        <w:jc w:val="both"/>
      </w:pPr>
      <w:r>
        <w:rPr>
          <w:rFonts w:ascii="Arial" w:eastAsia="宋体" w:hAnsi="Arial" w:cs="Arial"/>
          <w:color w:val="000000"/>
          <w:sz w:val="20"/>
          <w:szCs w:val="20"/>
        </w:rPr>
        <w:t>Price increases by, or service terminations, disruptions or interruptions at, companies that prov</w:t>
      </w:r>
      <w:r>
        <w:rPr>
          <w:rFonts w:ascii="Arial" w:eastAsia="宋体" w:hAnsi="Arial" w:cs="Arial"/>
          <w:color w:val="000000"/>
          <w:sz w:val="20"/>
          <w:szCs w:val="20"/>
        </w:rPr>
        <w:t>ide services to us and our sellers and clients could also reduce the number of listings on our platforms or make it more difficult for our sellers to complete transactions, thereby harming our business. While we continue to work with global carriers to off</w:t>
      </w:r>
      <w:r>
        <w:rPr>
          <w:rFonts w:ascii="Arial" w:eastAsia="宋体" w:hAnsi="Arial" w:cs="Arial"/>
          <w:color w:val="000000"/>
          <w:sz w:val="20"/>
          <w:szCs w:val="20"/>
        </w:rPr>
        <w:t>er our sellers a variety of shipping options and to enhance their shipping experience, postal rate increases may reduce the competitiveness of certain sellers’ offerings, and postal service changes could require certain sellers to utilize alternatives whic</w:t>
      </w:r>
      <w:r>
        <w:rPr>
          <w:rFonts w:ascii="Arial" w:eastAsia="宋体" w:hAnsi="Arial" w:cs="Arial"/>
          <w:color w:val="000000"/>
          <w:sz w:val="20"/>
          <w:szCs w:val="20"/>
        </w:rPr>
        <w:t xml:space="preserve">h could be more expensive or inconvenient, which could in turn decrease the number of transactions on our sites, thereby harming our business. </w:t>
      </w:r>
    </w:p>
    <w:p w14:paraId="22CFA258" w14:textId="77777777" w:rsidR="002661BA" w:rsidRDefault="002661BA">
      <w:pPr>
        <w:ind w:firstLine="540"/>
        <w:jc w:val="both"/>
      </w:pPr>
    </w:p>
    <w:p w14:paraId="22CFA259" w14:textId="77777777" w:rsidR="002661BA" w:rsidRDefault="00D972BC">
      <w:pPr>
        <w:ind w:firstLine="540"/>
        <w:jc w:val="both"/>
      </w:pPr>
      <w:r>
        <w:rPr>
          <w:rFonts w:ascii="Arial" w:eastAsia="宋体" w:hAnsi="Arial" w:cs="Arial"/>
          <w:color w:val="000000"/>
          <w:sz w:val="20"/>
          <w:szCs w:val="20"/>
        </w:rPr>
        <w:t>We have outsourced certain functions to third-party providers, including some customer support, managed payment</w:t>
      </w:r>
      <w:r>
        <w:rPr>
          <w:rFonts w:ascii="Arial" w:eastAsia="宋体" w:hAnsi="Arial" w:cs="Arial"/>
          <w:color w:val="000000"/>
          <w:sz w:val="20"/>
          <w:szCs w:val="20"/>
        </w:rPr>
        <w:t>s and product development functions, which are critical to our operations. If our service providers do not perform satisfactorily, our operations could be disrupted, which could result in user dissatisfaction and could harm our business.</w:t>
      </w:r>
    </w:p>
    <w:p w14:paraId="22CFA25A" w14:textId="77777777" w:rsidR="002661BA" w:rsidRDefault="002661BA">
      <w:pPr>
        <w:ind w:firstLine="540"/>
        <w:jc w:val="both"/>
      </w:pPr>
    </w:p>
    <w:p w14:paraId="22CFA25B" w14:textId="77777777" w:rsidR="002661BA" w:rsidRDefault="00D972BC">
      <w:pPr>
        <w:ind w:firstLine="540"/>
        <w:jc w:val="both"/>
      </w:pPr>
      <w:r>
        <w:rPr>
          <w:rFonts w:ascii="Arial" w:eastAsia="宋体" w:hAnsi="Arial" w:cs="Arial"/>
          <w:color w:val="000000"/>
          <w:sz w:val="20"/>
          <w:szCs w:val="20"/>
        </w:rPr>
        <w:t xml:space="preserve">There can be no assurance that third parties who provide services directly to us or our sellers will continue to do so on acceptable terms, or at all. If any third parties were to stop providing services to us or our sellers on acceptable terms, including </w:t>
      </w:r>
      <w:r>
        <w:rPr>
          <w:rFonts w:ascii="Arial" w:eastAsia="宋体" w:hAnsi="Arial" w:cs="Arial"/>
          <w:color w:val="000000"/>
          <w:sz w:val="20"/>
          <w:szCs w:val="20"/>
        </w:rPr>
        <w:t xml:space="preserve">as a result of bankruptcy, we may be unable to procure alternatives from other third parties in a timely and efficient manner and on acceptable terms, or at all. </w:t>
      </w:r>
    </w:p>
    <w:p w14:paraId="22CFA25C" w14:textId="77777777" w:rsidR="002661BA" w:rsidRDefault="002661BA">
      <w:pPr>
        <w:ind w:firstLine="450"/>
        <w:jc w:val="both"/>
      </w:pPr>
    </w:p>
    <w:p w14:paraId="22CFA25D" w14:textId="77777777" w:rsidR="002661BA" w:rsidRDefault="00D972BC">
      <w:pPr>
        <w:ind w:firstLine="270"/>
        <w:jc w:val="both"/>
      </w:pPr>
      <w:r>
        <w:rPr>
          <w:rFonts w:ascii="Arial" w:eastAsia="宋体" w:hAnsi="Arial" w:cs="Arial"/>
          <w:b/>
          <w:bCs/>
          <w:i/>
          <w:iCs/>
          <w:color w:val="000000"/>
          <w:sz w:val="20"/>
          <w:szCs w:val="20"/>
        </w:rPr>
        <w:t>Regulatory and Legal Risks</w:t>
      </w:r>
    </w:p>
    <w:p w14:paraId="22CFA25E" w14:textId="77777777" w:rsidR="002661BA" w:rsidRDefault="002661BA">
      <w:pPr>
        <w:ind w:firstLine="450"/>
        <w:jc w:val="both"/>
      </w:pPr>
    </w:p>
    <w:p w14:paraId="22CFA25F" w14:textId="77777777" w:rsidR="002661BA" w:rsidRDefault="00D972BC">
      <w:pPr>
        <w:ind w:firstLine="540"/>
        <w:jc w:val="both"/>
      </w:pPr>
      <w:r>
        <w:rPr>
          <w:rFonts w:ascii="Arial" w:eastAsia="宋体" w:hAnsi="Arial" w:cs="Arial"/>
          <w:i/>
          <w:iCs/>
          <w:color w:val="000000"/>
          <w:sz w:val="20"/>
          <w:szCs w:val="20"/>
        </w:rPr>
        <w:t>Our business is subject to extensive government regulation and o</w:t>
      </w:r>
      <w:r>
        <w:rPr>
          <w:rFonts w:ascii="Arial" w:eastAsia="宋体" w:hAnsi="Arial" w:cs="Arial"/>
          <w:i/>
          <w:iCs/>
          <w:color w:val="000000"/>
          <w:sz w:val="20"/>
          <w:szCs w:val="20"/>
        </w:rPr>
        <w:t>versight, which could adversely impact our business.</w:t>
      </w:r>
    </w:p>
    <w:p w14:paraId="22CFA260" w14:textId="77777777" w:rsidR="002661BA" w:rsidRDefault="002661BA">
      <w:pPr>
        <w:ind w:firstLine="540"/>
        <w:jc w:val="both"/>
      </w:pPr>
    </w:p>
    <w:p w14:paraId="22CFA261" w14:textId="77777777" w:rsidR="002661BA" w:rsidRDefault="00D972BC">
      <w:pPr>
        <w:ind w:firstLine="540"/>
        <w:jc w:val="both"/>
      </w:pPr>
      <w:r>
        <w:rPr>
          <w:rFonts w:ascii="Arial" w:eastAsia="宋体" w:hAnsi="Arial" w:cs="Arial"/>
          <w:color w:val="000000"/>
          <w:sz w:val="20"/>
          <w:szCs w:val="20"/>
        </w:rPr>
        <w:t>We are subject to laws and regulations affecting our domestic and international operations in a number of areas, including consumer protection, data privacy requirements, intellectual property ownership</w:t>
      </w:r>
      <w:r>
        <w:rPr>
          <w:rFonts w:ascii="Arial" w:eastAsia="宋体" w:hAnsi="Arial" w:cs="Arial"/>
          <w:color w:val="000000"/>
          <w:sz w:val="20"/>
          <w:szCs w:val="20"/>
        </w:rPr>
        <w:t xml:space="preserve"> and infringement, prohibited items and stolen goods, tax, antitrust and anti-competition, export requirements, anti-corruption, labor, advertising, digital content, real estate, payments and financial services, billing, ecommerce/marketplace liability, pr</w:t>
      </w:r>
      <w:r>
        <w:rPr>
          <w:rFonts w:ascii="Arial" w:eastAsia="宋体" w:hAnsi="Arial" w:cs="Arial"/>
          <w:color w:val="000000"/>
          <w:sz w:val="20"/>
          <w:szCs w:val="20"/>
        </w:rPr>
        <w:t>omotions, quality of services, telecommunications, mobile communications and media, environmental, and health and safety regulations, as well as laws and regulations intended to combat money laundering and the financing of terrorist activities. In addition</w:t>
      </w:r>
      <w:r>
        <w:rPr>
          <w:rFonts w:ascii="Arial" w:eastAsia="宋体" w:hAnsi="Arial" w:cs="Arial"/>
          <w:color w:val="000000"/>
          <w:sz w:val="20"/>
          <w:szCs w:val="20"/>
        </w:rPr>
        <w:t>, we are, or may become, subject to further regulation in some of the above-mentioned areas or new areas as a result of the continued development and expansion of our payments capabilities. Further, certain government agencies seek to hold us liable for th</w:t>
      </w:r>
      <w:r>
        <w:rPr>
          <w:rFonts w:ascii="Arial" w:eastAsia="宋体" w:hAnsi="Arial" w:cs="Arial"/>
          <w:color w:val="000000"/>
          <w:sz w:val="20"/>
          <w:szCs w:val="20"/>
        </w:rPr>
        <w:t>ird party sales on our Marketplace platforms to the extent such sales implicate laws and regulations enforced by those agencies, including specifically the Environmental Protection Agency and the Drug Enforcement Agency.</w:t>
      </w:r>
    </w:p>
    <w:p w14:paraId="22CFA262" w14:textId="77777777" w:rsidR="002661BA" w:rsidRDefault="002661BA">
      <w:pPr>
        <w:ind w:firstLine="540"/>
        <w:jc w:val="both"/>
      </w:pPr>
    </w:p>
    <w:p w14:paraId="22CFA263" w14:textId="77777777" w:rsidR="002661BA" w:rsidRDefault="00D972BC">
      <w:pPr>
        <w:ind w:firstLine="540"/>
        <w:jc w:val="both"/>
      </w:pPr>
      <w:r>
        <w:rPr>
          <w:rFonts w:ascii="Arial" w:eastAsia="宋体" w:hAnsi="Arial" w:cs="Arial"/>
          <w:color w:val="000000"/>
          <w:sz w:val="20"/>
          <w:szCs w:val="20"/>
        </w:rPr>
        <w:t>Compliance with these laws, regula</w:t>
      </w:r>
      <w:r>
        <w:rPr>
          <w:rFonts w:ascii="Arial" w:eastAsia="宋体" w:hAnsi="Arial" w:cs="Arial"/>
          <w:color w:val="000000"/>
          <w:sz w:val="20"/>
          <w:szCs w:val="20"/>
        </w:rPr>
        <w:t>tions, and similar requirements may be onerous and expensive, and variances and inconsistencies from jurisdiction to jurisdiction may further increase the cost of compliance and doing business. Any such costs, which may rise in the future as a result of ch</w:t>
      </w:r>
      <w:r>
        <w:rPr>
          <w:rFonts w:ascii="Arial" w:eastAsia="宋体" w:hAnsi="Arial" w:cs="Arial"/>
          <w:color w:val="000000"/>
          <w:sz w:val="20"/>
          <w:szCs w:val="20"/>
        </w:rPr>
        <w:t>anges in these laws and regulations or in their interpretation, could individually or in the aggregate make our products and services less attractive to our customers, delay the introduction of new products or services in one or more regions, or cause us t</w:t>
      </w:r>
      <w:r>
        <w:rPr>
          <w:rFonts w:ascii="Arial" w:eastAsia="宋体" w:hAnsi="Arial" w:cs="Arial"/>
          <w:color w:val="000000"/>
          <w:sz w:val="20"/>
          <w:szCs w:val="20"/>
        </w:rPr>
        <w:t>o change or limit our business practices. We have implemented policies and procedures designed to ensure compliance with applicable laws and regulations, but there can be no assurance that our customers, employees, contractors, or agents will not violate s</w:t>
      </w:r>
      <w:r>
        <w:rPr>
          <w:rFonts w:ascii="Arial" w:eastAsia="宋体" w:hAnsi="Arial" w:cs="Arial"/>
          <w:color w:val="000000"/>
          <w:sz w:val="20"/>
          <w:szCs w:val="20"/>
        </w:rPr>
        <w:t>uch laws and regulations or our policies and procedures. </w:t>
      </w:r>
    </w:p>
    <w:p w14:paraId="22CFA264" w14:textId="77777777" w:rsidR="002661BA" w:rsidRDefault="002661BA">
      <w:pPr>
        <w:ind w:firstLine="540"/>
        <w:jc w:val="both"/>
      </w:pPr>
    </w:p>
    <w:p w14:paraId="22CFA265" w14:textId="77777777" w:rsidR="002661BA" w:rsidRDefault="00D972BC">
      <w:pPr>
        <w:jc w:val="center"/>
      </w:pPr>
      <w:r>
        <w:rPr>
          <w:rFonts w:ascii="Arial" w:eastAsia="宋体" w:hAnsi="Arial" w:cs="Arial"/>
          <w:color w:val="000000"/>
          <w:sz w:val="18"/>
          <w:szCs w:val="18"/>
        </w:rPr>
        <w:t>20</w:t>
      </w:r>
    </w:p>
    <w:p w14:paraId="22CFA266" w14:textId="77777777" w:rsidR="002661BA" w:rsidRDefault="00D972BC">
      <w:r>
        <w:pict w14:anchorId="22CFE4C3">
          <v:rect id="_x0000_i1044" style="width:415.3pt;height:1.5pt" o:hralign="center" o:hrstd="t" o:hr="t" fillcolor="#a0a0a0" stroked="f"/>
        </w:pict>
      </w:r>
    </w:p>
    <w:p w14:paraId="22CFA267" w14:textId="77777777" w:rsidR="002661BA" w:rsidRDefault="00D972BC">
      <w:hyperlink r:id="rId46" w:anchor="id0d7a71b05ce452ea9fdb54f3cb359c7_7" w:history="1">
        <w:r>
          <w:rPr>
            <w:rStyle w:val="a5"/>
            <w:rFonts w:ascii="Arial" w:eastAsia="宋体" w:hAnsi="Arial" w:cs="Arial"/>
            <w:sz w:val="18"/>
            <w:szCs w:val="18"/>
          </w:rPr>
          <w:t>Table of Contents</w:t>
        </w:r>
      </w:hyperlink>
    </w:p>
    <w:p w14:paraId="22CFA268" w14:textId="77777777" w:rsidR="002661BA" w:rsidRDefault="00D972BC">
      <w:pPr>
        <w:ind w:firstLine="540"/>
        <w:jc w:val="both"/>
      </w:pPr>
      <w:r>
        <w:rPr>
          <w:rFonts w:ascii="Arial" w:eastAsia="宋体" w:hAnsi="Arial" w:cs="Arial"/>
          <w:i/>
          <w:iCs/>
          <w:color w:val="000000"/>
          <w:sz w:val="20"/>
          <w:szCs w:val="20"/>
        </w:rPr>
        <w:t>Regulation in the areas of privacy and protection of user data could harm our busines</w:t>
      </w:r>
      <w:r>
        <w:rPr>
          <w:rFonts w:ascii="Arial" w:eastAsia="宋体" w:hAnsi="Arial" w:cs="Arial"/>
          <w:i/>
          <w:iCs/>
          <w:color w:val="000000"/>
          <w:sz w:val="20"/>
          <w:szCs w:val="20"/>
        </w:rPr>
        <w:t xml:space="preserve">s. </w:t>
      </w:r>
    </w:p>
    <w:p w14:paraId="22CFA269" w14:textId="77777777" w:rsidR="002661BA" w:rsidRDefault="002661BA">
      <w:pPr>
        <w:ind w:firstLine="540"/>
        <w:jc w:val="both"/>
      </w:pPr>
    </w:p>
    <w:p w14:paraId="22CFA26A" w14:textId="77777777" w:rsidR="002661BA" w:rsidRDefault="00D972BC">
      <w:pPr>
        <w:ind w:firstLine="540"/>
        <w:jc w:val="both"/>
      </w:pPr>
      <w:r>
        <w:rPr>
          <w:rFonts w:ascii="Arial" w:eastAsia="宋体" w:hAnsi="Arial" w:cs="Arial"/>
          <w:color w:val="000000"/>
          <w:sz w:val="20"/>
          <w:szCs w:val="20"/>
        </w:rPr>
        <w:t>We are subject to laws relating to the collection, use, retention, security, and transfer of personally identifiable information about our users around the world. Much of the personal information that we collect, especially financial information, is r</w:t>
      </w:r>
      <w:r>
        <w:rPr>
          <w:rFonts w:ascii="Arial" w:eastAsia="宋体" w:hAnsi="Arial" w:cs="Arial"/>
          <w:color w:val="000000"/>
          <w:sz w:val="20"/>
          <w:szCs w:val="20"/>
        </w:rPr>
        <w:t>egulated by multiple laws. User data protection laws may be interpreted and applied inconsistently from country to country. In many cases, these laws apply not only to third-party transactions, but also to transfers of information between or among ourselve</w:t>
      </w:r>
      <w:r>
        <w:rPr>
          <w:rFonts w:ascii="Arial" w:eastAsia="宋体" w:hAnsi="Arial" w:cs="Arial"/>
          <w:color w:val="000000"/>
          <w:sz w:val="20"/>
          <w:szCs w:val="20"/>
        </w:rPr>
        <w:t>s, our subsidiaries, and other parties with which we have commercial relations. These laws continue to develop in ways we cannot predict and that may harm our business.</w:t>
      </w:r>
    </w:p>
    <w:p w14:paraId="22CFA26B" w14:textId="77777777" w:rsidR="002661BA" w:rsidRDefault="002661BA">
      <w:pPr>
        <w:ind w:firstLine="540"/>
        <w:jc w:val="both"/>
      </w:pPr>
    </w:p>
    <w:p w14:paraId="22CFA26C" w14:textId="77777777" w:rsidR="002661BA" w:rsidRDefault="00D972BC">
      <w:pPr>
        <w:ind w:firstLine="540"/>
        <w:jc w:val="both"/>
      </w:pPr>
      <w:r>
        <w:rPr>
          <w:rFonts w:ascii="Arial" w:eastAsia="宋体" w:hAnsi="Arial" w:cs="Arial"/>
          <w:color w:val="000000"/>
          <w:sz w:val="20"/>
          <w:szCs w:val="20"/>
        </w:rPr>
        <w:t xml:space="preserve">Regulatory scrutiny of privacy, user data protection, use of data and data collection </w:t>
      </w:r>
      <w:r>
        <w:rPr>
          <w:rFonts w:ascii="Arial" w:eastAsia="宋体" w:hAnsi="Arial" w:cs="Arial"/>
          <w:color w:val="000000"/>
          <w:sz w:val="20"/>
          <w:szCs w:val="20"/>
        </w:rPr>
        <w:t>is increasing on a global basis. We are subject to a number of privacy and similar laws and regulations in the countries in which we operate and these laws and regulations will likely continue to evolve over time, both through regulatory and legislative ac</w:t>
      </w:r>
      <w:r>
        <w:rPr>
          <w:rFonts w:ascii="Arial" w:eastAsia="宋体" w:hAnsi="Arial" w:cs="Arial"/>
          <w:color w:val="000000"/>
          <w:sz w:val="20"/>
          <w:szCs w:val="20"/>
        </w:rPr>
        <w:t>tion and judicial decisions. In addition, compliance with these laws may restrict our ability to provide services to our customers that they may find to be valuable. For example, the General Data Protection Regulation (“GDPR”) became effective in May 2018.</w:t>
      </w:r>
      <w:r>
        <w:rPr>
          <w:rFonts w:ascii="Arial" w:eastAsia="宋体" w:hAnsi="Arial" w:cs="Arial"/>
          <w:color w:val="000000"/>
          <w:sz w:val="20"/>
          <w:szCs w:val="20"/>
        </w:rPr>
        <w:t xml:space="preserve"> The GDPR, which applies to all of our activities conducted from an establishment in the European Union or related to products and services offered in the European Union, imposes a range of new compliance obligations regarding the handling of personal data</w:t>
      </w:r>
      <w:r>
        <w:rPr>
          <w:rFonts w:ascii="Arial" w:eastAsia="宋体" w:hAnsi="Arial" w:cs="Arial"/>
          <w:color w:val="000000"/>
          <w:sz w:val="20"/>
          <w:szCs w:val="20"/>
        </w:rPr>
        <w:t xml:space="preserve">. The GDPR imposes significant new obligations and compliance with these obligations depends in part on how particular regulators interpret and apply them. If we fail to comply with the GDPR, or if regulators assert we have failed to comply with the GDPR, </w:t>
      </w:r>
      <w:r>
        <w:rPr>
          <w:rFonts w:ascii="Arial" w:eastAsia="宋体" w:hAnsi="Arial" w:cs="Arial"/>
          <w:color w:val="000000"/>
          <w:sz w:val="20"/>
          <w:szCs w:val="20"/>
        </w:rPr>
        <w:t>it may lead to regulatory enforcement actions, which can result in monetary penalties of up to 4% of worldwide revenue, private lawsuits, or reputational damage. In June 2021, the European Commission finalized recommendations in relation to cross border da</w:t>
      </w:r>
      <w:r>
        <w:rPr>
          <w:rFonts w:ascii="Arial" w:eastAsia="宋体" w:hAnsi="Arial" w:cs="Arial"/>
          <w:color w:val="000000"/>
          <w:sz w:val="20"/>
          <w:szCs w:val="20"/>
        </w:rPr>
        <w:t>ta transfers and published new versions of the Standard Contractual Clauses. The new requirements will require us to incur costs and expenses in order to comply and may impact the transfer of personal data throughout our organization and to third parties.</w:t>
      </w:r>
    </w:p>
    <w:p w14:paraId="22CFA26D" w14:textId="77777777" w:rsidR="002661BA" w:rsidRDefault="002661BA">
      <w:pPr>
        <w:ind w:firstLine="540"/>
        <w:jc w:val="both"/>
      </w:pPr>
    </w:p>
    <w:p w14:paraId="22CFA26E" w14:textId="77777777" w:rsidR="002661BA" w:rsidRDefault="00D972BC">
      <w:pPr>
        <w:ind w:firstLine="540"/>
        <w:jc w:val="both"/>
      </w:pPr>
      <w:r>
        <w:rPr>
          <w:rFonts w:ascii="Arial" w:eastAsia="宋体" w:hAnsi="Arial" w:cs="Arial"/>
          <w:color w:val="000000"/>
          <w:sz w:val="20"/>
          <w:szCs w:val="20"/>
        </w:rPr>
        <w:t>In the U.S., California has adopted the California Consumer Privacy Act of 2018 (“CCPA”), which became effective January 1, 2020 and which provides a new private right of action for data breaches and requires companies that process information on Californ</w:t>
      </w:r>
      <w:r>
        <w:rPr>
          <w:rFonts w:ascii="Arial" w:eastAsia="宋体" w:hAnsi="Arial" w:cs="Arial"/>
          <w:color w:val="000000"/>
          <w:sz w:val="20"/>
          <w:szCs w:val="20"/>
        </w:rPr>
        <w:t>ia residents to make new disclosures to consumers about their data collection, use and sharing practices and allow consumers to opt out of certain data sharing with third parties. Further, the California Privacy Rights Act, which was passed in November 202</w:t>
      </w:r>
      <w:r>
        <w:rPr>
          <w:rFonts w:ascii="Arial" w:eastAsia="宋体" w:hAnsi="Arial" w:cs="Arial"/>
          <w:color w:val="000000"/>
          <w:sz w:val="20"/>
          <w:szCs w:val="20"/>
        </w:rPr>
        <w:t>0 and is fully effective in January 2023, significantly modifies the CCPA. These modifications will require us to incur additional costs and expenses in our effort to comply. In addition to the CCPA, several other U.S. states have adopted or are considerin</w:t>
      </w:r>
      <w:r>
        <w:rPr>
          <w:rFonts w:ascii="Arial" w:eastAsia="宋体" w:hAnsi="Arial" w:cs="Arial"/>
          <w:color w:val="000000"/>
          <w:sz w:val="20"/>
          <w:szCs w:val="20"/>
        </w:rPr>
        <w:t>g adopting laws and regulations imposing obligations regarding the handling of personal data. Compliance with the GDPR, the CCPA, and other current and future applicable international and U.S. privacy, cybersecurity and related laws can be costly and time-</w:t>
      </w:r>
      <w:r>
        <w:rPr>
          <w:rFonts w:ascii="Arial" w:eastAsia="宋体" w:hAnsi="Arial" w:cs="Arial"/>
          <w:color w:val="000000"/>
          <w:sz w:val="20"/>
          <w:szCs w:val="20"/>
        </w:rPr>
        <w:t>consuming. Complying with these varying national and international requirements could cause us to incur substantial costs or require us to change our business practices in a manner adverse to our business and violations of privacy-related laws can result i</w:t>
      </w:r>
      <w:r>
        <w:rPr>
          <w:rFonts w:ascii="Arial" w:eastAsia="宋体" w:hAnsi="Arial" w:cs="Arial"/>
          <w:color w:val="000000"/>
          <w:sz w:val="20"/>
          <w:szCs w:val="20"/>
        </w:rPr>
        <w:t>n significant penalties.</w:t>
      </w:r>
    </w:p>
    <w:p w14:paraId="22CFA26F" w14:textId="77777777" w:rsidR="002661BA" w:rsidRDefault="002661BA">
      <w:pPr>
        <w:ind w:firstLine="540"/>
        <w:jc w:val="both"/>
      </w:pPr>
    </w:p>
    <w:p w14:paraId="22CFA270" w14:textId="77777777" w:rsidR="002661BA" w:rsidRDefault="00D972BC">
      <w:pPr>
        <w:ind w:firstLine="540"/>
        <w:jc w:val="both"/>
      </w:pPr>
      <w:r>
        <w:rPr>
          <w:rFonts w:ascii="Arial" w:eastAsia="宋体" w:hAnsi="Arial" w:cs="Arial"/>
          <w:color w:val="000000"/>
          <w:sz w:val="20"/>
          <w:szCs w:val="20"/>
        </w:rPr>
        <w:t>A determination that there have been violations of laws relating to our practices under communications-based laws could also expose us to significant damage awards, fines and other penalties that could, individually or in the aggr</w:t>
      </w:r>
      <w:r>
        <w:rPr>
          <w:rFonts w:ascii="Arial" w:eastAsia="宋体" w:hAnsi="Arial" w:cs="Arial"/>
          <w:color w:val="000000"/>
          <w:sz w:val="20"/>
          <w:szCs w:val="20"/>
        </w:rPr>
        <w:t xml:space="preserve">egate, materially harm our business. In particular, because of the enormous number of texts, emails and other communications we send to our users, communications laws that provide a specified monetary damage award or fine for each violation (such as those </w:t>
      </w:r>
      <w:r>
        <w:rPr>
          <w:rFonts w:ascii="Arial" w:eastAsia="宋体" w:hAnsi="Arial" w:cs="Arial"/>
          <w:color w:val="000000"/>
          <w:sz w:val="20"/>
          <w:szCs w:val="20"/>
        </w:rPr>
        <w:t>described below) could result in particularly large awards or fines.</w:t>
      </w:r>
    </w:p>
    <w:p w14:paraId="22CFA271" w14:textId="77777777" w:rsidR="002661BA" w:rsidRDefault="002661BA">
      <w:pPr>
        <w:ind w:firstLine="540"/>
        <w:jc w:val="both"/>
      </w:pPr>
    </w:p>
    <w:p w14:paraId="22CFA272" w14:textId="77777777" w:rsidR="002661BA" w:rsidRDefault="00D972BC">
      <w:pPr>
        <w:ind w:firstLine="540"/>
        <w:jc w:val="both"/>
      </w:pPr>
      <w:r>
        <w:rPr>
          <w:rFonts w:ascii="Arial" w:eastAsia="宋体" w:hAnsi="Arial" w:cs="Arial"/>
          <w:color w:val="000000"/>
          <w:sz w:val="20"/>
          <w:szCs w:val="20"/>
        </w:rPr>
        <w:t>For example, the Federal Communications Commission amended certain of its regulations under the Telephone Consumer Protection Act, or TCPA, in 2012 and 2013 in a manner that could increa</w:t>
      </w:r>
      <w:r>
        <w:rPr>
          <w:rFonts w:ascii="Arial" w:eastAsia="宋体" w:hAnsi="Arial" w:cs="Arial"/>
          <w:color w:val="000000"/>
          <w:sz w:val="20"/>
          <w:szCs w:val="20"/>
        </w:rPr>
        <w:t>se our exposure to liability for certain types of telephonic communication with customers, including but not limited to text messages to mobile phones. Under the TCPA, plaintiffs may seek actual monetary loss or statutory damages of $500 per violation, whi</w:t>
      </w:r>
      <w:r>
        <w:rPr>
          <w:rFonts w:ascii="Arial" w:eastAsia="宋体" w:hAnsi="Arial" w:cs="Arial"/>
          <w:color w:val="000000"/>
          <w:sz w:val="20"/>
          <w:szCs w:val="20"/>
        </w:rPr>
        <w:t>chever is greater, and courts may treble the damage award for willful or knowing violations. We are regularly subject to class-action lawsuits, as well as individual lawsuits, containing allegations that our businesses violated the TCPA. These lawsuits, an</w:t>
      </w:r>
      <w:r>
        <w:rPr>
          <w:rFonts w:ascii="Arial" w:eastAsia="宋体" w:hAnsi="Arial" w:cs="Arial"/>
          <w:color w:val="000000"/>
          <w:sz w:val="20"/>
          <w:szCs w:val="20"/>
        </w:rPr>
        <w:t xml:space="preserve">d other private lawsuits not currently alleged as class actions, seek damages (including statutory damages) and injunctive relief, among other remedies. Given the enormous number of communications we send to our users, a determination that there have been </w:t>
      </w:r>
      <w:r>
        <w:rPr>
          <w:rFonts w:ascii="Arial" w:eastAsia="宋体" w:hAnsi="Arial" w:cs="Arial"/>
          <w:color w:val="000000"/>
          <w:sz w:val="20"/>
          <w:szCs w:val="20"/>
        </w:rPr>
        <w:t>violations of the TCPA or other communications-based statutes could expose us to significant damage awards that could, individually or in the aggregate, materially harm our business.</w:t>
      </w:r>
    </w:p>
    <w:p w14:paraId="22CFA273" w14:textId="77777777" w:rsidR="002661BA" w:rsidRDefault="002661BA">
      <w:pPr>
        <w:ind w:firstLine="540"/>
        <w:jc w:val="both"/>
      </w:pPr>
    </w:p>
    <w:p w14:paraId="22CFA274" w14:textId="77777777" w:rsidR="002661BA" w:rsidRDefault="00D972BC">
      <w:pPr>
        <w:ind w:firstLine="540"/>
        <w:jc w:val="both"/>
      </w:pPr>
      <w:r>
        <w:rPr>
          <w:rFonts w:ascii="Arial" w:eastAsia="宋体" w:hAnsi="Arial" w:cs="Arial"/>
          <w:color w:val="000000"/>
          <w:sz w:val="20"/>
          <w:szCs w:val="20"/>
        </w:rPr>
        <w:t>We post on our websites our privacy policies and practices concerning th</w:t>
      </w:r>
      <w:r>
        <w:rPr>
          <w:rFonts w:ascii="Arial" w:eastAsia="宋体" w:hAnsi="Arial" w:cs="Arial"/>
          <w:color w:val="000000"/>
          <w:sz w:val="20"/>
          <w:szCs w:val="20"/>
        </w:rPr>
        <w:t>e collection, use and disclosure of user data. Any failure, or perceived failure, by us to comply with our posted privacy policies or with any regulatory requirements or orders or other federal, state or international privacy or consumer protection-related</w:t>
      </w:r>
      <w:r>
        <w:rPr>
          <w:rFonts w:ascii="Arial" w:eastAsia="宋体" w:hAnsi="Arial" w:cs="Arial"/>
          <w:color w:val="000000"/>
          <w:sz w:val="20"/>
          <w:szCs w:val="20"/>
        </w:rPr>
        <w:t xml:space="preserve"> laws and </w:t>
      </w:r>
    </w:p>
    <w:p w14:paraId="22CFA275" w14:textId="77777777" w:rsidR="002661BA" w:rsidRDefault="00D972BC">
      <w:pPr>
        <w:jc w:val="center"/>
      </w:pPr>
      <w:r>
        <w:rPr>
          <w:rFonts w:ascii="Arial" w:eastAsia="宋体" w:hAnsi="Arial" w:cs="Arial"/>
          <w:color w:val="000000"/>
          <w:sz w:val="18"/>
          <w:szCs w:val="18"/>
        </w:rPr>
        <w:t>21</w:t>
      </w:r>
    </w:p>
    <w:p w14:paraId="22CFA276" w14:textId="77777777" w:rsidR="002661BA" w:rsidRDefault="00D972BC">
      <w:r>
        <w:pict w14:anchorId="22CFE4C4">
          <v:rect id="_x0000_i1045" style="width:415.3pt;height:1.5pt" o:hralign="center" o:hrstd="t" o:hr="t" fillcolor="#a0a0a0" stroked="f"/>
        </w:pict>
      </w:r>
    </w:p>
    <w:p w14:paraId="22CFA277" w14:textId="77777777" w:rsidR="002661BA" w:rsidRDefault="00D972BC">
      <w:hyperlink r:id="rId47" w:anchor="id0d7a71b05ce452ea9fdb54f3cb359c7_7" w:history="1">
        <w:r>
          <w:rPr>
            <w:rStyle w:val="a5"/>
            <w:rFonts w:ascii="Arial" w:eastAsia="宋体" w:hAnsi="Arial" w:cs="Arial"/>
            <w:sz w:val="18"/>
            <w:szCs w:val="18"/>
          </w:rPr>
          <w:t>Table of Contents</w:t>
        </w:r>
      </w:hyperlink>
    </w:p>
    <w:p w14:paraId="22CFA278" w14:textId="77777777" w:rsidR="002661BA" w:rsidRDefault="00D972BC">
      <w:pPr>
        <w:jc w:val="both"/>
      </w:pPr>
      <w:r>
        <w:rPr>
          <w:rFonts w:ascii="Arial" w:eastAsia="宋体" w:hAnsi="Arial" w:cs="Arial"/>
          <w:color w:val="000000"/>
          <w:sz w:val="20"/>
          <w:szCs w:val="20"/>
        </w:rPr>
        <w:t xml:space="preserve">regulations, including the GDPR and the CCPA, could result in proceedings or actions </w:t>
      </w:r>
      <w:r>
        <w:rPr>
          <w:rFonts w:ascii="Arial" w:eastAsia="宋体" w:hAnsi="Arial" w:cs="Arial"/>
          <w:color w:val="000000"/>
          <w:sz w:val="20"/>
          <w:szCs w:val="20"/>
        </w:rPr>
        <w:t>against us by governmental entities or others (e.g., class action privacy litigation), subject us to significant penalties and negative publicity, require us to change our business practices, increase our costs and adversely affect our business. Data colle</w:t>
      </w:r>
      <w:r>
        <w:rPr>
          <w:rFonts w:ascii="Arial" w:eastAsia="宋体" w:hAnsi="Arial" w:cs="Arial"/>
          <w:color w:val="000000"/>
          <w:sz w:val="20"/>
          <w:szCs w:val="20"/>
        </w:rPr>
        <w:t>ction, privacy and security have become the subject of increasing public concern. If Internet and mobile users were to reduce their use of our websites, mobile platforms, products, and services as a result of these concerns, or not consent to the use of th</w:t>
      </w:r>
      <w:r>
        <w:rPr>
          <w:rFonts w:ascii="Arial" w:eastAsia="宋体" w:hAnsi="Arial" w:cs="Arial"/>
          <w:color w:val="000000"/>
          <w:sz w:val="20"/>
          <w:szCs w:val="20"/>
        </w:rPr>
        <w:t>eir personal information for certain marketing or advertising purposes, our business could be harmed. We also have experienced security breaches and likely will in the future, which themselves may result in a violation of these laws.</w:t>
      </w:r>
    </w:p>
    <w:p w14:paraId="22CFA279" w14:textId="77777777" w:rsidR="002661BA" w:rsidRDefault="002661BA">
      <w:pPr>
        <w:ind w:firstLine="540"/>
        <w:jc w:val="both"/>
      </w:pPr>
    </w:p>
    <w:p w14:paraId="22CFA27A" w14:textId="77777777" w:rsidR="002661BA" w:rsidRDefault="00D972BC">
      <w:pPr>
        <w:ind w:firstLine="540"/>
        <w:jc w:val="both"/>
      </w:pPr>
      <w:r>
        <w:rPr>
          <w:rFonts w:ascii="Arial" w:eastAsia="宋体" w:hAnsi="Arial" w:cs="Arial"/>
          <w:i/>
          <w:iCs/>
          <w:color w:val="000000"/>
          <w:sz w:val="20"/>
          <w:szCs w:val="20"/>
        </w:rPr>
        <w:t>Other laws and regula</w:t>
      </w:r>
      <w:r>
        <w:rPr>
          <w:rFonts w:ascii="Arial" w:eastAsia="宋体" w:hAnsi="Arial" w:cs="Arial"/>
          <w:i/>
          <w:iCs/>
          <w:color w:val="000000"/>
          <w:sz w:val="20"/>
          <w:szCs w:val="20"/>
        </w:rPr>
        <w:t>tions could harm our business.</w:t>
      </w:r>
    </w:p>
    <w:p w14:paraId="22CFA27B" w14:textId="77777777" w:rsidR="002661BA" w:rsidRDefault="002661BA">
      <w:pPr>
        <w:ind w:firstLine="540"/>
        <w:jc w:val="both"/>
      </w:pPr>
    </w:p>
    <w:p w14:paraId="22CFA27C" w14:textId="77777777" w:rsidR="002661BA" w:rsidRDefault="00D972BC">
      <w:pPr>
        <w:ind w:firstLine="540"/>
        <w:jc w:val="both"/>
      </w:pPr>
      <w:r>
        <w:rPr>
          <w:rFonts w:ascii="Arial" w:eastAsia="宋体" w:hAnsi="Arial" w:cs="Arial"/>
          <w:color w:val="000000"/>
          <w:sz w:val="20"/>
          <w:szCs w:val="20"/>
        </w:rPr>
        <w:t>It is not always clear how laws and regulations governing matters relevant to our business, such as property ownership, copyrights, trademarks, and other intellectual property issues, parallel imports and distribution contro</w:t>
      </w:r>
      <w:r>
        <w:rPr>
          <w:rFonts w:ascii="Arial" w:eastAsia="宋体" w:hAnsi="Arial" w:cs="Arial"/>
          <w:color w:val="000000"/>
          <w:sz w:val="20"/>
          <w:szCs w:val="20"/>
        </w:rPr>
        <w:t>ls, taxation, libel and defamation, and obscenity apply to our businesses. Many of these laws were adopted prior to the advent of the Internet, mobile, and related technologies and, as a result, do not contemplate or address the unique issues of the Intern</w:t>
      </w:r>
      <w:r>
        <w:rPr>
          <w:rFonts w:ascii="Arial" w:eastAsia="宋体" w:hAnsi="Arial" w:cs="Arial"/>
          <w:color w:val="000000"/>
          <w:sz w:val="20"/>
          <w:szCs w:val="20"/>
        </w:rPr>
        <w:t>et and related technologies. Many of these laws, including some of those that do reference the Internet are subject to interpretation by the courts on an ongoing basis and the resulting uncertainty in the scope and application of these laws and regulations</w:t>
      </w:r>
      <w:r>
        <w:rPr>
          <w:rFonts w:ascii="Arial" w:eastAsia="宋体" w:hAnsi="Arial" w:cs="Arial"/>
          <w:color w:val="000000"/>
          <w:sz w:val="20"/>
          <w:szCs w:val="20"/>
        </w:rPr>
        <w:t xml:space="preserve"> increases the risk that we will be subject to private claims and governmental actions alleging violations of those laws and regulations. </w:t>
      </w:r>
    </w:p>
    <w:p w14:paraId="22CFA27D" w14:textId="77777777" w:rsidR="002661BA" w:rsidRDefault="002661BA">
      <w:pPr>
        <w:ind w:firstLine="540"/>
        <w:jc w:val="both"/>
      </w:pPr>
    </w:p>
    <w:p w14:paraId="22CFA27E" w14:textId="77777777" w:rsidR="002661BA" w:rsidRDefault="00D972BC">
      <w:pPr>
        <w:ind w:firstLine="540"/>
        <w:jc w:val="both"/>
      </w:pPr>
      <w:r>
        <w:rPr>
          <w:rFonts w:ascii="Arial" w:eastAsia="宋体" w:hAnsi="Arial" w:cs="Arial"/>
          <w:color w:val="000000"/>
          <w:sz w:val="20"/>
          <w:szCs w:val="20"/>
        </w:rPr>
        <w:t>As our activities, the products and services we offer, our investment in other companies, and our geographical scope</w:t>
      </w:r>
      <w:r>
        <w:rPr>
          <w:rFonts w:ascii="Arial" w:eastAsia="宋体" w:hAnsi="Arial" w:cs="Arial"/>
          <w:color w:val="000000"/>
          <w:sz w:val="20"/>
          <w:szCs w:val="20"/>
        </w:rPr>
        <w:t xml:space="preserve"> continue to expand, regulatory agencies or courts may claim or hold that we or our users are subject to additional requirements (including licensure) or prohibited from conducting our business in their jurisdiction, either generally or with respect to cer</w:t>
      </w:r>
      <w:r>
        <w:rPr>
          <w:rFonts w:ascii="Arial" w:eastAsia="宋体" w:hAnsi="Arial" w:cs="Arial"/>
          <w:color w:val="000000"/>
          <w:sz w:val="20"/>
          <w:szCs w:val="20"/>
        </w:rPr>
        <w:t>tain actions. For example, we have the ability to acquire investments in other companies (such as Adevinta, Adyen, KakaoBank and Gmarket, formerly known as Apollo Korea) that raise the potential for us to be deemed an investment company as defined by the I</w:t>
      </w:r>
      <w:r>
        <w:rPr>
          <w:rFonts w:ascii="Arial" w:eastAsia="宋体" w:hAnsi="Arial" w:cs="Arial"/>
          <w:color w:val="000000"/>
          <w:sz w:val="20"/>
          <w:szCs w:val="20"/>
        </w:rPr>
        <w:t>nvestment Company Act of 1940 (the “Investment Company Act”). While we intend to conduct our operations such that we will not be deemed an investment company, such a determination would require us to initiate burdensome compliance requirements and comply w</w:t>
      </w:r>
      <w:r>
        <w:rPr>
          <w:rFonts w:ascii="Arial" w:eastAsia="宋体" w:hAnsi="Arial" w:cs="Arial"/>
          <w:color w:val="000000"/>
          <w:sz w:val="20"/>
          <w:szCs w:val="20"/>
        </w:rPr>
        <w:t>ith restrictions imposed by the Investment Company Act that would limit our activities, including limitations on our capital structure and our ability to transact with affiliates, which would have an adverse effect on our financial condition. Further, fina</w:t>
      </w:r>
      <w:r>
        <w:rPr>
          <w:rFonts w:ascii="Arial" w:eastAsia="宋体" w:hAnsi="Arial" w:cs="Arial"/>
          <w:color w:val="000000"/>
          <w:sz w:val="20"/>
          <w:szCs w:val="20"/>
        </w:rPr>
        <w:t xml:space="preserve">ncial and political events have increased the level of regulatory scrutiny on large companies, and regulatory agencies may view matters or interpret laws and regulations differently than they have in the past and in a manner adverse to our businesses. </w:t>
      </w:r>
    </w:p>
    <w:p w14:paraId="22CFA27F" w14:textId="77777777" w:rsidR="002661BA" w:rsidRDefault="002661BA">
      <w:pPr>
        <w:ind w:firstLine="540"/>
        <w:jc w:val="both"/>
      </w:pPr>
    </w:p>
    <w:p w14:paraId="22CFA280" w14:textId="77777777" w:rsidR="002661BA" w:rsidRDefault="00D972BC">
      <w:pPr>
        <w:ind w:firstLine="540"/>
        <w:jc w:val="both"/>
      </w:pPr>
      <w:r>
        <w:rPr>
          <w:rFonts w:ascii="Arial" w:eastAsia="宋体" w:hAnsi="Arial" w:cs="Arial"/>
          <w:color w:val="000000"/>
          <w:sz w:val="20"/>
          <w:szCs w:val="20"/>
        </w:rPr>
        <w:t>Nu</w:t>
      </w:r>
      <w:r>
        <w:rPr>
          <w:rFonts w:ascii="Arial" w:eastAsia="宋体" w:hAnsi="Arial" w:cs="Arial"/>
          <w:color w:val="000000"/>
          <w:sz w:val="20"/>
          <w:szCs w:val="20"/>
        </w:rPr>
        <w:t>merous U.S. states and foreign jurisdictions, including the State of California, have regulations regarding “auctions” and the handling of property by “secondhand dealers” or “pawnbrokers.” Several states and some foreign jurisdictions have attempted to im</w:t>
      </w:r>
      <w:r>
        <w:rPr>
          <w:rFonts w:ascii="Arial" w:eastAsia="宋体" w:hAnsi="Arial" w:cs="Arial"/>
          <w:color w:val="000000"/>
          <w:sz w:val="20"/>
          <w:szCs w:val="20"/>
        </w:rPr>
        <w:t>pose such regulations upon us or our users, and others may attempt to do so in the future. Attempted enforcement of these laws against some of our users appears to be increasing and we could be required to change the way we or our users do business in ways</w:t>
      </w:r>
      <w:r>
        <w:rPr>
          <w:rFonts w:ascii="Arial" w:eastAsia="宋体" w:hAnsi="Arial" w:cs="Arial"/>
          <w:color w:val="000000"/>
          <w:sz w:val="20"/>
          <w:szCs w:val="20"/>
        </w:rPr>
        <w:t xml:space="preserve"> that increase costs or reduce revenues, such as forcing us to prohibit listings of certain items or restrict certain listing formats in some locations. We could also be subject to fines or other penalties, and any of these outcomes could harm our business</w:t>
      </w:r>
      <w:r>
        <w:rPr>
          <w:rFonts w:ascii="Arial" w:eastAsia="宋体" w:hAnsi="Arial" w:cs="Arial"/>
          <w:color w:val="000000"/>
          <w:sz w:val="20"/>
          <w:szCs w:val="20"/>
        </w:rPr>
        <w:t>.</w:t>
      </w:r>
    </w:p>
    <w:p w14:paraId="22CFA281" w14:textId="77777777" w:rsidR="002661BA" w:rsidRDefault="002661BA">
      <w:pPr>
        <w:ind w:firstLine="540"/>
        <w:jc w:val="both"/>
      </w:pPr>
    </w:p>
    <w:p w14:paraId="22CFA282" w14:textId="77777777" w:rsidR="002661BA" w:rsidRDefault="00D972BC">
      <w:pPr>
        <w:ind w:firstLine="540"/>
        <w:jc w:val="both"/>
      </w:pPr>
      <w:r>
        <w:rPr>
          <w:rFonts w:ascii="Arial" w:eastAsia="宋体" w:hAnsi="Arial" w:cs="Arial"/>
          <w:color w:val="000000"/>
          <w:sz w:val="20"/>
          <w:szCs w:val="20"/>
        </w:rPr>
        <w:t xml:space="preserve">As we expand and localize our international activities, we are increasingly becoming obligated to comply with the laws of the countries or markets in which we operate. In addition, because our services are accessible worldwide and we </w:t>
      </w:r>
      <w:r>
        <w:rPr>
          <w:rFonts w:ascii="Arial" w:eastAsia="宋体" w:hAnsi="Arial" w:cs="Arial"/>
          <w:color w:val="000000"/>
          <w:sz w:val="20"/>
          <w:szCs w:val="20"/>
        </w:rPr>
        <w:t>facilitate sales of goods and provide services to users worldwide, one or more jurisdictions may claim that we or our users are required to comply with their laws based on the location of our servers or one or more of our users, or the location of the prod</w:t>
      </w:r>
      <w:r>
        <w:rPr>
          <w:rFonts w:ascii="Arial" w:eastAsia="宋体" w:hAnsi="Arial" w:cs="Arial"/>
          <w:color w:val="000000"/>
          <w:sz w:val="20"/>
          <w:szCs w:val="20"/>
        </w:rPr>
        <w:t>uct or service being sold or provided in an ecommerce transaction. Laws regulating Internet, mobile and ecommerce technologies outside of the United States are generally less favorable to us than those in the United States. Compliance may be more costly or</w:t>
      </w:r>
      <w:r>
        <w:rPr>
          <w:rFonts w:ascii="Arial" w:eastAsia="宋体" w:hAnsi="Arial" w:cs="Arial"/>
          <w:color w:val="000000"/>
          <w:sz w:val="20"/>
          <w:szCs w:val="20"/>
        </w:rPr>
        <w:t xml:space="preserve"> may require us to change our business practices or restrict our service offerings, and the imposition of any regulations on us or our users may harm our business. In addition, we may be subject to multiple overlapping legal or regulatory regimes that impo</w:t>
      </w:r>
      <w:r>
        <w:rPr>
          <w:rFonts w:ascii="Arial" w:eastAsia="宋体" w:hAnsi="Arial" w:cs="Arial"/>
          <w:color w:val="000000"/>
          <w:sz w:val="20"/>
          <w:szCs w:val="20"/>
        </w:rPr>
        <w:t>se conflicting requirements on us (e.g., in cross-border trade). Our alleged failure to comply with foreign laws could subject us to penalties ranging from criminal prosecution to significant fines to bans on our services, in addition to the significant co</w:t>
      </w:r>
      <w:r>
        <w:rPr>
          <w:rFonts w:ascii="Arial" w:eastAsia="宋体" w:hAnsi="Arial" w:cs="Arial"/>
          <w:color w:val="000000"/>
          <w:sz w:val="20"/>
          <w:szCs w:val="20"/>
        </w:rPr>
        <w:t>sts we may incur in defending against such actions.</w:t>
      </w:r>
    </w:p>
    <w:p w14:paraId="22CFA283" w14:textId="77777777" w:rsidR="002661BA" w:rsidRDefault="002661BA">
      <w:pPr>
        <w:ind w:firstLine="540"/>
        <w:jc w:val="both"/>
      </w:pPr>
    </w:p>
    <w:p w14:paraId="22CFA284" w14:textId="77777777" w:rsidR="002661BA" w:rsidRDefault="00D972BC">
      <w:pPr>
        <w:ind w:firstLine="540"/>
        <w:jc w:val="both"/>
      </w:pPr>
      <w:r>
        <w:rPr>
          <w:rFonts w:ascii="Arial" w:eastAsia="宋体" w:hAnsi="Arial" w:cs="Arial"/>
          <w:i/>
          <w:iCs/>
          <w:color w:val="000000"/>
          <w:sz w:val="20"/>
          <w:szCs w:val="20"/>
        </w:rPr>
        <w:t>We are regularly subject to general litigation, regulatory disputes, and government inquiries.</w:t>
      </w:r>
    </w:p>
    <w:p w14:paraId="22CFA285" w14:textId="77777777" w:rsidR="002661BA" w:rsidRDefault="002661BA">
      <w:pPr>
        <w:ind w:firstLine="540"/>
        <w:jc w:val="both"/>
      </w:pPr>
    </w:p>
    <w:p w14:paraId="22CFA286" w14:textId="77777777" w:rsidR="002661BA" w:rsidRDefault="00D972BC">
      <w:pPr>
        <w:ind w:firstLine="540"/>
        <w:jc w:val="both"/>
      </w:pPr>
      <w:r>
        <w:rPr>
          <w:rFonts w:ascii="Arial" w:eastAsia="宋体" w:hAnsi="Arial" w:cs="Arial"/>
          <w:color w:val="000000"/>
          <w:sz w:val="20"/>
          <w:szCs w:val="20"/>
        </w:rPr>
        <w:t xml:space="preserve">We are regularly subject to claims, lawsuits (including class actions and individual lawsuits), government </w:t>
      </w:r>
      <w:r>
        <w:rPr>
          <w:rFonts w:ascii="Arial" w:eastAsia="宋体" w:hAnsi="Arial" w:cs="Arial"/>
          <w:color w:val="000000"/>
          <w:sz w:val="20"/>
          <w:szCs w:val="20"/>
        </w:rPr>
        <w:t xml:space="preserve">investigations, and other proceedings involving competition and antitrust, intellectual property, privacy, consumer </w:t>
      </w:r>
    </w:p>
    <w:p w14:paraId="22CFA287" w14:textId="77777777" w:rsidR="002661BA" w:rsidRDefault="00D972BC">
      <w:pPr>
        <w:jc w:val="center"/>
      </w:pPr>
      <w:r>
        <w:rPr>
          <w:rFonts w:ascii="Arial" w:eastAsia="宋体" w:hAnsi="Arial" w:cs="Arial"/>
          <w:color w:val="000000"/>
          <w:sz w:val="18"/>
          <w:szCs w:val="18"/>
        </w:rPr>
        <w:t>22</w:t>
      </w:r>
    </w:p>
    <w:p w14:paraId="22CFA288" w14:textId="77777777" w:rsidR="002661BA" w:rsidRDefault="00D972BC">
      <w:r>
        <w:pict w14:anchorId="22CFE4C5">
          <v:rect id="_x0000_i1046" style="width:415.3pt;height:1.5pt" o:hralign="center" o:hrstd="t" o:hr="t" fillcolor="#a0a0a0" stroked="f"/>
        </w:pict>
      </w:r>
    </w:p>
    <w:p w14:paraId="22CFA289" w14:textId="77777777" w:rsidR="002661BA" w:rsidRDefault="00D972BC">
      <w:hyperlink r:id="rId48" w:anchor="id0d7a71b05ce452ea9fdb54f3cb359c7_7" w:history="1">
        <w:r>
          <w:rPr>
            <w:rStyle w:val="a5"/>
            <w:rFonts w:ascii="Arial" w:eastAsia="宋体" w:hAnsi="Arial" w:cs="Arial"/>
            <w:sz w:val="18"/>
            <w:szCs w:val="18"/>
          </w:rPr>
          <w:t>Table of Contents</w:t>
        </w:r>
      </w:hyperlink>
    </w:p>
    <w:p w14:paraId="22CFA28A" w14:textId="77777777" w:rsidR="002661BA" w:rsidRDefault="00D972BC">
      <w:pPr>
        <w:jc w:val="both"/>
      </w:pPr>
      <w:r>
        <w:rPr>
          <w:rFonts w:ascii="Arial" w:eastAsia="宋体" w:hAnsi="Arial" w:cs="Arial"/>
          <w:color w:val="000000"/>
          <w:sz w:val="20"/>
          <w:szCs w:val="20"/>
        </w:rPr>
        <w:t xml:space="preserve">protection, accessibility claims, securities, tax, labor and employment, commercial disputes, content generated by our users, services and other matters. The number and significance of these disputes and inquiries have </w:t>
      </w:r>
      <w:r>
        <w:rPr>
          <w:rFonts w:ascii="Arial" w:eastAsia="宋体" w:hAnsi="Arial" w:cs="Arial"/>
          <w:color w:val="000000"/>
          <w:sz w:val="20"/>
          <w:szCs w:val="20"/>
        </w:rPr>
        <w:t>increased as our Company has grown larger, our businesses have expanded in scope and geographic reach, and our products and services have increased in complexity. As the global regulatory and legal landscape evolves, we may also become subject to product l</w:t>
      </w:r>
      <w:r>
        <w:rPr>
          <w:rFonts w:ascii="Arial" w:eastAsia="宋体" w:hAnsi="Arial" w:cs="Arial"/>
          <w:color w:val="000000"/>
          <w:sz w:val="20"/>
          <w:szCs w:val="20"/>
        </w:rPr>
        <w:t>iability claims when products sold by third parties using our platforms result in personal injury, or illness, or death or injury to property.</w:t>
      </w:r>
    </w:p>
    <w:p w14:paraId="22CFA28B" w14:textId="77777777" w:rsidR="002661BA" w:rsidRDefault="002661BA">
      <w:pPr>
        <w:ind w:firstLine="540"/>
        <w:jc w:val="both"/>
      </w:pPr>
    </w:p>
    <w:p w14:paraId="22CFA28C" w14:textId="77777777" w:rsidR="002661BA" w:rsidRDefault="00D972BC">
      <w:pPr>
        <w:ind w:firstLine="540"/>
        <w:jc w:val="both"/>
      </w:pPr>
      <w:r>
        <w:rPr>
          <w:rFonts w:ascii="Arial" w:eastAsia="宋体" w:hAnsi="Arial" w:cs="Arial"/>
          <w:color w:val="000000"/>
          <w:sz w:val="20"/>
          <w:szCs w:val="20"/>
        </w:rPr>
        <w:t>The outcome and impact of such claims, lawsuits, government investigations, and other proceedings cannot be pred</w:t>
      </w:r>
      <w:r>
        <w:rPr>
          <w:rFonts w:ascii="Arial" w:eastAsia="宋体" w:hAnsi="Arial" w:cs="Arial"/>
          <w:color w:val="000000"/>
          <w:sz w:val="20"/>
          <w:szCs w:val="20"/>
        </w:rPr>
        <w:t>icted with certainty. Regardless of the outcome, such investigations and proceedings can have an adverse impact on us because of legal costs, diversion of management resources, and other factors. Determining reserves for our pending litigation and other pr</w:t>
      </w:r>
      <w:r>
        <w:rPr>
          <w:rFonts w:ascii="Arial" w:eastAsia="宋体" w:hAnsi="Arial" w:cs="Arial"/>
          <w:color w:val="000000"/>
          <w:sz w:val="20"/>
          <w:szCs w:val="20"/>
        </w:rPr>
        <w:t>oceedings is a complex, fact-intensive process that is subject to judgment calls. It is possible that a resolution of one or more such proceedings could require us to make substantial payments to satisfy judgments, fines or penalties or to settle claims or</w:t>
      </w:r>
      <w:r>
        <w:rPr>
          <w:rFonts w:ascii="Arial" w:eastAsia="宋体" w:hAnsi="Arial" w:cs="Arial"/>
          <w:color w:val="000000"/>
          <w:sz w:val="20"/>
          <w:szCs w:val="20"/>
        </w:rPr>
        <w:t xml:space="preserve"> proceedings, any of which could harm our business. These proceedings could also result in reputational harm, criminal sanctions, consent decrees, or orders preventing us from offering certain products, or services, or requiring a change in our business pr</w:t>
      </w:r>
      <w:r>
        <w:rPr>
          <w:rFonts w:ascii="Arial" w:eastAsia="宋体" w:hAnsi="Arial" w:cs="Arial"/>
          <w:color w:val="000000"/>
          <w:sz w:val="20"/>
          <w:szCs w:val="20"/>
        </w:rPr>
        <w:t xml:space="preserve">actices in costly ways, or requiring development of non-infringing or otherwise altered products or technologies. Any of these consequences could harm our business. </w:t>
      </w:r>
    </w:p>
    <w:p w14:paraId="22CFA28D" w14:textId="77777777" w:rsidR="002661BA" w:rsidRDefault="002661BA">
      <w:pPr>
        <w:ind w:firstLine="540"/>
        <w:jc w:val="both"/>
      </w:pPr>
    </w:p>
    <w:p w14:paraId="22CFA28E" w14:textId="77777777" w:rsidR="002661BA" w:rsidRDefault="00D972BC">
      <w:pPr>
        <w:ind w:firstLine="540"/>
        <w:jc w:val="both"/>
      </w:pPr>
      <w:r>
        <w:rPr>
          <w:rFonts w:ascii="Arial" w:eastAsia="宋体" w:hAnsi="Arial" w:cs="Arial"/>
          <w:i/>
          <w:iCs/>
          <w:color w:val="000000"/>
          <w:sz w:val="20"/>
          <w:szCs w:val="20"/>
        </w:rPr>
        <w:t>We are subject to regulatory activity and antitrust litigation under competition laws tha</w:t>
      </w:r>
      <w:r>
        <w:rPr>
          <w:rFonts w:ascii="Arial" w:eastAsia="宋体" w:hAnsi="Arial" w:cs="Arial"/>
          <w:i/>
          <w:iCs/>
          <w:color w:val="000000"/>
          <w:sz w:val="20"/>
          <w:szCs w:val="20"/>
        </w:rPr>
        <w:t>t could adversely impact our business.</w:t>
      </w:r>
    </w:p>
    <w:p w14:paraId="22CFA28F" w14:textId="77777777" w:rsidR="002661BA" w:rsidRDefault="002661BA">
      <w:pPr>
        <w:ind w:firstLine="540"/>
        <w:jc w:val="both"/>
      </w:pPr>
    </w:p>
    <w:p w14:paraId="22CFA290" w14:textId="77777777" w:rsidR="002661BA" w:rsidRDefault="00D972BC">
      <w:pPr>
        <w:ind w:firstLine="540"/>
        <w:jc w:val="both"/>
      </w:pPr>
      <w:r>
        <w:rPr>
          <w:rFonts w:ascii="Arial" w:eastAsia="宋体" w:hAnsi="Arial" w:cs="Arial"/>
          <w:color w:val="000000"/>
          <w:sz w:val="20"/>
          <w:szCs w:val="20"/>
        </w:rPr>
        <w:t>We are subject to scrutiny by various government agencies under U.S. and foreign laws and regulations, including antitrust and competition laws. Some jurisdictions also provide private rights of action for competitor</w:t>
      </w:r>
      <w:r>
        <w:rPr>
          <w:rFonts w:ascii="Arial" w:eastAsia="宋体" w:hAnsi="Arial" w:cs="Arial"/>
          <w:color w:val="000000"/>
          <w:sz w:val="20"/>
          <w:szCs w:val="20"/>
        </w:rPr>
        <w:t>s or consumers to assert claims of anti-competitive conduct. Other companies and government agencies have in the past and may in the future allege that our actions violate the antitrust or competition laws of the United States, individual states, the Europ</w:t>
      </w:r>
      <w:r>
        <w:rPr>
          <w:rFonts w:ascii="Arial" w:eastAsia="宋体" w:hAnsi="Arial" w:cs="Arial"/>
          <w:color w:val="000000"/>
          <w:sz w:val="20"/>
          <w:szCs w:val="20"/>
        </w:rPr>
        <w:t>ean Union or other countries, or otherwise constitute unfair competition. An increasing number of governments are regulating competition law activities, including increased scrutiny in large markets such as China. Our business partnerships or agreements or</w:t>
      </w:r>
      <w:r>
        <w:rPr>
          <w:rFonts w:ascii="Arial" w:eastAsia="宋体" w:hAnsi="Arial" w:cs="Arial"/>
          <w:color w:val="000000"/>
          <w:sz w:val="20"/>
          <w:szCs w:val="20"/>
        </w:rPr>
        <w:t xml:space="preserve"> arrangements with customers or other companies could give rise to regulatory action or antitrust litigation. Some regulators, particularly those outside of the United States, may perceive our business to be used so broadly that otherwise uncontroversial b</w:t>
      </w:r>
      <w:r>
        <w:rPr>
          <w:rFonts w:ascii="Arial" w:eastAsia="宋体" w:hAnsi="Arial" w:cs="Arial"/>
          <w:color w:val="000000"/>
          <w:sz w:val="20"/>
          <w:szCs w:val="20"/>
        </w:rPr>
        <w:t xml:space="preserve">usiness practices could be deemed anticompetitive. Certain competition authorities have conducted market studies of our industries. Such claims and investigations, even if without foundation, may be very expensive to defend, involve negative publicity and </w:t>
      </w:r>
      <w:r>
        <w:rPr>
          <w:rFonts w:ascii="Arial" w:eastAsia="宋体" w:hAnsi="Arial" w:cs="Arial"/>
          <w:color w:val="000000"/>
          <w:sz w:val="20"/>
          <w:szCs w:val="20"/>
        </w:rPr>
        <w:t>substantial diversion of management time and effort and could result in significant judgments against us or require us to change our business practices.</w:t>
      </w:r>
    </w:p>
    <w:p w14:paraId="22CFA291" w14:textId="77777777" w:rsidR="002661BA" w:rsidRDefault="002661BA">
      <w:pPr>
        <w:ind w:firstLine="540"/>
        <w:jc w:val="both"/>
      </w:pPr>
    </w:p>
    <w:p w14:paraId="22CFA292" w14:textId="77777777" w:rsidR="002661BA" w:rsidRDefault="00D972BC">
      <w:pPr>
        <w:ind w:firstLine="540"/>
        <w:jc w:val="both"/>
      </w:pPr>
      <w:r>
        <w:rPr>
          <w:rFonts w:ascii="Arial" w:eastAsia="宋体" w:hAnsi="Arial" w:cs="Arial"/>
          <w:i/>
          <w:iCs/>
          <w:color w:val="000000"/>
          <w:sz w:val="20"/>
          <w:szCs w:val="20"/>
        </w:rPr>
        <w:t>The listing or sale by our users of certain items, including items that allegedly infringe the intelle</w:t>
      </w:r>
      <w:r>
        <w:rPr>
          <w:rFonts w:ascii="Arial" w:eastAsia="宋体" w:hAnsi="Arial" w:cs="Arial"/>
          <w:i/>
          <w:iCs/>
          <w:color w:val="000000"/>
          <w:sz w:val="20"/>
          <w:szCs w:val="20"/>
        </w:rPr>
        <w:t>ctual property rights of rights owners, including pirated or counterfeit items, illegal items or items used in an illegal manner may harm our business.</w:t>
      </w:r>
    </w:p>
    <w:p w14:paraId="22CFA293" w14:textId="77777777" w:rsidR="002661BA" w:rsidRDefault="002661BA">
      <w:pPr>
        <w:ind w:firstLine="540"/>
        <w:jc w:val="both"/>
      </w:pPr>
    </w:p>
    <w:p w14:paraId="22CFA294" w14:textId="77777777" w:rsidR="002661BA" w:rsidRDefault="00D972BC">
      <w:pPr>
        <w:ind w:firstLine="540"/>
        <w:jc w:val="both"/>
      </w:pPr>
      <w:r>
        <w:rPr>
          <w:rFonts w:ascii="Arial" w:eastAsia="宋体" w:hAnsi="Arial" w:cs="Arial"/>
          <w:color w:val="000000"/>
          <w:sz w:val="20"/>
          <w:szCs w:val="20"/>
        </w:rPr>
        <w:t>The listing or sale by our users of unlawful, counterfeit or stolen goods or unlawful services, or sale</w:t>
      </w:r>
      <w:r>
        <w:rPr>
          <w:rFonts w:ascii="Arial" w:eastAsia="宋体" w:hAnsi="Arial" w:cs="Arial"/>
          <w:color w:val="000000"/>
          <w:sz w:val="20"/>
          <w:szCs w:val="20"/>
        </w:rPr>
        <w:t xml:space="preserve"> of goods or services in an unlawful manner, has resulted and may continue to result in allegations of civil or criminal liability for unlawful activities against us (including the employees and directors of our various entities) involving activities carri</w:t>
      </w:r>
      <w:r>
        <w:rPr>
          <w:rFonts w:ascii="Arial" w:eastAsia="宋体" w:hAnsi="Arial" w:cs="Arial"/>
          <w:color w:val="000000"/>
          <w:sz w:val="20"/>
          <w:szCs w:val="20"/>
        </w:rPr>
        <w:t>ed out by users through our services. In a number of circumstances, third parties, including government regulators and law enforcement officials, have alleged that our services aid and abet violations of certain laws, including laws regarding the sale of c</w:t>
      </w:r>
      <w:r>
        <w:rPr>
          <w:rFonts w:ascii="Arial" w:eastAsia="宋体" w:hAnsi="Arial" w:cs="Arial"/>
          <w:color w:val="000000"/>
          <w:sz w:val="20"/>
          <w:szCs w:val="20"/>
        </w:rPr>
        <w:t xml:space="preserve">ounterfeit items, laws restricting or prohibiting the transferability (and by extension, the resale) of digital goods (e.g., books, music and software), the fencing of stolen goods, selective distribution channel laws, customs laws, distance selling laws, </w:t>
      </w:r>
      <w:r>
        <w:rPr>
          <w:rFonts w:ascii="Arial" w:eastAsia="宋体" w:hAnsi="Arial" w:cs="Arial"/>
          <w:color w:val="000000"/>
          <w:sz w:val="20"/>
          <w:szCs w:val="20"/>
        </w:rPr>
        <w:t xml:space="preserve">and the sale of items outside of the United States that are regulated by U.S. export controls. </w:t>
      </w:r>
    </w:p>
    <w:p w14:paraId="22CFA295" w14:textId="77777777" w:rsidR="002661BA" w:rsidRDefault="002661BA">
      <w:pPr>
        <w:ind w:firstLine="540"/>
        <w:jc w:val="both"/>
      </w:pPr>
    </w:p>
    <w:p w14:paraId="22CFA296" w14:textId="77777777" w:rsidR="002661BA" w:rsidRDefault="00D972BC">
      <w:pPr>
        <w:ind w:firstLine="540"/>
        <w:jc w:val="both"/>
      </w:pPr>
      <w:r>
        <w:rPr>
          <w:rFonts w:ascii="Arial" w:eastAsia="宋体" w:hAnsi="Arial" w:cs="Arial"/>
          <w:color w:val="000000"/>
          <w:sz w:val="20"/>
          <w:szCs w:val="20"/>
        </w:rPr>
        <w:t>In addition, allegations of infringement of intellectual property rights, including but not limited to counterfeit items, have resulted in threatened and actua</w:t>
      </w:r>
      <w:r>
        <w:rPr>
          <w:rFonts w:ascii="Arial" w:eastAsia="宋体" w:hAnsi="Arial" w:cs="Arial"/>
          <w:color w:val="000000"/>
          <w:sz w:val="20"/>
          <w:szCs w:val="20"/>
        </w:rPr>
        <w:t>l litigation from time to time by rights owners. These and similar suits may also force us to modify our business practices in a manner that increases costs, lowers revenue, makes our websites and mobile platforms less convenient to customers, and requires</w:t>
      </w:r>
      <w:r>
        <w:rPr>
          <w:rFonts w:ascii="Arial" w:eastAsia="宋体" w:hAnsi="Arial" w:cs="Arial"/>
          <w:color w:val="000000"/>
          <w:sz w:val="20"/>
          <w:szCs w:val="20"/>
        </w:rPr>
        <w:t xml:space="preserve"> us to spend substantial resources to take additional protective measures or discontinue certain service offerings in order to combat these practices. In addition, we have received significant media attention relating to the listing or sale of illegal or c</w:t>
      </w:r>
      <w:r>
        <w:rPr>
          <w:rFonts w:ascii="Arial" w:eastAsia="宋体" w:hAnsi="Arial" w:cs="Arial"/>
          <w:color w:val="000000"/>
          <w:sz w:val="20"/>
          <w:szCs w:val="20"/>
        </w:rPr>
        <w:t>ounterfeit goods, which could damage our reputation, diminish the value of our brand names, and make users reluctant to use our products and services.</w:t>
      </w:r>
    </w:p>
    <w:p w14:paraId="22CFA297" w14:textId="77777777" w:rsidR="002661BA" w:rsidRDefault="002661BA">
      <w:pPr>
        <w:ind w:firstLine="540"/>
        <w:jc w:val="both"/>
      </w:pPr>
    </w:p>
    <w:p w14:paraId="22CFA298" w14:textId="77777777" w:rsidR="002661BA" w:rsidRDefault="00D972BC">
      <w:pPr>
        <w:jc w:val="center"/>
      </w:pPr>
      <w:r>
        <w:rPr>
          <w:rFonts w:ascii="Arial" w:eastAsia="宋体" w:hAnsi="Arial" w:cs="Arial"/>
          <w:color w:val="000000"/>
          <w:sz w:val="18"/>
          <w:szCs w:val="18"/>
        </w:rPr>
        <w:t>23</w:t>
      </w:r>
    </w:p>
    <w:p w14:paraId="22CFA299" w14:textId="77777777" w:rsidR="002661BA" w:rsidRDefault="00D972BC">
      <w:r>
        <w:pict w14:anchorId="22CFE4C6">
          <v:rect id="_x0000_i1047" style="width:415.3pt;height:1.5pt" o:hralign="center" o:hrstd="t" o:hr="t" fillcolor="#a0a0a0" stroked="f"/>
        </w:pict>
      </w:r>
    </w:p>
    <w:p w14:paraId="22CFA29A" w14:textId="77777777" w:rsidR="002661BA" w:rsidRDefault="00D972BC">
      <w:hyperlink r:id="rId49" w:anchor="id0d7a71b05ce452ea9fdb54f3cb359c7_7" w:history="1">
        <w:r>
          <w:rPr>
            <w:rStyle w:val="a5"/>
            <w:rFonts w:ascii="Arial" w:eastAsia="宋体" w:hAnsi="Arial" w:cs="Arial"/>
            <w:sz w:val="18"/>
            <w:szCs w:val="18"/>
          </w:rPr>
          <w:t>Table of Contents</w:t>
        </w:r>
      </w:hyperlink>
    </w:p>
    <w:p w14:paraId="22CFA29B" w14:textId="77777777" w:rsidR="002661BA" w:rsidRDefault="00D972BC">
      <w:pPr>
        <w:ind w:firstLine="540"/>
        <w:jc w:val="both"/>
      </w:pPr>
      <w:r>
        <w:rPr>
          <w:rFonts w:ascii="Arial" w:eastAsia="宋体" w:hAnsi="Arial" w:cs="Arial"/>
          <w:color w:val="000000"/>
          <w:sz w:val="20"/>
          <w:szCs w:val="20"/>
        </w:rPr>
        <w:t>Recently, we received requests for information from government agencies related to ou</w:t>
      </w:r>
      <w:r>
        <w:rPr>
          <w:rFonts w:ascii="Arial" w:eastAsia="宋体" w:hAnsi="Arial" w:cs="Arial"/>
          <w:color w:val="000000"/>
          <w:sz w:val="20"/>
          <w:szCs w:val="20"/>
        </w:rPr>
        <w:t>r potential liability for products sold by sellers on our Marketplace platforms. We have responded to inquiries from the U.S. Department of Justice regarding products sold on our Marketplace platforms alleged to violate certain laws and regulations, includ</w:t>
      </w:r>
      <w:r>
        <w:rPr>
          <w:rFonts w:ascii="Arial" w:eastAsia="宋体" w:hAnsi="Arial" w:cs="Arial"/>
          <w:color w:val="000000"/>
          <w:sz w:val="20"/>
          <w:szCs w:val="20"/>
        </w:rPr>
        <w:t>ing regulations of the Environmental Protection Agency and, separately, regulations of the Drug Enforcement Agency. If we are found to be liable for such activities on our Marketplace, we could be subject to monetary damages, changes in our business practi</w:t>
      </w:r>
      <w:r>
        <w:rPr>
          <w:rFonts w:ascii="Arial" w:eastAsia="宋体" w:hAnsi="Arial" w:cs="Arial"/>
          <w:color w:val="000000"/>
          <w:sz w:val="20"/>
          <w:szCs w:val="20"/>
        </w:rPr>
        <w:t>ces, or other remedies that could have a material adverse impact on our business.</w:t>
      </w:r>
    </w:p>
    <w:p w14:paraId="22CFA29C" w14:textId="77777777" w:rsidR="002661BA" w:rsidRDefault="002661BA">
      <w:pPr>
        <w:ind w:firstLine="540"/>
        <w:jc w:val="both"/>
      </w:pPr>
    </w:p>
    <w:p w14:paraId="22CFA29D" w14:textId="77777777" w:rsidR="002661BA" w:rsidRDefault="00D972BC">
      <w:pPr>
        <w:ind w:firstLine="540"/>
        <w:jc w:val="both"/>
      </w:pPr>
      <w:r>
        <w:rPr>
          <w:rFonts w:ascii="Arial" w:eastAsia="宋体" w:hAnsi="Arial" w:cs="Arial"/>
          <w:i/>
          <w:iCs/>
          <w:color w:val="000000"/>
          <w:sz w:val="20"/>
          <w:szCs w:val="20"/>
        </w:rPr>
        <w:t>We are subject to risks associated with information disseminated through our services.</w:t>
      </w:r>
    </w:p>
    <w:p w14:paraId="22CFA29E" w14:textId="77777777" w:rsidR="002661BA" w:rsidRDefault="002661BA">
      <w:pPr>
        <w:ind w:firstLine="540"/>
        <w:jc w:val="both"/>
      </w:pPr>
    </w:p>
    <w:p w14:paraId="22CFA29F" w14:textId="77777777" w:rsidR="002661BA" w:rsidRDefault="00D972BC">
      <w:pPr>
        <w:ind w:firstLine="540"/>
        <w:jc w:val="both"/>
      </w:pPr>
      <w:r>
        <w:rPr>
          <w:rFonts w:ascii="Arial" w:eastAsia="宋体" w:hAnsi="Arial" w:cs="Arial"/>
          <w:color w:val="000000"/>
          <w:sz w:val="20"/>
          <w:szCs w:val="20"/>
        </w:rPr>
        <w:t>Online services companies may be subject to claims relating to information disseminated through their services, including claims alleging defamation, libel, breach of contract, invasion of privacy, negligence, copyright or trademark infringement, among oth</w:t>
      </w:r>
      <w:r>
        <w:rPr>
          <w:rFonts w:ascii="Arial" w:eastAsia="宋体" w:hAnsi="Arial" w:cs="Arial"/>
          <w:color w:val="000000"/>
          <w:sz w:val="20"/>
          <w:szCs w:val="20"/>
        </w:rPr>
        <w:t>er things. The laws relating to the liability of online services companies for information disseminated through their services are subject to frequent challenges both in the United States and foreign jurisdictions. Any liabilities incurred as a result of t</w:t>
      </w:r>
      <w:r>
        <w:rPr>
          <w:rFonts w:ascii="Arial" w:eastAsia="宋体" w:hAnsi="Arial" w:cs="Arial"/>
          <w:color w:val="000000"/>
          <w:sz w:val="20"/>
          <w:szCs w:val="20"/>
        </w:rPr>
        <w:t xml:space="preserve">hese matters could require us to incur additional costs and harm our reputation and our business. </w:t>
      </w:r>
    </w:p>
    <w:p w14:paraId="22CFA2A0" w14:textId="77777777" w:rsidR="002661BA" w:rsidRDefault="002661BA">
      <w:pPr>
        <w:ind w:firstLine="540"/>
        <w:jc w:val="both"/>
      </w:pPr>
    </w:p>
    <w:p w14:paraId="22CFA2A1" w14:textId="77777777" w:rsidR="002661BA" w:rsidRDefault="00D972BC">
      <w:pPr>
        <w:ind w:firstLine="540"/>
        <w:jc w:val="both"/>
      </w:pPr>
      <w:r>
        <w:rPr>
          <w:rFonts w:ascii="Arial" w:eastAsia="宋体" w:hAnsi="Arial" w:cs="Arial"/>
          <w:color w:val="000000"/>
          <w:sz w:val="20"/>
          <w:szCs w:val="20"/>
        </w:rPr>
        <w:t>Our potential liability to third parties for the user-provided content on our sites, particularly in jurisdictions outside the United States where laws gove</w:t>
      </w:r>
      <w:r>
        <w:rPr>
          <w:rFonts w:ascii="Arial" w:eastAsia="宋体" w:hAnsi="Arial" w:cs="Arial"/>
          <w:color w:val="000000"/>
          <w:sz w:val="20"/>
          <w:szCs w:val="20"/>
        </w:rPr>
        <w:t>rning Internet transactions are unsettled, may increase. If we become liable for information provided by our users and carried on our service in any jurisdiction in which we operate, we could be directly harmed and we may be forced to implement new measure</w:t>
      </w:r>
      <w:r>
        <w:rPr>
          <w:rFonts w:ascii="Arial" w:eastAsia="宋体" w:hAnsi="Arial" w:cs="Arial"/>
          <w:color w:val="000000"/>
          <w:sz w:val="20"/>
          <w:szCs w:val="20"/>
        </w:rPr>
        <w:t xml:space="preserve">s to reduce our exposure to this liability, including expending substantial resources or discontinuing certain service offerings, which could harm our business. </w:t>
      </w:r>
    </w:p>
    <w:p w14:paraId="22CFA2A2" w14:textId="77777777" w:rsidR="002661BA" w:rsidRDefault="002661BA">
      <w:pPr>
        <w:ind w:firstLine="450"/>
        <w:jc w:val="both"/>
      </w:pPr>
    </w:p>
    <w:p w14:paraId="22CFA2A3" w14:textId="77777777" w:rsidR="002661BA" w:rsidRDefault="00D972BC">
      <w:pPr>
        <w:ind w:firstLine="270"/>
        <w:jc w:val="both"/>
      </w:pPr>
      <w:r>
        <w:rPr>
          <w:rFonts w:ascii="Arial" w:eastAsia="宋体" w:hAnsi="Arial" w:cs="Arial"/>
          <w:b/>
          <w:bCs/>
          <w:i/>
          <w:iCs/>
          <w:color w:val="000000"/>
          <w:sz w:val="20"/>
          <w:szCs w:val="20"/>
        </w:rPr>
        <w:t>Interest Rate and Indebtedness Risks</w:t>
      </w:r>
    </w:p>
    <w:p w14:paraId="22CFA2A4" w14:textId="77777777" w:rsidR="002661BA" w:rsidRDefault="002661BA">
      <w:pPr>
        <w:ind w:firstLine="450"/>
        <w:jc w:val="both"/>
      </w:pPr>
    </w:p>
    <w:p w14:paraId="22CFA2A5" w14:textId="77777777" w:rsidR="002661BA" w:rsidRDefault="00D972BC">
      <w:pPr>
        <w:ind w:firstLine="540"/>
        <w:jc w:val="both"/>
      </w:pPr>
      <w:r>
        <w:rPr>
          <w:rFonts w:ascii="Arial" w:eastAsia="宋体" w:hAnsi="Arial" w:cs="Arial"/>
          <w:i/>
          <w:iCs/>
          <w:color w:val="000000"/>
          <w:sz w:val="20"/>
          <w:szCs w:val="20"/>
        </w:rPr>
        <w:t>Fluctuations in interest rates, and changes in regulato</w:t>
      </w:r>
      <w:r>
        <w:rPr>
          <w:rFonts w:ascii="Arial" w:eastAsia="宋体" w:hAnsi="Arial" w:cs="Arial"/>
          <w:i/>
          <w:iCs/>
          <w:color w:val="000000"/>
          <w:sz w:val="20"/>
          <w:szCs w:val="20"/>
        </w:rPr>
        <w:t xml:space="preserve">ry guidance related to such interest rates, could adversely impact our financial results. </w:t>
      </w:r>
    </w:p>
    <w:p w14:paraId="22CFA2A6" w14:textId="77777777" w:rsidR="002661BA" w:rsidRDefault="002661BA">
      <w:pPr>
        <w:ind w:firstLine="540"/>
        <w:jc w:val="both"/>
      </w:pPr>
    </w:p>
    <w:p w14:paraId="22CFA2A7" w14:textId="77777777" w:rsidR="002661BA" w:rsidRDefault="00D972BC">
      <w:pPr>
        <w:ind w:firstLine="540"/>
        <w:jc w:val="both"/>
      </w:pPr>
      <w:r>
        <w:rPr>
          <w:rFonts w:ascii="Arial" w:eastAsia="宋体" w:hAnsi="Arial" w:cs="Arial"/>
          <w:color w:val="000000"/>
          <w:sz w:val="20"/>
          <w:szCs w:val="20"/>
        </w:rPr>
        <w:t>Investments in both fixed-rate and floating-rate interest-earning instruments carry varying degrees of interest rate risk. The fair market value of our fixed-rate i</w:t>
      </w:r>
      <w:r>
        <w:rPr>
          <w:rFonts w:ascii="Arial" w:eastAsia="宋体" w:hAnsi="Arial" w:cs="Arial"/>
          <w:color w:val="000000"/>
          <w:sz w:val="20"/>
          <w:szCs w:val="20"/>
        </w:rPr>
        <w:t>nvestment securities may be adversely impacted due to a rise in interest rates. In addition, relatively low interest rates limit our investment income.</w:t>
      </w:r>
    </w:p>
    <w:p w14:paraId="22CFA2A8" w14:textId="77777777" w:rsidR="002661BA" w:rsidRDefault="002661BA">
      <w:pPr>
        <w:ind w:firstLine="540"/>
        <w:jc w:val="both"/>
      </w:pPr>
    </w:p>
    <w:p w14:paraId="22CFA2A9" w14:textId="77777777" w:rsidR="002661BA" w:rsidRDefault="00D972BC">
      <w:pPr>
        <w:ind w:firstLine="540"/>
        <w:jc w:val="both"/>
      </w:pPr>
      <w:r>
        <w:rPr>
          <w:rFonts w:ascii="Arial" w:eastAsia="宋体" w:hAnsi="Arial" w:cs="Arial"/>
          <w:i/>
          <w:iCs/>
          <w:color w:val="000000"/>
          <w:sz w:val="20"/>
          <w:szCs w:val="20"/>
        </w:rPr>
        <w:t>We have substantial indebtedness, and we may incur substantial additional indebtedness in the future, a</w:t>
      </w:r>
      <w:r>
        <w:rPr>
          <w:rFonts w:ascii="Arial" w:eastAsia="宋体" w:hAnsi="Arial" w:cs="Arial"/>
          <w:i/>
          <w:iCs/>
          <w:color w:val="000000"/>
          <w:sz w:val="20"/>
          <w:szCs w:val="20"/>
        </w:rPr>
        <w:t>nd we may not generate sufficient cash flow from our business to service our indebtedness. Failure to comply with the terms of our indebtedness could result in the acceleration of our indebtedness, which could have an adverse effect on our cash flow and li</w:t>
      </w:r>
      <w:r>
        <w:rPr>
          <w:rFonts w:ascii="Arial" w:eastAsia="宋体" w:hAnsi="Arial" w:cs="Arial"/>
          <w:i/>
          <w:iCs/>
          <w:color w:val="000000"/>
          <w:sz w:val="20"/>
          <w:szCs w:val="20"/>
        </w:rPr>
        <w:t>quidity.</w:t>
      </w:r>
    </w:p>
    <w:p w14:paraId="22CFA2AA" w14:textId="77777777" w:rsidR="002661BA" w:rsidRDefault="002661BA">
      <w:pPr>
        <w:ind w:firstLine="540"/>
        <w:jc w:val="both"/>
      </w:pPr>
    </w:p>
    <w:p w14:paraId="22CFA2AB" w14:textId="77777777" w:rsidR="002661BA" w:rsidRDefault="00D972BC">
      <w:pPr>
        <w:ind w:firstLine="540"/>
        <w:jc w:val="both"/>
      </w:pPr>
      <w:r>
        <w:rPr>
          <w:rFonts w:ascii="Arial" w:eastAsia="宋体" w:hAnsi="Arial" w:cs="Arial"/>
          <w:color w:val="000000"/>
          <w:sz w:val="20"/>
          <w:szCs w:val="20"/>
        </w:rPr>
        <w:t>We have a substantial amount of outstanding indebtedness and we may incur substantial additional indebtedness in the future, including under our commercial paper program and revolving credit facility or through public or private offerings of debt</w:t>
      </w:r>
      <w:r>
        <w:rPr>
          <w:rFonts w:ascii="Arial" w:eastAsia="宋体" w:hAnsi="Arial" w:cs="Arial"/>
          <w:color w:val="000000"/>
          <w:sz w:val="20"/>
          <w:szCs w:val="20"/>
        </w:rPr>
        <w:t xml:space="preserve"> securities. Our outstanding indebtedness and any additional indebtedness we incur may have significant consequences, including, without limitation, any of the following:</w:t>
      </w:r>
    </w:p>
    <w:p w14:paraId="22CFA2AC" w14:textId="77777777" w:rsidR="002661BA" w:rsidRDefault="00D972BC">
      <w:pPr>
        <w:jc w:val="both"/>
      </w:pPr>
      <w:r>
        <w:rPr>
          <w:rFonts w:ascii="Arial" w:eastAsia="宋体" w:hAnsi="Arial" w:cs="Arial"/>
          <w:color w:val="000000"/>
          <w:sz w:val="20"/>
          <w:szCs w:val="20"/>
        </w:rPr>
        <w:t>    </w:t>
      </w:r>
    </w:p>
    <w:p w14:paraId="22CFA2AD" w14:textId="77777777" w:rsidR="002661BA" w:rsidRDefault="00D972BC">
      <w:pPr>
        <w:ind w:hanging="360"/>
        <w:jc w:val="both"/>
      </w:pPr>
      <w:r>
        <w:rPr>
          <w:rFonts w:ascii="Arial" w:eastAsia="宋体" w:hAnsi="Arial" w:cs="Arial"/>
          <w:color w:val="000000"/>
          <w:sz w:val="20"/>
          <w:szCs w:val="20"/>
        </w:rPr>
        <w:t xml:space="preserve">•requiring us to use a significant portion of our cash flow from operations and </w:t>
      </w:r>
      <w:r>
        <w:rPr>
          <w:rFonts w:ascii="Arial" w:eastAsia="宋体" w:hAnsi="Arial" w:cs="Arial"/>
          <w:color w:val="000000"/>
          <w:sz w:val="20"/>
          <w:szCs w:val="20"/>
        </w:rPr>
        <w:t>other available cash to service our indebtedness, thereby reducing the amount of cash available for other purposes, including capital expenditures, dividends, share repurchases, and acquisitions;</w:t>
      </w:r>
    </w:p>
    <w:p w14:paraId="22CFA2AE" w14:textId="77777777" w:rsidR="002661BA" w:rsidRDefault="00D972BC">
      <w:pPr>
        <w:ind w:hanging="360"/>
        <w:jc w:val="both"/>
      </w:pPr>
      <w:r>
        <w:rPr>
          <w:rFonts w:ascii="Arial" w:eastAsia="宋体" w:hAnsi="Arial" w:cs="Arial"/>
          <w:color w:val="000000"/>
          <w:sz w:val="20"/>
          <w:szCs w:val="20"/>
        </w:rPr>
        <w:t>•our indebtedness and leverage may increase our vulnerabilit</w:t>
      </w:r>
      <w:r>
        <w:rPr>
          <w:rFonts w:ascii="Arial" w:eastAsia="宋体" w:hAnsi="Arial" w:cs="Arial"/>
          <w:color w:val="000000"/>
          <w:sz w:val="20"/>
          <w:szCs w:val="20"/>
        </w:rPr>
        <w:t>y to downturns in our business, to competitive pressures, and to adverse changes in general economic and industry conditions;</w:t>
      </w:r>
    </w:p>
    <w:p w14:paraId="22CFA2AF" w14:textId="77777777" w:rsidR="002661BA" w:rsidRDefault="00D972BC">
      <w:pPr>
        <w:ind w:hanging="360"/>
        <w:jc w:val="both"/>
      </w:pPr>
      <w:r>
        <w:rPr>
          <w:rFonts w:ascii="Arial" w:eastAsia="宋体" w:hAnsi="Arial" w:cs="Arial"/>
          <w:color w:val="000000"/>
          <w:sz w:val="20"/>
          <w:szCs w:val="20"/>
        </w:rPr>
        <w:t>•adverse changes in the ratings assigned to our debt securities by credit rating agencies will likely increase our borrowing costs</w:t>
      </w:r>
      <w:r>
        <w:rPr>
          <w:rFonts w:ascii="Arial" w:eastAsia="宋体" w:hAnsi="Arial" w:cs="Arial"/>
          <w:color w:val="000000"/>
          <w:sz w:val="20"/>
          <w:szCs w:val="20"/>
        </w:rPr>
        <w:t>;</w:t>
      </w:r>
    </w:p>
    <w:p w14:paraId="22CFA2B0" w14:textId="77777777" w:rsidR="002661BA" w:rsidRDefault="00D972BC">
      <w:pPr>
        <w:ind w:hanging="360"/>
        <w:jc w:val="both"/>
      </w:pPr>
      <w:r>
        <w:rPr>
          <w:rFonts w:ascii="Arial" w:eastAsia="宋体" w:hAnsi="Arial" w:cs="Arial"/>
          <w:color w:val="000000"/>
          <w:sz w:val="20"/>
          <w:szCs w:val="20"/>
        </w:rPr>
        <w:t>•our ability to obtain additional financing for working capital, capital expenditures, acquisitions, share repurchases, dividends or other general corporate and other purposes may be limited; and</w:t>
      </w:r>
    </w:p>
    <w:p w14:paraId="22CFA2B1" w14:textId="77777777" w:rsidR="002661BA" w:rsidRDefault="00D972BC">
      <w:pPr>
        <w:ind w:hanging="360"/>
        <w:jc w:val="both"/>
      </w:pPr>
      <w:r>
        <w:rPr>
          <w:rFonts w:ascii="Arial" w:eastAsia="宋体" w:hAnsi="Arial" w:cs="Arial"/>
          <w:color w:val="000000"/>
          <w:sz w:val="20"/>
          <w:szCs w:val="20"/>
        </w:rPr>
        <w:t xml:space="preserve">•our flexibility in planning for, or reacting to, </w:t>
      </w:r>
      <w:r>
        <w:rPr>
          <w:rFonts w:ascii="Arial" w:eastAsia="宋体" w:hAnsi="Arial" w:cs="Arial"/>
          <w:color w:val="000000"/>
          <w:sz w:val="20"/>
          <w:szCs w:val="20"/>
        </w:rPr>
        <w:t>changes in our business and our industry may be limited.</w:t>
      </w:r>
    </w:p>
    <w:p w14:paraId="22CFA2B2" w14:textId="77777777" w:rsidR="002661BA" w:rsidRDefault="00D972BC">
      <w:pPr>
        <w:jc w:val="center"/>
      </w:pPr>
      <w:r>
        <w:rPr>
          <w:rFonts w:ascii="Arial" w:eastAsia="宋体" w:hAnsi="Arial" w:cs="Arial"/>
          <w:color w:val="000000"/>
          <w:sz w:val="18"/>
          <w:szCs w:val="18"/>
        </w:rPr>
        <w:t>24</w:t>
      </w:r>
    </w:p>
    <w:p w14:paraId="22CFA2B3" w14:textId="77777777" w:rsidR="002661BA" w:rsidRDefault="00D972BC">
      <w:r>
        <w:pict w14:anchorId="22CFE4C7">
          <v:rect id="_x0000_i1048" style="width:415.3pt;height:1.5pt" o:hralign="center" o:hrstd="t" o:hr="t" fillcolor="#a0a0a0" stroked="f"/>
        </w:pict>
      </w:r>
    </w:p>
    <w:p w14:paraId="22CFA2B4" w14:textId="77777777" w:rsidR="002661BA" w:rsidRDefault="00D972BC">
      <w:hyperlink r:id="rId50" w:anchor="id0d7a71b05ce452ea9fdb54f3cb359c7_7" w:history="1">
        <w:r>
          <w:rPr>
            <w:rStyle w:val="a5"/>
            <w:rFonts w:ascii="Arial" w:eastAsia="宋体" w:hAnsi="Arial" w:cs="Arial"/>
            <w:sz w:val="18"/>
            <w:szCs w:val="18"/>
          </w:rPr>
          <w:t>Table of Contents</w:t>
        </w:r>
      </w:hyperlink>
    </w:p>
    <w:p w14:paraId="22CFA2B5" w14:textId="77777777" w:rsidR="002661BA" w:rsidRDefault="002661BA">
      <w:pPr>
        <w:ind w:firstLine="540"/>
        <w:jc w:val="both"/>
      </w:pPr>
    </w:p>
    <w:p w14:paraId="22CFA2B6" w14:textId="77777777" w:rsidR="002661BA" w:rsidRDefault="00D972BC">
      <w:pPr>
        <w:ind w:firstLine="270"/>
        <w:jc w:val="both"/>
      </w:pPr>
      <w:r>
        <w:rPr>
          <w:rFonts w:ascii="Arial" w:eastAsia="宋体" w:hAnsi="Arial" w:cs="Arial"/>
          <w:b/>
          <w:bCs/>
          <w:i/>
          <w:iCs/>
          <w:color w:val="000000"/>
          <w:sz w:val="20"/>
          <w:szCs w:val="20"/>
        </w:rPr>
        <w:t>Tax Risks</w:t>
      </w:r>
    </w:p>
    <w:p w14:paraId="22CFA2B7" w14:textId="77777777" w:rsidR="002661BA" w:rsidRDefault="002661BA">
      <w:pPr>
        <w:jc w:val="both"/>
      </w:pPr>
    </w:p>
    <w:p w14:paraId="22CFA2B8" w14:textId="77777777" w:rsidR="002661BA" w:rsidRDefault="00D972BC">
      <w:pPr>
        <w:ind w:firstLine="540"/>
        <w:jc w:val="both"/>
      </w:pPr>
      <w:r>
        <w:rPr>
          <w:rFonts w:ascii="Arial" w:eastAsia="宋体" w:hAnsi="Arial" w:cs="Arial"/>
          <w:i/>
          <w:iCs/>
          <w:color w:val="000000"/>
          <w:sz w:val="20"/>
          <w:szCs w:val="20"/>
        </w:rPr>
        <w:t xml:space="preserve">Our business and our sellers and buyers may be subject to evolving sales </w:t>
      </w:r>
      <w:r>
        <w:rPr>
          <w:rFonts w:ascii="Arial" w:eastAsia="宋体" w:hAnsi="Arial" w:cs="Arial"/>
          <w:i/>
          <w:iCs/>
          <w:color w:val="000000"/>
          <w:sz w:val="20"/>
          <w:szCs w:val="20"/>
        </w:rPr>
        <w:t>and other tax regimes in various jurisdictions, which may harm our business.</w:t>
      </w:r>
    </w:p>
    <w:p w14:paraId="22CFA2B9" w14:textId="77777777" w:rsidR="002661BA" w:rsidRDefault="002661BA">
      <w:pPr>
        <w:ind w:firstLine="540"/>
        <w:jc w:val="both"/>
      </w:pPr>
    </w:p>
    <w:p w14:paraId="22CFA2BA" w14:textId="77777777" w:rsidR="002661BA" w:rsidRDefault="00D972BC">
      <w:pPr>
        <w:ind w:firstLine="540"/>
        <w:jc w:val="both"/>
      </w:pPr>
      <w:r>
        <w:rPr>
          <w:rFonts w:ascii="Arial" w:eastAsia="宋体" w:hAnsi="Arial" w:cs="Arial"/>
          <w:color w:val="000000"/>
          <w:sz w:val="20"/>
          <w:szCs w:val="20"/>
        </w:rPr>
        <w:t>The application of indirect taxes such as sales and use tax, value-added tax (“VAT”), goods and services tax (“GST”) (including the “digital services tax”), business tax, withhol</w:t>
      </w:r>
      <w:r>
        <w:rPr>
          <w:rFonts w:ascii="Arial" w:eastAsia="宋体" w:hAnsi="Arial" w:cs="Arial"/>
          <w:color w:val="000000"/>
          <w:sz w:val="20"/>
          <w:szCs w:val="20"/>
        </w:rPr>
        <w:t>ding tax and gross receipt tax, and tax information reporting obligations to businesses like ours and to our sellers and buyers is a complex and evolving issue. Many of the fundamental statutes and regulations that impose these taxes were established befor</w:t>
      </w:r>
      <w:r>
        <w:rPr>
          <w:rFonts w:ascii="Arial" w:eastAsia="宋体" w:hAnsi="Arial" w:cs="Arial"/>
          <w:color w:val="000000"/>
          <w:sz w:val="20"/>
          <w:szCs w:val="20"/>
        </w:rPr>
        <w:t>e the adoption and growth of the Internet and ecommerce. Significant judgment is required to evaluate applicable tax obligations and as a result amounts recorded are estimates and are subject to adjustments. In many cases, the ultimate tax determination is</w:t>
      </w:r>
      <w:r>
        <w:rPr>
          <w:rFonts w:ascii="Arial" w:eastAsia="宋体" w:hAnsi="Arial" w:cs="Arial"/>
          <w:color w:val="000000"/>
          <w:sz w:val="20"/>
          <w:szCs w:val="20"/>
        </w:rPr>
        <w:t xml:space="preserve"> uncertain because it is not clear when and how new and existing statutes might apply to our business or to our sellers’ businesses. In some cases it may be difficult or impossible for us to validate information provided to us by our sellers on which we mu</w:t>
      </w:r>
      <w:r>
        <w:rPr>
          <w:rFonts w:ascii="Arial" w:eastAsia="宋体" w:hAnsi="Arial" w:cs="Arial"/>
          <w:color w:val="000000"/>
          <w:sz w:val="20"/>
          <w:szCs w:val="20"/>
        </w:rPr>
        <w:t>st rely to ascertain any obligations that may apply to us related to our sellers’ businesses, given the intricate nature of these regulations as they apply to particular products or services and that many of the products and services sold in our marketplac</w:t>
      </w:r>
      <w:r>
        <w:rPr>
          <w:rFonts w:ascii="Arial" w:eastAsia="宋体" w:hAnsi="Arial" w:cs="Arial"/>
          <w:color w:val="000000"/>
          <w:sz w:val="20"/>
          <w:szCs w:val="20"/>
        </w:rPr>
        <w:t>e are unique or handmade. If we are found to be deficient in how we have addressed our tax obligations, our business could be adversely impacted.</w:t>
      </w:r>
    </w:p>
    <w:p w14:paraId="22CFA2BB" w14:textId="77777777" w:rsidR="002661BA" w:rsidRDefault="002661BA">
      <w:pPr>
        <w:ind w:firstLine="540"/>
        <w:jc w:val="both"/>
      </w:pPr>
    </w:p>
    <w:p w14:paraId="22CFA2BC" w14:textId="77777777" w:rsidR="002661BA" w:rsidRDefault="00D972BC">
      <w:pPr>
        <w:ind w:firstLine="540"/>
        <w:jc w:val="both"/>
      </w:pPr>
      <w:r>
        <w:rPr>
          <w:rFonts w:ascii="Arial" w:eastAsia="宋体" w:hAnsi="Arial" w:cs="Arial"/>
          <w:color w:val="000000"/>
          <w:sz w:val="20"/>
          <w:szCs w:val="20"/>
        </w:rPr>
        <w:t>From time to time, some taxing authorities in the United States have notified us that they believe we owe the</w:t>
      </w:r>
      <w:r>
        <w:rPr>
          <w:rFonts w:ascii="Arial" w:eastAsia="宋体" w:hAnsi="Arial" w:cs="Arial"/>
          <w:color w:val="000000"/>
          <w:sz w:val="20"/>
          <w:szCs w:val="20"/>
        </w:rPr>
        <w:t>m certain taxes imposed on our services. These notifications have not resulted in any significant tax liabilities to date, but there is a risk that some jurisdiction may be successful in the future, which would harm our business. While we attempt to comply</w:t>
      </w:r>
      <w:r>
        <w:rPr>
          <w:rFonts w:ascii="Arial" w:eastAsia="宋体" w:hAnsi="Arial" w:cs="Arial"/>
          <w:color w:val="000000"/>
          <w:sz w:val="20"/>
          <w:szCs w:val="20"/>
        </w:rPr>
        <w:t xml:space="preserve"> in those jurisdictions where it is clear that a tax is due, some of our subsidiaries have, from time to time, received claims relating to the applicability of indirect taxes to our fees. Additionally, we pay input VAT on applicable taxable purchases withi</w:t>
      </w:r>
      <w:r>
        <w:rPr>
          <w:rFonts w:ascii="Arial" w:eastAsia="宋体" w:hAnsi="Arial" w:cs="Arial"/>
          <w:color w:val="000000"/>
          <w:sz w:val="20"/>
          <w:szCs w:val="20"/>
        </w:rPr>
        <w:t xml:space="preserve">n the various countries in which we operate. In most cases, we are entitled to reclaim this input VAT from the various countries. However, because of our unique business model, the application of the laws and rules that allow such reclamation is sometimes </w:t>
      </w:r>
      <w:r>
        <w:rPr>
          <w:rFonts w:ascii="Arial" w:eastAsia="宋体" w:hAnsi="Arial" w:cs="Arial"/>
          <w:color w:val="000000"/>
          <w:sz w:val="20"/>
          <w:szCs w:val="20"/>
        </w:rPr>
        <w:t>uncertain. A successful assertion by one or more countries that we are not entitled to reclaim VAT could harm our business.</w:t>
      </w:r>
    </w:p>
    <w:p w14:paraId="22CFA2BD" w14:textId="77777777" w:rsidR="002661BA" w:rsidRDefault="002661BA">
      <w:pPr>
        <w:jc w:val="both"/>
      </w:pPr>
    </w:p>
    <w:p w14:paraId="22CFA2BE" w14:textId="77777777" w:rsidR="002661BA" w:rsidRDefault="00D972BC">
      <w:pPr>
        <w:ind w:firstLine="540"/>
        <w:jc w:val="both"/>
      </w:pPr>
      <w:r>
        <w:rPr>
          <w:rFonts w:ascii="Arial" w:eastAsia="宋体" w:hAnsi="Arial" w:cs="Arial"/>
          <w:color w:val="000000"/>
          <w:sz w:val="20"/>
          <w:szCs w:val="20"/>
        </w:rPr>
        <w:t>Various jurisdictions are seeking to, or have recently imposed additional reporting, record-keeping, indirect tax collection and re</w:t>
      </w:r>
      <w:r>
        <w:rPr>
          <w:rFonts w:ascii="Arial" w:eastAsia="宋体" w:hAnsi="Arial" w:cs="Arial"/>
          <w:color w:val="000000"/>
          <w:sz w:val="20"/>
          <w:szCs w:val="20"/>
        </w:rPr>
        <w:t>mittance obligations, or revenue-based taxes on businesses like ours that facilitate online commerce. If requirements like these become applicable in additional jurisdictions, our business, collectively with eBay sellers’ businesses, could be harmed. For e</w:t>
      </w:r>
      <w:r>
        <w:rPr>
          <w:rFonts w:ascii="Arial" w:eastAsia="宋体" w:hAnsi="Arial" w:cs="Arial"/>
          <w:color w:val="000000"/>
          <w:sz w:val="20"/>
          <w:szCs w:val="20"/>
        </w:rPr>
        <w:t>xample, taxing authorities in the U.S. and in other countries have targeted e-commerce platforms as a means to calculate, collect, and remit indirect taxes for transactions taking place over the internet, and have enacted laws and others are considering si</w:t>
      </w:r>
      <w:r>
        <w:rPr>
          <w:rFonts w:ascii="Arial" w:eastAsia="宋体" w:hAnsi="Arial" w:cs="Arial"/>
          <w:color w:val="000000"/>
          <w:sz w:val="20"/>
          <w:szCs w:val="20"/>
        </w:rPr>
        <w:t xml:space="preserve">milar legislation. With two additional states adopting Internet sales tax laws in 2021, some buyers across the U.S. encountered sales tax for the first time on eBay. To date, 45 states, the District of Columbia, and Puerto Rico have enacted Internet sales </w:t>
      </w:r>
      <w:r>
        <w:rPr>
          <w:rFonts w:ascii="Arial" w:eastAsia="宋体" w:hAnsi="Arial" w:cs="Arial"/>
          <w:color w:val="000000"/>
          <w:sz w:val="20"/>
          <w:szCs w:val="20"/>
        </w:rPr>
        <w:t>tax legislation. Additionally, a digital service tax (DST) was implemented in Spain in 2021, and we are complying with the legislation. Our business will also be required to increase payments reporting requirements for US sellers as a result of federal leg</w:t>
      </w:r>
      <w:r>
        <w:rPr>
          <w:rFonts w:ascii="Arial" w:eastAsia="宋体" w:hAnsi="Arial" w:cs="Arial"/>
          <w:color w:val="000000"/>
          <w:sz w:val="20"/>
          <w:szCs w:val="20"/>
        </w:rPr>
        <w:t>islation. Starting on January 1, 2022, all businesses that process payments are required to issue a Form 1099-K for all sellers who receive $600 or more in sales, a decrease from the previous reporting threshold of $20,000 and 200 transactions. Form 1099-K</w:t>
      </w:r>
      <w:r>
        <w:rPr>
          <w:rFonts w:ascii="Arial" w:eastAsia="宋体" w:hAnsi="Arial" w:cs="Arial"/>
          <w:color w:val="000000"/>
          <w:sz w:val="20"/>
          <w:szCs w:val="20"/>
        </w:rPr>
        <w:t>s for the new thresholds will be issued in January 2023. Tax collection responsibility and the additional costs associated with complex sales and use tax collection, remittance and audit requirements, or reporting, could create additional burdens for buyer</w:t>
      </w:r>
      <w:r>
        <w:rPr>
          <w:rFonts w:ascii="Arial" w:eastAsia="宋体" w:hAnsi="Arial" w:cs="Arial"/>
          <w:color w:val="000000"/>
          <w:sz w:val="20"/>
          <w:szCs w:val="20"/>
        </w:rPr>
        <w:t>s and sellers on our websites and mobile platforms.</w:t>
      </w:r>
    </w:p>
    <w:p w14:paraId="22CFA2BF" w14:textId="77777777" w:rsidR="002661BA" w:rsidRDefault="002661BA">
      <w:pPr>
        <w:jc w:val="both"/>
      </w:pPr>
    </w:p>
    <w:p w14:paraId="22CFA2C0" w14:textId="77777777" w:rsidR="002661BA" w:rsidRDefault="00D972BC">
      <w:pPr>
        <w:ind w:firstLine="540"/>
        <w:jc w:val="both"/>
      </w:pPr>
      <w:r>
        <w:rPr>
          <w:rFonts w:ascii="Arial" w:eastAsia="宋体" w:hAnsi="Arial" w:cs="Arial"/>
          <w:color w:val="000000"/>
          <w:sz w:val="20"/>
          <w:szCs w:val="20"/>
        </w:rPr>
        <w:t>These legislative changes or new legislation could adversely affect our business if the requirement of tax to be charged on items sold on our marketplaces causes our marketplaces to be less attractive to</w:t>
      </w:r>
      <w:r>
        <w:rPr>
          <w:rFonts w:ascii="Arial" w:eastAsia="宋体" w:hAnsi="Arial" w:cs="Arial"/>
          <w:color w:val="000000"/>
          <w:sz w:val="20"/>
          <w:szCs w:val="20"/>
        </w:rPr>
        <w:t xml:space="preserve"> current and prospective buyers, which could materially impact our business and eBay sellers’ businesses. This legislation could also require us or our sellers to incur substantial costs in order to comply, including costs associated with tax calculation, </w:t>
      </w:r>
      <w:r>
        <w:rPr>
          <w:rFonts w:ascii="Arial" w:eastAsia="宋体" w:hAnsi="Arial" w:cs="Arial"/>
          <w:color w:val="000000"/>
          <w:sz w:val="20"/>
          <w:szCs w:val="20"/>
        </w:rPr>
        <w:t>collection, remittance, and audit requirements, which could make selling on our marketplaces less attractive.</w:t>
      </w:r>
    </w:p>
    <w:p w14:paraId="22CFA2C1" w14:textId="77777777" w:rsidR="002661BA" w:rsidRDefault="002661BA">
      <w:pPr>
        <w:jc w:val="both"/>
      </w:pPr>
    </w:p>
    <w:p w14:paraId="22CFA2C2" w14:textId="77777777" w:rsidR="002661BA" w:rsidRDefault="00D972BC">
      <w:pPr>
        <w:jc w:val="center"/>
      </w:pPr>
      <w:r>
        <w:rPr>
          <w:rFonts w:ascii="Arial" w:eastAsia="宋体" w:hAnsi="Arial" w:cs="Arial"/>
          <w:color w:val="000000"/>
          <w:sz w:val="18"/>
          <w:szCs w:val="18"/>
        </w:rPr>
        <w:t>25</w:t>
      </w:r>
    </w:p>
    <w:p w14:paraId="22CFA2C3" w14:textId="77777777" w:rsidR="002661BA" w:rsidRDefault="00D972BC">
      <w:r>
        <w:pict w14:anchorId="22CFE4C8">
          <v:rect id="_x0000_i1049" style="width:415.3pt;height:1.5pt" o:hralign="center" o:hrstd="t" o:hr="t" fillcolor="#a0a0a0" stroked="f"/>
        </w:pict>
      </w:r>
    </w:p>
    <w:p w14:paraId="22CFA2C4" w14:textId="77777777" w:rsidR="002661BA" w:rsidRDefault="00D972BC">
      <w:hyperlink r:id="rId51" w:anchor="id0d7a71b05ce452ea9fdb54f3cb359c7_7" w:history="1">
        <w:r>
          <w:rPr>
            <w:rStyle w:val="a5"/>
            <w:rFonts w:ascii="Arial" w:eastAsia="宋体" w:hAnsi="Arial" w:cs="Arial"/>
            <w:sz w:val="18"/>
            <w:szCs w:val="18"/>
          </w:rPr>
          <w:t>Table of Contents</w:t>
        </w:r>
      </w:hyperlink>
    </w:p>
    <w:p w14:paraId="22CFA2C5" w14:textId="77777777" w:rsidR="002661BA" w:rsidRDefault="00D972BC">
      <w:pPr>
        <w:ind w:firstLine="540"/>
        <w:jc w:val="both"/>
      </w:pPr>
      <w:r>
        <w:rPr>
          <w:rFonts w:ascii="Arial" w:eastAsia="宋体" w:hAnsi="Arial" w:cs="Arial"/>
          <w:i/>
          <w:iCs/>
          <w:color w:val="000000"/>
          <w:sz w:val="20"/>
          <w:szCs w:val="20"/>
        </w:rPr>
        <w:t>We may have exposure to greater than anticipated tax liabilities.</w:t>
      </w:r>
    </w:p>
    <w:p w14:paraId="22CFA2C6" w14:textId="77777777" w:rsidR="002661BA" w:rsidRDefault="002661BA">
      <w:pPr>
        <w:ind w:firstLine="540"/>
        <w:jc w:val="both"/>
      </w:pPr>
    </w:p>
    <w:p w14:paraId="22CFA2C7" w14:textId="77777777" w:rsidR="002661BA" w:rsidRDefault="00D972BC">
      <w:pPr>
        <w:ind w:firstLine="540"/>
        <w:jc w:val="both"/>
      </w:pPr>
      <w:r>
        <w:rPr>
          <w:rFonts w:ascii="Arial" w:eastAsia="宋体" w:hAnsi="Arial" w:cs="Arial"/>
          <w:color w:val="000000"/>
          <w:sz w:val="20"/>
          <w:szCs w:val="20"/>
        </w:rPr>
        <w:t>The determination of our worldwide provision for income taxes and other tax liabilities requires estimation and significant judgment, and there can be from ti</w:t>
      </w:r>
      <w:r>
        <w:rPr>
          <w:rFonts w:ascii="Arial" w:eastAsia="宋体" w:hAnsi="Arial" w:cs="Arial"/>
          <w:color w:val="000000"/>
          <w:sz w:val="20"/>
          <w:szCs w:val="20"/>
        </w:rPr>
        <w:t>me to time transactions and calculations where the ultimate tax determination is uncertain. Like many other multinational corporations, we are subject to tax in multiple U.S. and foreign jurisdictions and have structured our operations to reduce our effect</w:t>
      </w:r>
      <w:r>
        <w:rPr>
          <w:rFonts w:ascii="Arial" w:eastAsia="宋体" w:hAnsi="Arial" w:cs="Arial"/>
          <w:color w:val="000000"/>
          <w:sz w:val="20"/>
          <w:szCs w:val="20"/>
        </w:rPr>
        <w:t>ive tax rate. Our determination of our tax liability is always subject to audit and review by applicable domestic and foreign tax authorities, and we are currently undergoing a number of investigations, audits and reviews by taxing authorities throughout t</w:t>
      </w:r>
      <w:r>
        <w:rPr>
          <w:rFonts w:ascii="Arial" w:eastAsia="宋体" w:hAnsi="Arial" w:cs="Arial"/>
          <w:color w:val="000000"/>
          <w:sz w:val="20"/>
          <w:szCs w:val="20"/>
        </w:rPr>
        <w:t>he world, including with respect to our business structure. Any adverse outcome of any such audit or review could harm our business, and the ultimate tax outcome may differ from the amounts recorded in our financial statements and may materially affect our</w:t>
      </w:r>
      <w:r>
        <w:rPr>
          <w:rFonts w:ascii="Arial" w:eastAsia="宋体" w:hAnsi="Arial" w:cs="Arial"/>
          <w:color w:val="000000"/>
          <w:sz w:val="20"/>
          <w:szCs w:val="20"/>
        </w:rPr>
        <w:t xml:space="preserve"> financial results in the period or periods for which such determination is made. While we have established reserves based on assumptions and estimates that we believe are reasonable to cover such eventualities, these reserves may prove to be insufficient.</w:t>
      </w:r>
    </w:p>
    <w:p w14:paraId="22CFA2C8" w14:textId="77777777" w:rsidR="002661BA" w:rsidRDefault="002661BA">
      <w:pPr>
        <w:ind w:firstLine="540"/>
        <w:jc w:val="both"/>
      </w:pPr>
    </w:p>
    <w:p w14:paraId="22CFA2C9" w14:textId="77777777" w:rsidR="002661BA" w:rsidRDefault="00D972BC">
      <w:pPr>
        <w:ind w:firstLine="540"/>
        <w:jc w:val="both"/>
      </w:pPr>
      <w:r>
        <w:rPr>
          <w:rFonts w:ascii="Arial" w:eastAsia="宋体" w:hAnsi="Arial" w:cs="Arial"/>
          <w:color w:val="000000"/>
          <w:sz w:val="20"/>
          <w:szCs w:val="20"/>
        </w:rPr>
        <w:t>In addition, our future income taxes could be adversely affected by a shift in our jurisdictional earning mix, by changes in the valuation of our deferred tax assets and liabilities, as a result of gains on our foreign exchange risk management program, o</w:t>
      </w:r>
      <w:r>
        <w:rPr>
          <w:rFonts w:ascii="Arial" w:eastAsia="宋体" w:hAnsi="Arial" w:cs="Arial"/>
          <w:color w:val="000000"/>
          <w:sz w:val="20"/>
          <w:szCs w:val="20"/>
        </w:rPr>
        <w:t xml:space="preserve">r changes in tax laws, regulations, or accounting principles, as well as certain discrete items. </w:t>
      </w:r>
    </w:p>
    <w:p w14:paraId="22CFA2CA" w14:textId="77777777" w:rsidR="002661BA" w:rsidRDefault="002661BA">
      <w:pPr>
        <w:ind w:firstLine="540"/>
        <w:jc w:val="both"/>
      </w:pPr>
    </w:p>
    <w:p w14:paraId="22CFA2CB" w14:textId="77777777" w:rsidR="002661BA" w:rsidRDefault="00D972BC">
      <w:pPr>
        <w:ind w:firstLine="270"/>
        <w:jc w:val="both"/>
      </w:pPr>
      <w:r>
        <w:rPr>
          <w:rFonts w:ascii="Arial" w:eastAsia="宋体" w:hAnsi="Arial" w:cs="Arial"/>
          <w:b/>
          <w:bCs/>
          <w:i/>
          <w:iCs/>
          <w:color w:val="000000"/>
          <w:sz w:val="20"/>
          <w:szCs w:val="20"/>
        </w:rPr>
        <w:t>Transactional Risks</w:t>
      </w:r>
    </w:p>
    <w:p w14:paraId="22CFA2CC" w14:textId="77777777" w:rsidR="002661BA" w:rsidRDefault="002661BA">
      <w:pPr>
        <w:jc w:val="both"/>
      </w:pPr>
    </w:p>
    <w:p w14:paraId="22CFA2CD" w14:textId="77777777" w:rsidR="002661BA" w:rsidRDefault="00D972BC">
      <w:pPr>
        <w:ind w:firstLine="540"/>
        <w:jc w:val="both"/>
      </w:pPr>
      <w:r>
        <w:rPr>
          <w:rFonts w:ascii="Arial" w:eastAsia="宋体" w:hAnsi="Arial" w:cs="Arial"/>
          <w:i/>
          <w:iCs/>
          <w:color w:val="000000"/>
          <w:sz w:val="20"/>
          <w:szCs w:val="20"/>
        </w:rPr>
        <w:t xml:space="preserve">Acquisitions, dispositions, joint ventures, strategic partnerships and strategic investments could result in operating difficulties and could harm our business or impact our financial results. </w:t>
      </w:r>
    </w:p>
    <w:p w14:paraId="22CFA2CE" w14:textId="77777777" w:rsidR="002661BA" w:rsidRDefault="002661BA">
      <w:pPr>
        <w:ind w:firstLine="540"/>
        <w:jc w:val="both"/>
      </w:pPr>
    </w:p>
    <w:p w14:paraId="22CFA2CF" w14:textId="77777777" w:rsidR="002661BA" w:rsidRDefault="00D972BC">
      <w:pPr>
        <w:ind w:firstLine="540"/>
        <w:jc w:val="both"/>
      </w:pPr>
      <w:r>
        <w:rPr>
          <w:rFonts w:ascii="Arial" w:eastAsia="宋体" w:hAnsi="Arial" w:cs="Arial"/>
          <w:color w:val="000000"/>
          <w:sz w:val="20"/>
          <w:szCs w:val="20"/>
        </w:rPr>
        <w:t>We have acquired a significant number of businesses of varying size and scope, technologies, services, and products, and we maintain investments in certain businesses. We have also disposed of significant businesses. We expect to continue to evaluate and c</w:t>
      </w:r>
      <w:r>
        <w:rPr>
          <w:rFonts w:ascii="Arial" w:eastAsia="宋体" w:hAnsi="Arial" w:cs="Arial"/>
          <w:color w:val="000000"/>
          <w:sz w:val="20"/>
          <w:szCs w:val="20"/>
        </w:rPr>
        <w:t>onsider a wide array of potential strategic transactions as part of our overall business strategy, including business combinations, acquisitions, and dispositions of businesses, technologies, services, products, and other assets, as well as strategic inves</w:t>
      </w:r>
      <w:r>
        <w:rPr>
          <w:rFonts w:ascii="Arial" w:eastAsia="宋体" w:hAnsi="Arial" w:cs="Arial"/>
          <w:color w:val="000000"/>
          <w:sz w:val="20"/>
          <w:szCs w:val="20"/>
        </w:rPr>
        <w:t xml:space="preserve">tments and joint ventures. </w:t>
      </w:r>
    </w:p>
    <w:p w14:paraId="22CFA2D0" w14:textId="77777777" w:rsidR="002661BA" w:rsidRDefault="002661BA">
      <w:pPr>
        <w:ind w:firstLine="450"/>
        <w:jc w:val="both"/>
      </w:pPr>
    </w:p>
    <w:p w14:paraId="22CFA2D1" w14:textId="77777777" w:rsidR="002661BA" w:rsidRDefault="00D972BC">
      <w:pPr>
        <w:ind w:firstLine="540"/>
        <w:jc w:val="both"/>
      </w:pPr>
      <w:r>
        <w:rPr>
          <w:rFonts w:ascii="Arial" w:eastAsia="宋体" w:hAnsi="Arial" w:cs="Arial"/>
          <w:color w:val="000000"/>
          <w:sz w:val="20"/>
          <w:szCs w:val="20"/>
        </w:rPr>
        <w:t>These transactions may involve significant challenges and risks, including:</w:t>
      </w:r>
    </w:p>
    <w:p w14:paraId="22CFA2D2" w14:textId="77777777" w:rsidR="002661BA" w:rsidRDefault="002661BA">
      <w:pPr>
        <w:ind w:firstLine="450"/>
        <w:jc w:val="both"/>
      </w:pPr>
    </w:p>
    <w:p w14:paraId="22CFA2D3" w14:textId="77777777" w:rsidR="002661BA" w:rsidRDefault="00D972BC">
      <w:pPr>
        <w:ind w:hanging="360"/>
        <w:jc w:val="both"/>
      </w:pPr>
      <w:r>
        <w:rPr>
          <w:rFonts w:ascii="Arial" w:eastAsia="宋体" w:hAnsi="Arial" w:cs="Arial"/>
          <w:color w:val="000000"/>
          <w:sz w:val="20"/>
          <w:szCs w:val="20"/>
        </w:rPr>
        <w:t>•the potential loss of key customers, merchants, vendors and other key business partners of the companies we acquire, or dispose of, following and con</w:t>
      </w:r>
      <w:r>
        <w:rPr>
          <w:rFonts w:ascii="Arial" w:eastAsia="宋体" w:hAnsi="Arial" w:cs="Arial"/>
          <w:color w:val="000000"/>
          <w:sz w:val="20"/>
          <w:szCs w:val="20"/>
        </w:rPr>
        <w:t>tinuing after announcement of our transaction plans;</w:t>
      </w:r>
    </w:p>
    <w:p w14:paraId="22CFA2D4" w14:textId="77777777" w:rsidR="002661BA" w:rsidRDefault="00D972BC">
      <w:pPr>
        <w:ind w:hanging="360"/>
        <w:jc w:val="both"/>
      </w:pPr>
      <w:r>
        <w:rPr>
          <w:rFonts w:ascii="Arial" w:eastAsia="宋体" w:hAnsi="Arial" w:cs="Arial"/>
          <w:color w:val="000000"/>
          <w:sz w:val="20"/>
          <w:szCs w:val="20"/>
        </w:rPr>
        <w:t>•declining employee morale and retention issues affecting employees of companies that we acquire or dispose of, which may result from changes in compensation, or changes in management, reporting relation</w:t>
      </w:r>
      <w:r>
        <w:rPr>
          <w:rFonts w:ascii="Arial" w:eastAsia="宋体" w:hAnsi="Arial" w:cs="Arial"/>
          <w:color w:val="000000"/>
          <w:sz w:val="20"/>
          <w:szCs w:val="20"/>
        </w:rPr>
        <w:t>ships, future prospects or the direction of the acquired or disposed business;</w:t>
      </w:r>
    </w:p>
    <w:p w14:paraId="22CFA2D5" w14:textId="77777777" w:rsidR="002661BA" w:rsidRDefault="00D972BC">
      <w:pPr>
        <w:ind w:hanging="360"/>
        <w:jc w:val="both"/>
      </w:pPr>
      <w:r>
        <w:rPr>
          <w:rFonts w:ascii="Arial" w:eastAsia="宋体" w:hAnsi="Arial" w:cs="Arial"/>
          <w:color w:val="000000"/>
          <w:sz w:val="20"/>
          <w:szCs w:val="20"/>
        </w:rPr>
        <w:t>•difficulty making new and strategic hires of new employees;</w:t>
      </w:r>
    </w:p>
    <w:p w14:paraId="22CFA2D6" w14:textId="77777777" w:rsidR="002661BA" w:rsidRDefault="00D972BC">
      <w:pPr>
        <w:ind w:hanging="360"/>
        <w:jc w:val="both"/>
      </w:pPr>
      <w:r>
        <w:rPr>
          <w:rFonts w:ascii="Arial" w:eastAsia="宋体" w:hAnsi="Arial" w:cs="Arial"/>
          <w:color w:val="000000"/>
          <w:sz w:val="20"/>
          <w:szCs w:val="20"/>
        </w:rPr>
        <w:t>•diversion of management time and a shift of focus from operating the businesses to the transaction, and in the case</w:t>
      </w:r>
      <w:r>
        <w:rPr>
          <w:rFonts w:ascii="Arial" w:eastAsia="宋体" w:hAnsi="Arial" w:cs="Arial"/>
          <w:color w:val="000000"/>
          <w:sz w:val="20"/>
          <w:szCs w:val="20"/>
        </w:rPr>
        <w:t xml:space="preserve"> of an acquisition, integration and administration;</w:t>
      </w:r>
    </w:p>
    <w:p w14:paraId="22CFA2D7" w14:textId="77777777" w:rsidR="002661BA" w:rsidRDefault="00D972BC">
      <w:pPr>
        <w:ind w:hanging="360"/>
        <w:jc w:val="both"/>
      </w:pPr>
      <w:r>
        <w:rPr>
          <w:rFonts w:ascii="Arial" w:eastAsia="宋体" w:hAnsi="Arial" w:cs="Arial"/>
          <w:color w:val="000000"/>
          <w:sz w:val="20"/>
          <w:szCs w:val="20"/>
        </w:rPr>
        <w:t>•the need to provide transition services to a disposed of company, which may result in the diversion of resources and focus;</w:t>
      </w:r>
    </w:p>
    <w:p w14:paraId="22CFA2D8" w14:textId="77777777" w:rsidR="002661BA" w:rsidRDefault="00D972BC">
      <w:pPr>
        <w:ind w:hanging="360"/>
        <w:jc w:val="both"/>
      </w:pPr>
      <w:r>
        <w:rPr>
          <w:rFonts w:ascii="Arial" w:eastAsia="宋体" w:hAnsi="Arial" w:cs="Arial"/>
          <w:color w:val="000000"/>
          <w:sz w:val="20"/>
          <w:szCs w:val="20"/>
        </w:rPr>
        <w:t>•the need to integrate the operations, systems (including accounting, managemen</w:t>
      </w:r>
      <w:r>
        <w:rPr>
          <w:rFonts w:ascii="Arial" w:eastAsia="宋体" w:hAnsi="Arial" w:cs="Arial"/>
          <w:color w:val="000000"/>
          <w:sz w:val="20"/>
          <w:szCs w:val="20"/>
        </w:rPr>
        <w:t xml:space="preserve">t, information, human resource and other administrative systems), technologies, products and personnel of each acquired company, which is an inherently risky and potentially lengthy and costly process; </w:t>
      </w:r>
    </w:p>
    <w:p w14:paraId="22CFA2D9" w14:textId="77777777" w:rsidR="002661BA" w:rsidRDefault="00D972BC">
      <w:pPr>
        <w:ind w:hanging="360"/>
        <w:jc w:val="both"/>
      </w:pPr>
      <w:r>
        <w:rPr>
          <w:rFonts w:ascii="Arial" w:eastAsia="宋体" w:hAnsi="Arial" w:cs="Arial"/>
          <w:color w:val="000000"/>
          <w:sz w:val="20"/>
          <w:szCs w:val="20"/>
        </w:rPr>
        <w:t>•the inefficiencies and lack of control that may resu</w:t>
      </w:r>
      <w:r>
        <w:rPr>
          <w:rFonts w:ascii="Arial" w:eastAsia="宋体" w:hAnsi="Arial" w:cs="Arial"/>
          <w:color w:val="000000"/>
          <w:sz w:val="20"/>
          <w:szCs w:val="20"/>
        </w:rPr>
        <w:t>lt if such integration is delayed or not implemented, and unforeseen difficulties and expenditures that may arise as a result;</w:t>
      </w:r>
    </w:p>
    <w:p w14:paraId="22CFA2DA" w14:textId="77777777" w:rsidR="002661BA" w:rsidRDefault="00D972BC">
      <w:pPr>
        <w:ind w:hanging="360"/>
        <w:jc w:val="both"/>
      </w:pPr>
      <w:r>
        <w:rPr>
          <w:rFonts w:ascii="Arial" w:eastAsia="宋体" w:hAnsi="Arial" w:cs="Arial"/>
          <w:color w:val="000000"/>
          <w:sz w:val="20"/>
          <w:szCs w:val="20"/>
        </w:rPr>
        <w:t>•the need to implement or improve controls, procedures and policies appropriate for a larger public company at companies that pri</w:t>
      </w:r>
      <w:r>
        <w:rPr>
          <w:rFonts w:ascii="Arial" w:eastAsia="宋体" w:hAnsi="Arial" w:cs="Arial"/>
          <w:color w:val="000000"/>
          <w:sz w:val="20"/>
          <w:szCs w:val="20"/>
        </w:rPr>
        <w:t>or to acquisition may have lacked such controls, procedures and policies or whose controls, procedures and policies did not meet applicable legal and other standards;</w:t>
      </w:r>
    </w:p>
    <w:p w14:paraId="22CFA2DB" w14:textId="77777777" w:rsidR="002661BA" w:rsidRDefault="00D972BC">
      <w:pPr>
        <w:ind w:hanging="360"/>
        <w:jc w:val="both"/>
      </w:pPr>
      <w:r>
        <w:rPr>
          <w:rFonts w:ascii="Arial" w:eastAsia="宋体" w:hAnsi="Arial" w:cs="Arial"/>
          <w:color w:val="000000"/>
          <w:sz w:val="20"/>
          <w:szCs w:val="20"/>
        </w:rPr>
        <w:t>•risks associated with our expansion into new international markets;</w:t>
      </w:r>
    </w:p>
    <w:p w14:paraId="22CFA2DC" w14:textId="77777777" w:rsidR="002661BA" w:rsidRDefault="00D972BC">
      <w:pPr>
        <w:ind w:hanging="360"/>
        <w:jc w:val="both"/>
      </w:pPr>
      <w:r>
        <w:rPr>
          <w:rFonts w:ascii="Arial" w:eastAsia="宋体" w:hAnsi="Arial" w:cs="Arial"/>
          <w:color w:val="000000"/>
          <w:sz w:val="20"/>
          <w:szCs w:val="20"/>
        </w:rPr>
        <w:t>•derivative lawsuits</w:t>
      </w:r>
      <w:r>
        <w:rPr>
          <w:rFonts w:ascii="Arial" w:eastAsia="宋体" w:hAnsi="Arial" w:cs="Arial"/>
          <w:color w:val="000000"/>
          <w:sz w:val="20"/>
          <w:szCs w:val="20"/>
        </w:rPr>
        <w:t xml:space="preserve"> resulting from the acquisition or disposition;</w:t>
      </w:r>
    </w:p>
    <w:p w14:paraId="22CFA2DD" w14:textId="77777777" w:rsidR="002661BA" w:rsidRDefault="00D972BC">
      <w:pPr>
        <w:ind w:hanging="360"/>
        <w:jc w:val="both"/>
      </w:pPr>
      <w:r>
        <w:rPr>
          <w:rFonts w:ascii="Arial" w:eastAsia="宋体" w:hAnsi="Arial" w:cs="Arial"/>
          <w:color w:val="000000"/>
          <w:sz w:val="20"/>
          <w:szCs w:val="20"/>
        </w:rPr>
        <w:t>•liability for activities of the acquired or disposed of company before the transaction, including intellectual property and other litigation claims or disputes, violations of laws, rules and regulations, com</w:t>
      </w:r>
      <w:r>
        <w:rPr>
          <w:rFonts w:ascii="Arial" w:eastAsia="宋体" w:hAnsi="Arial" w:cs="Arial"/>
          <w:color w:val="000000"/>
          <w:sz w:val="20"/>
          <w:szCs w:val="20"/>
        </w:rPr>
        <w:t>mercial disputes, tax liabilities and other known and unknown liabilities and, in the case of dispositions, liabilities to the acquirors of those businesses under contractual provisions such as representations, warranties and indemnities;</w:t>
      </w:r>
    </w:p>
    <w:p w14:paraId="22CFA2DE" w14:textId="77777777" w:rsidR="002661BA" w:rsidRDefault="00D972BC">
      <w:pPr>
        <w:ind w:hanging="360"/>
        <w:jc w:val="both"/>
      </w:pPr>
      <w:r>
        <w:rPr>
          <w:rFonts w:ascii="Arial" w:eastAsia="宋体" w:hAnsi="Arial" w:cs="Arial"/>
          <w:color w:val="000000"/>
          <w:sz w:val="20"/>
          <w:szCs w:val="20"/>
        </w:rPr>
        <w:t>•the potential lo</w:t>
      </w:r>
      <w:r>
        <w:rPr>
          <w:rFonts w:ascii="Arial" w:eastAsia="宋体" w:hAnsi="Arial" w:cs="Arial"/>
          <w:color w:val="000000"/>
          <w:sz w:val="20"/>
          <w:szCs w:val="20"/>
        </w:rPr>
        <w:t>ss of key employees following the transaction;</w:t>
      </w:r>
    </w:p>
    <w:p w14:paraId="22CFA2DF" w14:textId="77777777" w:rsidR="002661BA" w:rsidRDefault="00D972BC">
      <w:pPr>
        <w:jc w:val="center"/>
      </w:pPr>
      <w:r>
        <w:rPr>
          <w:rFonts w:ascii="Arial" w:eastAsia="宋体" w:hAnsi="Arial" w:cs="Arial"/>
          <w:color w:val="000000"/>
          <w:sz w:val="18"/>
          <w:szCs w:val="18"/>
        </w:rPr>
        <w:t>26</w:t>
      </w:r>
    </w:p>
    <w:p w14:paraId="22CFA2E0" w14:textId="77777777" w:rsidR="002661BA" w:rsidRDefault="00D972BC">
      <w:r>
        <w:pict w14:anchorId="22CFE4C9">
          <v:rect id="_x0000_i1050" style="width:415.3pt;height:1.5pt" o:hralign="center" o:hrstd="t" o:hr="t" fillcolor="#a0a0a0" stroked="f"/>
        </w:pict>
      </w:r>
    </w:p>
    <w:p w14:paraId="22CFA2E1" w14:textId="77777777" w:rsidR="002661BA" w:rsidRDefault="00D972BC">
      <w:hyperlink r:id="rId52" w:anchor="id0d7a71b05ce452ea9fdb54f3cb359c7_7" w:history="1">
        <w:r>
          <w:rPr>
            <w:rStyle w:val="a5"/>
            <w:rFonts w:ascii="Arial" w:eastAsia="宋体" w:hAnsi="Arial" w:cs="Arial"/>
            <w:sz w:val="18"/>
            <w:szCs w:val="18"/>
          </w:rPr>
          <w:t>Table of Contents</w:t>
        </w:r>
      </w:hyperlink>
    </w:p>
    <w:p w14:paraId="22CFA2E2" w14:textId="77777777" w:rsidR="002661BA" w:rsidRDefault="00D972BC">
      <w:pPr>
        <w:ind w:hanging="360"/>
        <w:jc w:val="both"/>
      </w:pPr>
      <w:r>
        <w:rPr>
          <w:rFonts w:ascii="Arial" w:eastAsia="宋体" w:hAnsi="Arial" w:cs="Arial"/>
          <w:color w:val="000000"/>
          <w:sz w:val="20"/>
          <w:szCs w:val="20"/>
        </w:rPr>
        <w:t>•the acquisition of new customer and employee personal information by us or a third party acquiring assets or businesses from us, which in and of itself may require regulatory approval and or additional controls, policies and procedures and subject us to a</w:t>
      </w:r>
      <w:r>
        <w:rPr>
          <w:rFonts w:ascii="Arial" w:eastAsia="宋体" w:hAnsi="Arial" w:cs="Arial"/>
          <w:color w:val="000000"/>
          <w:sz w:val="20"/>
          <w:szCs w:val="20"/>
        </w:rPr>
        <w:t xml:space="preserve">dditional exposure; </w:t>
      </w:r>
    </w:p>
    <w:p w14:paraId="22CFA2E3" w14:textId="77777777" w:rsidR="002661BA" w:rsidRDefault="00D972BC">
      <w:pPr>
        <w:ind w:hanging="360"/>
        <w:jc w:val="both"/>
      </w:pPr>
      <w:r>
        <w:rPr>
          <w:rFonts w:ascii="Arial" w:eastAsia="宋体" w:hAnsi="Arial" w:cs="Arial"/>
          <w:color w:val="000000"/>
          <w:sz w:val="20"/>
          <w:szCs w:val="20"/>
        </w:rPr>
        <w:t>•any fluctuations in share prices, financial results and fluctuations in exchange rates, and our ability to sell our shares in any company we have invested in; and</w:t>
      </w:r>
    </w:p>
    <w:p w14:paraId="22CFA2E4" w14:textId="77777777" w:rsidR="002661BA" w:rsidRDefault="00D972BC">
      <w:pPr>
        <w:ind w:hanging="360"/>
        <w:jc w:val="both"/>
      </w:pPr>
      <w:r>
        <w:rPr>
          <w:rFonts w:ascii="Arial" w:eastAsia="宋体" w:hAnsi="Arial" w:cs="Arial"/>
          <w:color w:val="000000"/>
          <w:sz w:val="20"/>
          <w:szCs w:val="20"/>
        </w:rPr>
        <w:t>•our dependence on the acquired business’ accounting, financial reporti</w:t>
      </w:r>
      <w:r>
        <w:rPr>
          <w:rFonts w:ascii="Arial" w:eastAsia="宋体" w:hAnsi="Arial" w:cs="Arial"/>
          <w:color w:val="000000"/>
          <w:sz w:val="20"/>
          <w:szCs w:val="20"/>
        </w:rPr>
        <w:t>ng, operating metrics and similar systems, controls and processes and the risk that errors or irregularities in those systems, controls and processes will lead to errors in our consolidated financial statements or make it more difficult to manage the acqui</w:t>
      </w:r>
      <w:r>
        <w:rPr>
          <w:rFonts w:ascii="Arial" w:eastAsia="宋体" w:hAnsi="Arial" w:cs="Arial"/>
          <w:color w:val="000000"/>
          <w:sz w:val="20"/>
          <w:szCs w:val="20"/>
        </w:rPr>
        <w:t>red business.</w:t>
      </w:r>
    </w:p>
    <w:p w14:paraId="22CFA2E5" w14:textId="77777777" w:rsidR="002661BA" w:rsidRDefault="00D972BC">
      <w:pPr>
        <w:ind w:firstLine="450"/>
        <w:jc w:val="both"/>
      </w:pPr>
      <w:r>
        <w:rPr>
          <w:rFonts w:ascii="Arial" w:eastAsia="宋体" w:hAnsi="Arial" w:cs="Arial"/>
          <w:color w:val="000000"/>
          <w:sz w:val="20"/>
          <w:szCs w:val="20"/>
        </w:rPr>
        <w:t>    </w:t>
      </w:r>
    </w:p>
    <w:p w14:paraId="22CFA2E6" w14:textId="77777777" w:rsidR="002661BA" w:rsidRDefault="00D972BC">
      <w:pPr>
        <w:ind w:firstLine="540"/>
        <w:jc w:val="both"/>
      </w:pPr>
      <w:r>
        <w:rPr>
          <w:rFonts w:ascii="Arial" w:eastAsia="宋体" w:hAnsi="Arial" w:cs="Arial"/>
          <w:color w:val="000000"/>
          <w:sz w:val="20"/>
          <w:szCs w:val="20"/>
        </w:rPr>
        <w:t>We have made certain investments, including through joint ventures, in which we have a minority equity interest and/or lack management and operational control. The controlling joint venture partner in a joint venture may have business in</w:t>
      </w:r>
      <w:r>
        <w:rPr>
          <w:rFonts w:ascii="Arial" w:eastAsia="宋体" w:hAnsi="Arial" w:cs="Arial"/>
          <w:color w:val="000000"/>
          <w:sz w:val="20"/>
          <w:szCs w:val="20"/>
        </w:rPr>
        <w:t xml:space="preserve">terests, strategies, or goals that are inconsistent with ours, and business decisions or other actions or omissions of the controlling joint venture partner or the joint venture company may result in harm to our reputation or adversely affect the value of </w:t>
      </w:r>
      <w:r>
        <w:rPr>
          <w:rFonts w:ascii="Arial" w:eastAsia="宋体" w:hAnsi="Arial" w:cs="Arial"/>
          <w:color w:val="000000"/>
          <w:sz w:val="20"/>
          <w:szCs w:val="20"/>
        </w:rPr>
        <w:t>our investment in the joint venture. Any circumstances, which may be out of our control, that adversely affect the value of our investments, or cost resulting from regulatory action or lawsuits in connection with our investments, could harm our business or</w:t>
      </w:r>
      <w:r>
        <w:rPr>
          <w:rFonts w:ascii="Arial" w:eastAsia="宋体" w:hAnsi="Arial" w:cs="Arial"/>
          <w:color w:val="000000"/>
          <w:sz w:val="20"/>
          <w:szCs w:val="20"/>
        </w:rPr>
        <w:t xml:space="preserve"> negatively impact our financial results.</w:t>
      </w:r>
    </w:p>
    <w:p w14:paraId="22CFA2E7" w14:textId="77777777" w:rsidR="002661BA" w:rsidRDefault="002661BA">
      <w:pPr>
        <w:ind w:firstLine="540"/>
        <w:jc w:val="both"/>
      </w:pPr>
    </w:p>
    <w:p w14:paraId="22CFA2E8" w14:textId="77777777" w:rsidR="002661BA" w:rsidRDefault="00D972BC">
      <w:pPr>
        <w:ind w:firstLine="540"/>
        <w:jc w:val="both"/>
      </w:pPr>
      <w:r>
        <w:rPr>
          <w:rFonts w:ascii="Arial" w:eastAsia="宋体" w:hAnsi="Arial" w:cs="Arial"/>
          <w:color w:val="000000"/>
          <w:sz w:val="20"/>
          <w:szCs w:val="20"/>
        </w:rPr>
        <w:t>We entered into a warrant agreement in conjunction with a commercial agreement with Adyen that entitles us to acquire a fixed number of shares of Adyen’s common stock subject to certain milestones being met. This warrant is accounted for as a derivative in</w:t>
      </w:r>
      <w:r>
        <w:rPr>
          <w:rFonts w:ascii="Arial" w:eastAsia="宋体" w:hAnsi="Arial" w:cs="Arial"/>
          <w:color w:val="000000"/>
          <w:sz w:val="20"/>
          <w:szCs w:val="20"/>
        </w:rPr>
        <w:t xml:space="preserve">strument under ASC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Changes in Adyen’s common stock price and equity volatility has had, and may continue to have in the future, a significant impact on the value of this warrant. We report this warrant on a quarterly bas</w:t>
      </w:r>
      <w:r>
        <w:rPr>
          <w:rFonts w:ascii="Arial" w:eastAsia="宋体" w:hAnsi="Arial" w:cs="Arial"/>
          <w:color w:val="000000"/>
          <w:sz w:val="20"/>
          <w:szCs w:val="20"/>
        </w:rPr>
        <w:t>is at fair value in our consolidated balance sheets, and changes in the fair value of this warrant are recognized in our consolidated statement of income. Fluctuations in Adyen’s common stock price and prevailing foreign exchange rate or other changes in a</w:t>
      </w:r>
      <w:r>
        <w:rPr>
          <w:rFonts w:ascii="Arial" w:eastAsia="宋体" w:hAnsi="Arial" w:cs="Arial"/>
          <w:color w:val="000000"/>
          <w:sz w:val="20"/>
          <w:szCs w:val="20"/>
        </w:rPr>
        <w:t>ssumptions could result in material changes in the fair value that we report in our consolidated balance sheets and our consolidated statement of income, which could have a material impact on our financial results.</w:t>
      </w:r>
    </w:p>
    <w:p w14:paraId="22CFA2E9" w14:textId="77777777" w:rsidR="002661BA" w:rsidRDefault="002661BA">
      <w:pPr>
        <w:ind w:firstLine="540"/>
        <w:jc w:val="both"/>
      </w:pPr>
    </w:p>
    <w:p w14:paraId="22CFA2EA" w14:textId="77777777" w:rsidR="002661BA" w:rsidRDefault="00D972BC">
      <w:pPr>
        <w:ind w:firstLine="540"/>
        <w:jc w:val="both"/>
      </w:pPr>
      <w:r>
        <w:rPr>
          <w:rFonts w:ascii="Arial" w:eastAsia="宋体" w:hAnsi="Arial" w:cs="Arial"/>
          <w:color w:val="000000"/>
          <w:sz w:val="20"/>
          <w:szCs w:val="20"/>
        </w:rPr>
        <w:t>Upon closing of the transaction to trans</w:t>
      </w:r>
      <w:r>
        <w:rPr>
          <w:rFonts w:ascii="Arial" w:eastAsia="宋体" w:hAnsi="Arial" w:cs="Arial"/>
          <w:color w:val="000000"/>
          <w:sz w:val="20"/>
          <w:szCs w:val="20"/>
        </w:rPr>
        <w:t>fer the Classifieds business, we received approximately 540 million Adevinta shares, a portion of which was later sold to Permira. Fluctuations in Adevinta’s share price, financial results and fluctuations in exchange rates could result in material changes</w:t>
      </w:r>
      <w:r>
        <w:rPr>
          <w:rFonts w:ascii="Arial" w:eastAsia="宋体" w:hAnsi="Arial" w:cs="Arial"/>
          <w:color w:val="000000"/>
          <w:sz w:val="20"/>
          <w:szCs w:val="20"/>
        </w:rPr>
        <w:t xml:space="preserve"> in our consolidated balance sheet and our consolidated statement of income. In addition, our ability to sell our Adevinta shares in the future will be subject to market conditions and other factors which could impact the value we are able to realize from </w:t>
      </w:r>
      <w:r>
        <w:rPr>
          <w:rFonts w:ascii="Arial" w:eastAsia="宋体" w:hAnsi="Arial" w:cs="Arial"/>
          <w:color w:val="000000"/>
          <w:sz w:val="20"/>
          <w:szCs w:val="20"/>
        </w:rPr>
        <w:t>any such sales.</w:t>
      </w:r>
    </w:p>
    <w:p w14:paraId="22CFA2EB" w14:textId="77777777" w:rsidR="002661BA" w:rsidRDefault="002661BA">
      <w:pPr>
        <w:ind w:firstLine="540"/>
        <w:jc w:val="both"/>
      </w:pPr>
    </w:p>
    <w:p w14:paraId="22CFA2EC" w14:textId="77777777" w:rsidR="002661BA" w:rsidRDefault="00D972BC">
      <w:pPr>
        <w:ind w:firstLine="540"/>
        <w:jc w:val="both"/>
      </w:pPr>
      <w:r>
        <w:rPr>
          <w:rFonts w:ascii="Arial" w:eastAsia="宋体" w:hAnsi="Arial" w:cs="Arial"/>
          <w:i/>
          <w:iCs/>
          <w:color w:val="000000"/>
          <w:sz w:val="20"/>
          <w:szCs w:val="20"/>
        </w:rPr>
        <w:t>We could incur significant liability if the Distribution is determined to be a taxable transaction.</w:t>
      </w:r>
    </w:p>
    <w:p w14:paraId="22CFA2ED" w14:textId="77777777" w:rsidR="002661BA" w:rsidRDefault="002661BA">
      <w:pPr>
        <w:ind w:firstLine="540"/>
        <w:jc w:val="both"/>
      </w:pPr>
    </w:p>
    <w:p w14:paraId="22CFA2EE" w14:textId="77777777" w:rsidR="002661BA" w:rsidRDefault="00D972BC">
      <w:pPr>
        <w:ind w:firstLine="540"/>
        <w:jc w:val="both"/>
      </w:pPr>
      <w:r>
        <w:rPr>
          <w:rFonts w:ascii="Arial" w:eastAsia="宋体" w:hAnsi="Arial" w:cs="Arial"/>
          <w:color w:val="000000"/>
          <w:sz w:val="20"/>
          <w:szCs w:val="20"/>
        </w:rPr>
        <w:t>We have received an opinion from outside tax counsel to the effect that our distribution of 100% of the outstanding common stock of PayPal</w:t>
      </w:r>
      <w:r>
        <w:rPr>
          <w:rFonts w:ascii="Arial" w:eastAsia="宋体" w:hAnsi="Arial" w:cs="Arial"/>
          <w:color w:val="000000"/>
          <w:sz w:val="20"/>
          <w:szCs w:val="20"/>
        </w:rPr>
        <w:t xml:space="preserve"> to our stockholders on July 17, 2015 (the “Distribution”) qualifies as a transaction that is described in Sections 355 and 368(a)(1)(D) of the Internal Revenue Code. The opinion relies on certain facts, assumptions, representations and undertakings from P</w:t>
      </w:r>
      <w:r>
        <w:rPr>
          <w:rFonts w:ascii="Arial" w:eastAsia="宋体" w:hAnsi="Arial" w:cs="Arial"/>
          <w:color w:val="000000"/>
          <w:sz w:val="20"/>
          <w:szCs w:val="20"/>
        </w:rPr>
        <w:t>ayPal and us regarding the past and future conduct of the companies’ respective businesses and other matters. If any of these facts, assumptions, representations or undertakings are incorrect or not satisfied, our stockholders and we may not be able to rel</w:t>
      </w:r>
      <w:r>
        <w:rPr>
          <w:rFonts w:ascii="Arial" w:eastAsia="宋体" w:hAnsi="Arial" w:cs="Arial"/>
          <w:color w:val="000000"/>
          <w:sz w:val="20"/>
          <w:szCs w:val="20"/>
        </w:rPr>
        <w:t>y on the opinion of tax counsel and could be subject to significant tax liabilities. Notwithstanding the opinion of tax counsel we have received, the IRS could determine on audit that the Distribution is taxable if it determines that any of these facts, as</w:t>
      </w:r>
      <w:r>
        <w:rPr>
          <w:rFonts w:ascii="Arial" w:eastAsia="宋体" w:hAnsi="Arial" w:cs="Arial"/>
          <w:color w:val="000000"/>
          <w:sz w:val="20"/>
          <w:szCs w:val="20"/>
        </w:rPr>
        <w:t>sumptions, representations or undertakings are not correct or have been violated or if it disagrees with the conclusions in the opinion. If the Distribution is determined to be taxable for U.S. federal income tax purposes, our stockholders that are subject</w:t>
      </w:r>
      <w:r>
        <w:rPr>
          <w:rFonts w:ascii="Arial" w:eastAsia="宋体" w:hAnsi="Arial" w:cs="Arial"/>
          <w:color w:val="000000"/>
          <w:sz w:val="20"/>
          <w:szCs w:val="20"/>
        </w:rPr>
        <w:t xml:space="preserve"> to U.S. federal income tax and we could incur significant U.S. federal income tax liabilities.</w:t>
      </w:r>
    </w:p>
    <w:p w14:paraId="22CFA2EF" w14:textId="77777777" w:rsidR="002661BA" w:rsidRDefault="002661BA">
      <w:pPr>
        <w:ind w:firstLine="540"/>
        <w:jc w:val="both"/>
      </w:pPr>
    </w:p>
    <w:p w14:paraId="22CFA2F0" w14:textId="77777777" w:rsidR="002661BA" w:rsidRDefault="00D972BC">
      <w:pPr>
        <w:ind w:firstLine="540"/>
        <w:jc w:val="both"/>
      </w:pPr>
      <w:r>
        <w:rPr>
          <w:rFonts w:ascii="Arial" w:eastAsia="宋体" w:hAnsi="Arial" w:cs="Arial"/>
          <w:i/>
          <w:iCs/>
          <w:color w:val="000000"/>
          <w:sz w:val="20"/>
          <w:szCs w:val="20"/>
        </w:rPr>
        <w:t>We may be exposed to claims and liabilities as a result of the Distribution.</w:t>
      </w:r>
    </w:p>
    <w:p w14:paraId="22CFA2F1" w14:textId="77777777" w:rsidR="002661BA" w:rsidRDefault="002661BA">
      <w:pPr>
        <w:ind w:firstLine="540"/>
        <w:jc w:val="both"/>
      </w:pPr>
    </w:p>
    <w:p w14:paraId="22CFA2F2" w14:textId="77777777" w:rsidR="002661BA" w:rsidRDefault="00D972BC">
      <w:pPr>
        <w:ind w:firstLine="540"/>
        <w:jc w:val="both"/>
      </w:pPr>
      <w:r>
        <w:rPr>
          <w:rFonts w:ascii="Arial" w:eastAsia="宋体" w:hAnsi="Arial" w:cs="Arial"/>
          <w:color w:val="000000"/>
          <w:sz w:val="20"/>
          <w:szCs w:val="20"/>
        </w:rPr>
        <w:t>We entered into a separation and distribution agreement and various other agreeme</w:t>
      </w:r>
      <w:r>
        <w:rPr>
          <w:rFonts w:ascii="Arial" w:eastAsia="宋体" w:hAnsi="Arial" w:cs="Arial"/>
          <w:color w:val="000000"/>
          <w:sz w:val="20"/>
          <w:szCs w:val="20"/>
        </w:rPr>
        <w:t>nts with PayPal to govern the Distribution and the relationship of the two companies. These agreements provide for specific indemnity and liability obligations and could lead to disputes between us and PayPal. The indemnity rights we have against PayPal un</w:t>
      </w:r>
      <w:r>
        <w:rPr>
          <w:rFonts w:ascii="Arial" w:eastAsia="宋体" w:hAnsi="Arial" w:cs="Arial"/>
          <w:color w:val="000000"/>
          <w:sz w:val="20"/>
          <w:szCs w:val="20"/>
        </w:rPr>
        <w:t>der the agreements may not be sufficient to protect us. In addition, our indemnity obligations to PayPal may be significant and these risks could negatively affect our results of operations and financial condition.</w:t>
      </w:r>
    </w:p>
    <w:p w14:paraId="22CFA2F3" w14:textId="77777777" w:rsidR="002661BA" w:rsidRDefault="002661BA">
      <w:pPr>
        <w:ind w:firstLine="720"/>
        <w:jc w:val="both"/>
      </w:pPr>
    </w:p>
    <w:p w14:paraId="22CFA2F4" w14:textId="77777777" w:rsidR="002661BA" w:rsidRDefault="00D972BC">
      <w:pPr>
        <w:jc w:val="center"/>
      </w:pPr>
      <w:r>
        <w:rPr>
          <w:rFonts w:ascii="Arial" w:eastAsia="宋体" w:hAnsi="Arial" w:cs="Arial"/>
          <w:color w:val="000000"/>
          <w:sz w:val="18"/>
          <w:szCs w:val="18"/>
        </w:rPr>
        <w:t>27</w:t>
      </w:r>
    </w:p>
    <w:p w14:paraId="22CFA2F5" w14:textId="77777777" w:rsidR="002661BA" w:rsidRDefault="00D972BC">
      <w:r>
        <w:pict w14:anchorId="22CFE4CA">
          <v:rect id="_x0000_i1051" style="width:415.3pt;height:1.5pt" o:hralign="center" o:hrstd="t" o:hr="t" fillcolor="#a0a0a0" stroked="f"/>
        </w:pict>
      </w:r>
    </w:p>
    <w:p w14:paraId="22CFA2F6" w14:textId="77777777" w:rsidR="002661BA" w:rsidRDefault="00D972BC">
      <w:hyperlink r:id="rId53" w:anchor="id0d7a71b05ce452ea9fdb54f3cb359c7_7" w:history="1">
        <w:r>
          <w:rPr>
            <w:rStyle w:val="a5"/>
            <w:rFonts w:ascii="Arial" w:eastAsia="宋体" w:hAnsi="Arial" w:cs="Arial"/>
            <w:sz w:val="18"/>
            <w:szCs w:val="18"/>
          </w:rPr>
          <w:t>Table of Contents</w:t>
        </w:r>
      </w:hyperlink>
    </w:p>
    <w:p w14:paraId="22CFA2F7" w14:textId="77777777" w:rsidR="002661BA" w:rsidRDefault="00D972BC">
      <w:pPr>
        <w:ind w:hanging="1440"/>
      </w:pPr>
      <w:r>
        <w:rPr>
          <w:rFonts w:ascii="Arial" w:eastAsia="宋体" w:hAnsi="Arial" w:cs="Arial"/>
          <w:b/>
          <w:bCs/>
          <w:color w:val="000000"/>
          <w:sz w:val="20"/>
          <w:szCs w:val="20"/>
        </w:rPr>
        <w:t xml:space="preserve">ITEM 1B: </w:t>
      </w:r>
      <w:r>
        <w:rPr>
          <w:rFonts w:ascii="Arial" w:eastAsia="宋体" w:hAnsi="Arial" w:cs="Arial"/>
          <w:b/>
          <w:bCs/>
          <w:i/>
          <w:iCs/>
          <w:color w:val="000000"/>
          <w:sz w:val="20"/>
          <w:szCs w:val="20"/>
        </w:rPr>
        <w:t>UNRESOLVED STAFF COMMENTS</w:t>
      </w:r>
    </w:p>
    <w:p w14:paraId="22CFA2F8" w14:textId="77777777" w:rsidR="002661BA" w:rsidRDefault="002661BA">
      <w:pPr>
        <w:ind w:firstLine="540"/>
      </w:pPr>
    </w:p>
    <w:p w14:paraId="22CFA2F9" w14:textId="77777777" w:rsidR="002661BA" w:rsidRDefault="00D972BC">
      <w:pPr>
        <w:ind w:firstLine="540"/>
      </w:pPr>
      <w:r>
        <w:rPr>
          <w:rFonts w:ascii="Arial" w:eastAsia="宋体" w:hAnsi="Arial" w:cs="Arial"/>
          <w:color w:val="000000"/>
          <w:sz w:val="20"/>
          <w:szCs w:val="20"/>
        </w:rPr>
        <w:t xml:space="preserve">Not applicable. </w:t>
      </w:r>
    </w:p>
    <w:p w14:paraId="22CFA2FA" w14:textId="77777777" w:rsidR="002661BA" w:rsidRDefault="002661BA">
      <w:pPr>
        <w:ind w:firstLine="540"/>
      </w:pPr>
    </w:p>
    <w:p w14:paraId="22CFA2FB" w14:textId="77777777" w:rsidR="002661BA" w:rsidRDefault="00D972BC">
      <w:pPr>
        <w:spacing w:before="60"/>
        <w:ind w:hanging="1440"/>
      </w:pPr>
      <w:r>
        <w:rPr>
          <w:rFonts w:ascii="Arial" w:eastAsia="宋体" w:hAnsi="Arial" w:cs="Arial"/>
          <w:b/>
          <w:bCs/>
          <w:color w:val="000000"/>
          <w:sz w:val="20"/>
          <w:szCs w:val="20"/>
        </w:rPr>
        <w:t xml:space="preserve">ITEM 2: </w:t>
      </w:r>
      <w:r>
        <w:rPr>
          <w:rFonts w:ascii="Arial" w:eastAsia="宋体" w:hAnsi="Arial" w:cs="Arial"/>
          <w:b/>
          <w:bCs/>
          <w:i/>
          <w:iCs/>
          <w:color w:val="000000"/>
          <w:sz w:val="20"/>
          <w:szCs w:val="20"/>
        </w:rPr>
        <w:t>PROPERTIES</w:t>
      </w:r>
      <w:r>
        <w:rPr>
          <w:rFonts w:ascii="Arial" w:eastAsia="宋体" w:hAnsi="Arial" w:cs="Arial"/>
          <w:color w:val="000000"/>
          <w:sz w:val="20"/>
          <w:szCs w:val="20"/>
        </w:rPr>
        <w:t>    </w:t>
      </w:r>
    </w:p>
    <w:p w14:paraId="22CFA2FC" w14:textId="77777777" w:rsidR="002661BA" w:rsidRDefault="002661BA">
      <w:pPr>
        <w:ind w:firstLine="540"/>
      </w:pPr>
    </w:p>
    <w:p w14:paraId="22CFA2FD" w14:textId="77777777" w:rsidR="002661BA" w:rsidRDefault="00D972BC">
      <w:pPr>
        <w:spacing w:after="120"/>
        <w:ind w:firstLine="540"/>
        <w:jc w:val="both"/>
      </w:pPr>
      <w:r>
        <w:rPr>
          <w:rFonts w:ascii="Arial" w:eastAsia="宋体" w:hAnsi="Arial" w:cs="Arial"/>
          <w:color w:val="000000"/>
          <w:sz w:val="20"/>
          <w:szCs w:val="20"/>
        </w:rPr>
        <w:t xml:space="preserve">We own and lease various </w:t>
      </w:r>
      <w:r>
        <w:rPr>
          <w:rFonts w:ascii="Arial" w:eastAsia="宋体" w:hAnsi="Arial" w:cs="Arial"/>
          <w:color w:val="000000"/>
          <w:sz w:val="20"/>
          <w:szCs w:val="20"/>
        </w:rPr>
        <w:t>properties in the U.S. and 23 other countries around the world. We use the properties for executive and administrative offices, data centers, product development offices and customer service offices. Our headquarters are located in San Jose, California and</w:t>
      </w:r>
      <w:r>
        <w:rPr>
          <w:rFonts w:ascii="Arial" w:eastAsia="宋体" w:hAnsi="Arial" w:cs="Arial"/>
          <w:color w:val="000000"/>
          <w:sz w:val="20"/>
          <w:szCs w:val="20"/>
        </w:rPr>
        <w:t xml:space="preserve"> occupies approximately 0.5 million square feet. Our owned data centers are solely located in Utah. The following table presents the aggregate square footage of our owned and leased properties for our continuing operations as of December 31, 2021 (in milli</w:t>
      </w:r>
      <w:r>
        <w:rPr>
          <w:rFonts w:ascii="Arial" w:eastAsia="宋体" w:hAnsi="Arial" w:cs="Arial"/>
          <w:color w:val="000000"/>
          <w:sz w:val="20"/>
          <w:szCs w:val="20"/>
        </w:rPr>
        <w:t>ons):</w:t>
      </w:r>
    </w:p>
    <w:tbl>
      <w:tblPr>
        <w:tblW w:w="5000" w:type="pct"/>
        <w:tblCellMar>
          <w:top w:w="15" w:type="dxa"/>
          <w:left w:w="15" w:type="dxa"/>
          <w:bottom w:w="15" w:type="dxa"/>
          <w:right w:w="15" w:type="dxa"/>
        </w:tblCellMar>
        <w:tblLook w:val="04A0" w:firstRow="1" w:lastRow="0" w:firstColumn="1" w:lastColumn="0" w:noHBand="0" w:noVBand="1"/>
      </w:tblPr>
      <w:tblGrid>
        <w:gridCol w:w="54"/>
        <w:gridCol w:w="4939"/>
        <w:gridCol w:w="36"/>
        <w:gridCol w:w="54"/>
        <w:gridCol w:w="939"/>
        <w:gridCol w:w="36"/>
        <w:gridCol w:w="36"/>
        <w:gridCol w:w="36"/>
        <w:gridCol w:w="36"/>
        <w:gridCol w:w="66"/>
        <w:gridCol w:w="928"/>
        <w:gridCol w:w="36"/>
        <w:gridCol w:w="36"/>
        <w:gridCol w:w="36"/>
        <w:gridCol w:w="36"/>
        <w:gridCol w:w="55"/>
        <w:gridCol w:w="941"/>
        <w:gridCol w:w="36"/>
      </w:tblGrid>
      <w:tr w:rsidR="002661BA" w14:paraId="22CFA310" w14:textId="77777777">
        <w:tc>
          <w:tcPr>
            <w:tcW w:w="50" w:type="pct"/>
            <w:shd w:val="clear" w:color="auto" w:fill="auto"/>
            <w:vAlign w:val="bottom"/>
          </w:tcPr>
          <w:p w14:paraId="22CFA2FE" w14:textId="77777777" w:rsidR="002661BA" w:rsidRDefault="002661BA">
            <w:pPr>
              <w:rPr>
                <w:rFonts w:ascii="宋体"/>
              </w:rPr>
            </w:pPr>
          </w:p>
        </w:tc>
        <w:tc>
          <w:tcPr>
            <w:tcW w:w="2978" w:type="pct"/>
            <w:shd w:val="clear" w:color="auto" w:fill="auto"/>
            <w:vAlign w:val="bottom"/>
          </w:tcPr>
          <w:p w14:paraId="22CFA2FF" w14:textId="77777777" w:rsidR="002661BA" w:rsidRDefault="002661BA">
            <w:pPr>
              <w:rPr>
                <w:rFonts w:ascii="宋体"/>
              </w:rPr>
            </w:pPr>
          </w:p>
        </w:tc>
        <w:tc>
          <w:tcPr>
            <w:tcW w:w="5" w:type="pct"/>
            <w:shd w:val="clear" w:color="auto" w:fill="auto"/>
            <w:vAlign w:val="bottom"/>
          </w:tcPr>
          <w:p w14:paraId="22CFA300" w14:textId="77777777" w:rsidR="002661BA" w:rsidRDefault="002661BA">
            <w:pPr>
              <w:rPr>
                <w:rFonts w:ascii="宋体"/>
              </w:rPr>
            </w:pPr>
          </w:p>
        </w:tc>
        <w:tc>
          <w:tcPr>
            <w:tcW w:w="50" w:type="pct"/>
            <w:shd w:val="clear" w:color="auto" w:fill="auto"/>
            <w:vAlign w:val="bottom"/>
          </w:tcPr>
          <w:p w14:paraId="22CFA301" w14:textId="77777777" w:rsidR="002661BA" w:rsidRDefault="002661BA">
            <w:pPr>
              <w:rPr>
                <w:rFonts w:ascii="宋体"/>
              </w:rPr>
            </w:pPr>
          </w:p>
        </w:tc>
        <w:tc>
          <w:tcPr>
            <w:tcW w:w="580" w:type="pct"/>
            <w:shd w:val="clear" w:color="auto" w:fill="auto"/>
            <w:vAlign w:val="bottom"/>
          </w:tcPr>
          <w:p w14:paraId="22CFA302" w14:textId="77777777" w:rsidR="002661BA" w:rsidRDefault="002661BA">
            <w:pPr>
              <w:rPr>
                <w:rFonts w:ascii="宋体"/>
              </w:rPr>
            </w:pPr>
          </w:p>
        </w:tc>
        <w:tc>
          <w:tcPr>
            <w:tcW w:w="5" w:type="pct"/>
            <w:shd w:val="clear" w:color="auto" w:fill="auto"/>
            <w:vAlign w:val="bottom"/>
          </w:tcPr>
          <w:p w14:paraId="22CFA303" w14:textId="77777777" w:rsidR="002661BA" w:rsidRDefault="002661BA">
            <w:pPr>
              <w:rPr>
                <w:rFonts w:ascii="宋体"/>
              </w:rPr>
            </w:pPr>
          </w:p>
        </w:tc>
        <w:tc>
          <w:tcPr>
            <w:tcW w:w="5" w:type="pct"/>
            <w:shd w:val="clear" w:color="auto" w:fill="auto"/>
            <w:vAlign w:val="bottom"/>
          </w:tcPr>
          <w:p w14:paraId="22CFA304" w14:textId="77777777" w:rsidR="002661BA" w:rsidRDefault="002661BA">
            <w:pPr>
              <w:rPr>
                <w:rFonts w:ascii="宋体"/>
              </w:rPr>
            </w:pPr>
          </w:p>
        </w:tc>
        <w:tc>
          <w:tcPr>
            <w:tcW w:w="19" w:type="pct"/>
            <w:shd w:val="clear" w:color="auto" w:fill="auto"/>
            <w:vAlign w:val="bottom"/>
          </w:tcPr>
          <w:p w14:paraId="22CFA305" w14:textId="77777777" w:rsidR="002661BA" w:rsidRDefault="002661BA">
            <w:pPr>
              <w:rPr>
                <w:rFonts w:ascii="宋体"/>
              </w:rPr>
            </w:pPr>
          </w:p>
        </w:tc>
        <w:tc>
          <w:tcPr>
            <w:tcW w:w="5" w:type="pct"/>
            <w:shd w:val="clear" w:color="auto" w:fill="auto"/>
            <w:vAlign w:val="bottom"/>
          </w:tcPr>
          <w:p w14:paraId="22CFA306" w14:textId="77777777" w:rsidR="002661BA" w:rsidRDefault="002661BA">
            <w:pPr>
              <w:rPr>
                <w:rFonts w:ascii="宋体"/>
              </w:rPr>
            </w:pPr>
          </w:p>
        </w:tc>
        <w:tc>
          <w:tcPr>
            <w:tcW w:w="50" w:type="pct"/>
            <w:shd w:val="clear" w:color="auto" w:fill="auto"/>
            <w:vAlign w:val="bottom"/>
          </w:tcPr>
          <w:p w14:paraId="22CFA307" w14:textId="77777777" w:rsidR="002661BA" w:rsidRDefault="002661BA">
            <w:pPr>
              <w:rPr>
                <w:rFonts w:ascii="宋体"/>
              </w:rPr>
            </w:pPr>
          </w:p>
        </w:tc>
        <w:tc>
          <w:tcPr>
            <w:tcW w:w="580" w:type="pct"/>
            <w:shd w:val="clear" w:color="auto" w:fill="auto"/>
            <w:vAlign w:val="bottom"/>
          </w:tcPr>
          <w:p w14:paraId="22CFA308" w14:textId="77777777" w:rsidR="002661BA" w:rsidRDefault="002661BA">
            <w:pPr>
              <w:rPr>
                <w:rFonts w:ascii="宋体"/>
              </w:rPr>
            </w:pPr>
          </w:p>
        </w:tc>
        <w:tc>
          <w:tcPr>
            <w:tcW w:w="5" w:type="pct"/>
            <w:shd w:val="clear" w:color="auto" w:fill="auto"/>
            <w:vAlign w:val="bottom"/>
          </w:tcPr>
          <w:p w14:paraId="22CFA309" w14:textId="77777777" w:rsidR="002661BA" w:rsidRDefault="002661BA">
            <w:pPr>
              <w:rPr>
                <w:rFonts w:ascii="宋体"/>
              </w:rPr>
            </w:pPr>
          </w:p>
        </w:tc>
        <w:tc>
          <w:tcPr>
            <w:tcW w:w="5" w:type="pct"/>
            <w:shd w:val="clear" w:color="auto" w:fill="auto"/>
            <w:vAlign w:val="bottom"/>
          </w:tcPr>
          <w:p w14:paraId="22CFA30A" w14:textId="77777777" w:rsidR="002661BA" w:rsidRDefault="002661BA">
            <w:pPr>
              <w:rPr>
                <w:rFonts w:ascii="宋体"/>
              </w:rPr>
            </w:pPr>
          </w:p>
        </w:tc>
        <w:tc>
          <w:tcPr>
            <w:tcW w:w="19" w:type="pct"/>
            <w:shd w:val="clear" w:color="auto" w:fill="auto"/>
            <w:vAlign w:val="bottom"/>
          </w:tcPr>
          <w:p w14:paraId="22CFA30B" w14:textId="77777777" w:rsidR="002661BA" w:rsidRDefault="002661BA">
            <w:pPr>
              <w:rPr>
                <w:rFonts w:ascii="宋体"/>
              </w:rPr>
            </w:pPr>
          </w:p>
        </w:tc>
        <w:tc>
          <w:tcPr>
            <w:tcW w:w="5" w:type="pct"/>
            <w:shd w:val="clear" w:color="auto" w:fill="auto"/>
            <w:vAlign w:val="bottom"/>
          </w:tcPr>
          <w:p w14:paraId="22CFA30C" w14:textId="77777777" w:rsidR="002661BA" w:rsidRDefault="002661BA">
            <w:pPr>
              <w:rPr>
                <w:rFonts w:ascii="宋体"/>
              </w:rPr>
            </w:pPr>
          </w:p>
        </w:tc>
        <w:tc>
          <w:tcPr>
            <w:tcW w:w="50" w:type="pct"/>
            <w:shd w:val="clear" w:color="auto" w:fill="auto"/>
            <w:vAlign w:val="bottom"/>
          </w:tcPr>
          <w:p w14:paraId="22CFA30D" w14:textId="77777777" w:rsidR="002661BA" w:rsidRDefault="002661BA">
            <w:pPr>
              <w:rPr>
                <w:rFonts w:ascii="宋体"/>
              </w:rPr>
            </w:pPr>
          </w:p>
        </w:tc>
        <w:tc>
          <w:tcPr>
            <w:tcW w:w="581" w:type="pct"/>
            <w:shd w:val="clear" w:color="auto" w:fill="auto"/>
            <w:vAlign w:val="bottom"/>
          </w:tcPr>
          <w:p w14:paraId="22CFA30E" w14:textId="77777777" w:rsidR="002661BA" w:rsidRDefault="002661BA">
            <w:pPr>
              <w:rPr>
                <w:rFonts w:ascii="宋体"/>
              </w:rPr>
            </w:pPr>
          </w:p>
        </w:tc>
        <w:tc>
          <w:tcPr>
            <w:tcW w:w="5" w:type="pct"/>
            <w:shd w:val="clear" w:color="auto" w:fill="auto"/>
            <w:vAlign w:val="bottom"/>
          </w:tcPr>
          <w:p w14:paraId="22CFA30F" w14:textId="77777777" w:rsidR="002661BA" w:rsidRDefault="002661BA">
            <w:pPr>
              <w:rPr>
                <w:rFonts w:ascii="宋体"/>
              </w:rPr>
            </w:pPr>
          </w:p>
        </w:tc>
      </w:tr>
      <w:tr w:rsidR="002661BA" w14:paraId="22CFA317" w14:textId="77777777">
        <w:tc>
          <w:tcPr>
            <w:tcW w:w="0" w:type="auto"/>
            <w:gridSpan w:val="3"/>
            <w:shd w:val="clear" w:color="auto" w:fill="auto"/>
            <w:tcMar>
              <w:top w:w="0" w:type="dxa"/>
              <w:left w:w="20" w:type="dxa"/>
              <w:bottom w:w="0" w:type="dxa"/>
              <w:right w:w="20" w:type="dxa"/>
            </w:tcMar>
            <w:vAlign w:val="bottom"/>
          </w:tcPr>
          <w:p w14:paraId="22CFA31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A312" w14:textId="77777777" w:rsidR="002661BA" w:rsidRDefault="00D972BC">
            <w:pPr>
              <w:jc w:val="center"/>
              <w:textAlignment w:val="bottom"/>
            </w:pPr>
            <w:r>
              <w:rPr>
                <w:rFonts w:ascii="Arial" w:eastAsia="宋体" w:hAnsi="Arial" w:cs="Arial"/>
                <w:b/>
                <w:bCs/>
                <w:color w:val="000000"/>
                <w:sz w:val="17"/>
                <w:szCs w:val="17"/>
              </w:rPr>
              <w:t>United States</w:t>
            </w:r>
          </w:p>
        </w:tc>
        <w:tc>
          <w:tcPr>
            <w:tcW w:w="0" w:type="auto"/>
            <w:gridSpan w:val="3"/>
            <w:shd w:val="clear" w:color="auto" w:fill="auto"/>
            <w:tcMar>
              <w:top w:w="0" w:type="dxa"/>
              <w:left w:w="20" w:type="dxa"/>
              <w:bottom w:w="0" w:type="dxa"/>
              <w:right w:w="20" w:type="dxa"/>
            </w:tcMar>
            <w:vAlign w:val="bottom"/>
          </w:tcPr>
          <w:p w14:paraId="22CFA31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A314" w14:textId="77777777" w:rsidR="002661BA" w:rsidRDefault="00D972BC">
            <w:pPr>
              <w:jc w:val="center"/>
              <w:textAlignment w:val="bottom"/>
            </w:pPr>
            <w:r>
              <w:rPr>
                <w:rFonts w:ascii="Arial" w:eastAsia="宋体" w:hAnsi="Arial" w:cs="Arial"/>
                <w:b/>
                <w:bCs/>
                <w:color w:val="000000"/>
                <w:sz w:val="17"/>
                <w:szCs w:val="17"/>
              </w:rPr>
              <w:t>Other Countries</w:t>
            </w:r>
          </w:p>
        </w:tc>
        <w:tc>
          <w:tcPr>
            <w:tcW w:w="0" w:type="auto"/>
            <w:gridSpan w:val="3"/>
            <w:shd w:val="clear" w:color="auto" w:fill="auto"/>
            <w:tcMar>
              <w:top w:w="0" w:type="dxa"/>
              <w:left w:w="20" w:type="dxa"/>
              <w:bottom w:w="0" w:type="dxa"/>
              <w:right w:w="20" w:type="dxa"/>
            </w:tcMar>
            <w:vAlign w:val="bottom"/>
          </w:tcPr>
          <w:p w14:paraId="22CFA315"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A316" w14:textId="77777777" w:rsidR="002661BA" w:rsidRDefault="00D972BC">
            <w:pPr>
              <w:jc w:val="center"/>
              <w:textAlignment w:val="bottom"/>
            </w:pPr>
            <w:r>
              <w:rPr>
                <w:rFonts w:ascii="Arial" w:eastAsia="宋体" w:hAnsi="Arial" w:cs="Arial"/>
                <w:b/>
                <w:bCs/>
                <w:color w:val="000000"/>
                <w:sz w:val="17"/>
                <w:szCs w:val="17"/>
              </w:rPr>
              <w:t>Total</w:t>
            </w:r>
          </w:p>
        </w:tc>
      </w:tr>
      <w:tr w:rsidR="002661BA" w14:paraId="22CFA321" w14:textId="77777777">
        <w:tc>
          <w:tcPr>
            <w:tcW w:w="0" w:type="auto"/>
            <w:gridSpan w:val="3"/>
            <w:shd w:val="clear" w:color="auto" w:fill="E2E2E2"/>
            <w:tcMar>
              <w:top w:w="40" w:type="dxa"/>
              <w:left w:w="20" w:type="dxa"/>
              <w:bottom w:w="40" w:type="dxa"/>
              <w:right w:w="20" w:type="dxa"/>
            </w:tcMar>
            <w:vAlign w:val="bottom"/>
          </w:tcPr>
          <w:p w14:paraId="22CFA318" w14:textId="77777777" w:rsidR="002661BA" w:rsidRDefault="00D972BC">
            <w:pPr>
              <w:textAlignment w:val="bottom"/>
            </w:pPr>
            <w:r>
              <w:rPr>
                <w:rFonts w:ascii="Arial" w:eastAsia="宋体" w:hAnsi="Arial" w:cs="Arial"/>
                <w:color w:val="000000"/>
                <w:sz w:val="20"/>
                <w:szCs w:val="20"/>
              </w:rPr>
              <w:t>Owned facilities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319" w14:textId="77777777" w:rsidR="002661BA" w:rsidRDefault="00D972BC">
            <w:pPr>
              <w:jc w:val="right"/>
              <w:textAlignment w:val="bottom"/>
            </w:pPr>
            <w:r>
              <w:rPr>
                <w:rFonts w:ascii="Arial" w:eastAsia="宋体" w:hAnsi="Arial" w:cs="Arial"/>
                <w:color w:val="000000"/>
                <w:sz w:val="20"/>
                <w:szCs w:val="20"/>
              </w:rPr>
              <w:t>1.3 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31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31B"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31C" w14:textId="77777777" w:rsidR="002661BA" w:rsidRDefault="00D972BC">
            <w:pPr>
              <w:jc w:val="right"/>
              <w:textAlignment w:val="bottom"/>
            </w:pPr>
            <w:r>
              <w:rPr>
                <w:rFonts w:ascii="Arial" w:eastAsia="宋体" w:hAnsi="Arial" w:cs="Arial"/>
                <w:color w:val="000000"/>
                <w:sz w:val="20"/>
                <w:szCs w:val="20"/>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31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31E"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31F" w14:textId="77777777" w:rsidR="002661BA" w:rsidRDefault="00D972BC">
            <w:pPr>
              <w:jc w:val="right"/>
              <w:textAlignment w:val="bottom"/>
            </w:pPr>
            <w:r>
              <w:rPr>
                <w:rFonts w:ascii="Arial" w:eastAsia="宋体" w:hAnsi="Arial" w:cs="Arial"/>
                <w:color w:val="000000"/>
                <w:sz w:val="20"/>
                <w:szCs w:val="20"/>
              </w:rPr>
              <w:t>1.3 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320" w14:textId="77777777" w:rsidR="002661BA" w:rsidRDefault="002661BA">
            <w:pPr>
              <w:jc w:val="right"/>
              <w:rPr>
                <w:rFonts w:ascii="宋体"/>
              </w:rPr>
            </w:pPr>
          </w:p>
        </w:tc>
      </w:tr>
      <w:tr w:rsidR="002661BA" w14:paraId="22CFA32B" w14:textId="77777777">
        <w:tc>
          <w:tcPr>
            <w:tcW w:w="0" w:type="auto"/>
            <w:gridSpan w:val="3"/>
            <w:shd w:val="clear" w:color="auto" w:fill="FFFFFF"/>
            <w:tcMar>
              <w:top w:w="40" w:type="dxa"/>
              <w:left w:w="20" w:type="dxa"/>
              <w:bottom w:w="40" w:type="dxa"/>
              <w:right w:w="20" w:type="dxa"/>
            </w:tcMar>
            <w:vAlign w:val="bottom"/>
          </w:tcPr>
          <w:p w14:paraId="22CFA322" w14:textId="77777777" w:rsidR="002661BA" w:rsidRDefault="00D972BC">
            <w:pPr>
              <w:textAlignment w:val="bottom"/>
            </w:pPr>
            <w:r>
              <w:rPr>
                <w:rFonts w:ascii="Arial" w:eastAsia="宋体" w:hAnsi="Arial" w:cs="Arial"/>
                <w:color w:val="000000"/>
                <w:sz w:val="20"/>
                <w:szCs w:val="20"/>
              </w:rPr>
              <w:t>Leased facilities</w:t>
            </w:r>
          </w:p>
        </w:tc>
        <w:tc>
          <w:tcPr>
            <w:tcW w:w="0" w:type="auto"/>
            <w:gridSpan w:val="2"/>
            <w:shd w:val="clear" w:color="auto" w:fill="FFFFFF"/>
            <w:tcMar>
              <w:top w:w="40" w:type="dxa"/>
              <w:left w:w="20" w:type="dxa"/>
              <w:bottom w:w="40" w:type="dxa"/>
              <w:right w:w="0" w:type="dxa"/>
            </w:tcMar>
            <w:vAlign w:val="bottom"/>
          </w:tcPr>
          <w:p w14:paraId="22CFA323" w14:textId="77777777" w:rsidR="002661BA" w:rsidRDefault="00D972BC">
            <w:pPr>
              <w:jc w:val="right"/>
              <w:textAlignment w:val="bottom"/>
            </w:pPr>
            <w:r>
              <w:rPr>
                <w:rFonts w:ascii="Arial" w:eastAsia="宋体" w:hAnsi="Arial" w:cs="Arial"/>
                <w:color w:val="000000"/>
                <w:sz w:val="20"/>
                <w:szCs w:val="20"/>
              </w:rPr>
              <w:t>0.8 </w:t>
            </w:r>
          </w:p>
        </w:tc>
        <w:tc>
          <w:tcPr>
            <w:tcW w:w="0" w:type="auto"/>
            <w:shd w:val="clear" w:color="auto" w:fill="FFFFFF"/>
            <w:tcMar>
              <w:top w:w="40" w:type="dxa"/>
              <w:left w:w="0" w:type="dxa"/>
              <w:bottom w:w="40" w:type="dxa"/>
              <w:right w:w="20" w:type="dxa"/>
            </w:tcMar>
            <w:vAlign w:val="bottom"/>
          </w:tcPr>
          <w:p w14:paraId="22CFA32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325"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326" w14:textId="77777777" w:rsidR="002661BA" w:rsidRDefault="00D972BC">
            <w:pPr>
              <w:jc w:val="right"/>
              <w:textAlignment w:val="bottom"/>
            </w:pPr>
            <w:r>
              <w:rPr>
                <w:rFonts w:ascii="Arial" w:eastAsia="宋体" w:hAnsi="Arial" w:cs="Arial"/>
                <w:color w:val="000000"/>
                <w:sz w:val="20"/>
                <w:szCs w:val="20"/>
              </w:rPr>
              <w:t>1.0 </w:t>
            </w:r>
          </w:p>
        </w:tc>
        <w:tc>
          <w:tcPr>
            <w:tcW w:w="0" w:type="auto"/>
            <w:shd w:val="clear" w:color="auto" w:fill="FFFFFF"/>
            <w:tcMar>
              <w:top w:w="40" w:type="dxa"/>
              <w:left w:w="0" w:type="dxa"/>
              <w:bottom w:w="40" w:type="dxa"/>
              <w:right w:w="20" w:type="dxa"/>
            </w:tcMar>
            <w:vAlign w:val="bottom"/>
          </w:tcPr>
          <w:p w14:paraId="22CFA32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328"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329" w14:textId="77777777" w:rsidR="002661BA" w:rsidRDefault="00D972BC">
            <w:pPr>
              <w:jc w:val="right"/>
              <w:textAlignment w:val="bottom"/>
            </w:pPr>
            <w:r>
              <w:rPr>
                <w:rFonts w:ascii="Arial" w:eastAsia="宋体" w:hAnsi="Arial" w:cs="Arial"/>
                <w:color w:val="000000"/>
                <w:sz w:val="20"/>
                <w:szCs w:val="20"/>
              </w:rPr>
              <w:t>1.8 </w:t>
            </w:r>
          </w:p>
        </w:tc>
        <w:tc>
          <w:tcPr>
            <w:tcW w:w="0" w:type="auto"/>
            <w:shd w:val="clear" w:color="auto" w:fill="FFFFFF"/>
            <w:tcMar>
              <w:top w:w="40" w:type="dxa"/>
              <w:left w:w="0" w:type="dxa"/>
              <w:bottom w:w="40" w:type="dxa"/>
              <w:right w:w="20" w:type="dxa"/>
            </w:tcMar>
            <w:vAlign w:val="bottom"/>
          </w:tcPr>
          <w:p w14:paraId="22CFA32A" w14:textId="77777777" w:rsidR="002661BA" w:rsidRDefault="002661BA">
            <w:pPr>
              <w:jc w:val="right"/>
              <w:rPr>
                <w:rFonts w:ascii="宋体"/>
              </w:rPr>
            </w:pPr>
          </w:p>
        </w:tc>
      </w:tr>
      <w:tr w:rsidR="002661BA" w14:paraId="22CFA335" w14:textId="77777777">
        <w:tc>
          <w:tcPr>
            <w:tcW w:w="0" w:type="auto"/>
            <w:gridSpan w:val="3"/>
            <w:shd w:val="clear" w:color="auto" w:fill="E2E2E2"/>
            <w:tcMar>
              <w:top w:w="40" w:type="dxa"/>
              <w:left w:w="20" w:type="dxa"/>
              <w:bottom w:w="40" w:type="dxa"/>
              <w:right w:w="20" w:type="dxa"/>
            </w:tcMar>
            <w:vAlign w:val="bottom"/>
          </w:tcPr>
          <w:p w14:paraId="22CFA32C" w14:textId="77777777" w:rsidR="002661BA" w:rsidRDefault="00D972BC">
            <w:pPr>
              <w:textAlignment w:val="bottom"/>
            </w:pPr>
            <w:r>
              <w:rPr>
                <w:rFonts w:ascii="Arial" w:eastAsia="宋体" w:hAnsi="Arial" w:cs="Arial"/>
                <w:color w:val="000000"/>
                <w:sz w:val="20"/>
                <w:szCs w:val="20"/>
              </w:rPr>
              <w:t>Total facilities</w:t>
            </w:r>
          </w:p>
        </w:tc>
        <w:tc>
          <w:tcPr>
            <w:tcW w:w="0" w:type="auto"/>
            <w:gridSpan w:val="2"/>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A32D" w14:textId="77777777" w:rsidR="002661BA" w:rsidRDefault="00D972BC">
            <w:pPr>
              <w:jc w:val="right"/>
              <w:textAlignment w:val="bottom"/>
            </w:pPr>
            <w:r>
              <w:rPr>
                <w:rFonts w:ascii="Arial" w:eastAsia="宋体" w:hAnsi="Arial" w:cs="Arial"/>
                <w:color w:val="000000"/>
                <w:sz w:val="20"/>
                <w:szCs w:val="20"/>
              </w:rPr>
              <w:t>2.1 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A32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32F" w14:textId="77777777" w:rsidR="002661BA" w:rsidRDefault="002661BA">
            <w:pPr>
              <w:rPr>
                <w:rFonts w:ascii="宋体"/>
              </w:rPr>
            </w:pPr>
          </w:p>
        </w:tc>
        <w:tc>
          <w:tcPr>
            <w:tcW w:w="0" w:type="auto"/>
            <w:gridSpan w:val="2"/>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A330" w14:textId="77777777" w:rsidR="002661BA" w:rsidRDefault="00D972BC">
            <w:pPr>
              <w:jc w:val="right"/>
              <w:textAlignment w:val="bottom"/>
            </w:pPr>
            <w:r>
              <w:rPr>
                <w:rFonts w:ascii="Arial" w:eastAsia="宋体" w:hAnsi="Arial" w:cs="Arial"/>
                <w:color w:val="000000"/>
                <w:sz w:val="20"/>
                <w:szCs w:val="20"/>
              </w:rPr>
              <w:t>1.0 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A331"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332" w14:textId="77777777" w:rsidR="002661BA" w:rsidRDefault="002661BA">
            <w:pPr>
              <w:rPr>
                <w:rFonts w:ascii="宋体"/>
              </w:rPr>
            </w:pPr>
          </w:p>
        </w:tc>
        <w:tc>
          <w:tcPr>
            <w:tcW w:w="0" w:type="auto"/>
            <w:gridSpan w:val="2"/>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A333" w14:textId="77777777" w:rsidR="002661BA" w:rsidRDefault="00D972BC">
            <w:pPr>
              <w:jc w:val="right"/>
              <w:textAlignment w:val="bottom"/>
            </w:pPr>
            <w:r>
              <w:rPr>
                <w:rFonts w:ascii="Arial" w:eastAsia="宋体" w:hAnsi="Arial" w:cs="Arial"/>
                <w:color w:val="000000"/>
                <w:sz w:val="20"/>
                <w:szCs w:val="20"/>
              </w:rPr>
              <w:t>3.1 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A334" w14:textId="77777777" w:rsidR="002661BA" w:rsidRDefault="002661BA">
            <w:pPr>
              <w:jc w:val="right"/>
              <w:rPr>
                <w:rFonts w:ascii="宋体"/>
              </w:rPr>
            </w:pPr>
          </w:p>
        </w:tc>
      </w:tr>
    </w:tbl>
    <w:p w14:paraId="22CFA336" w14:textId="77777777" w:rsidR="002661BA" w:rsidRDefault="002661BA">
      <w:pPr>
        <w:ind w:firstLine="540"/>
      </w:pPr>
    </w:p>
    <w:p w14:paraId="22CFA337" w14:textId="77777777" w:rsidR="002661BA" w:rsidRDefault="00D972BC">
      <w:pPr>
        <w:ind w:firstLine="540"/>
      </w:pPr>
      <w:r>
        <w:rPr>
          <w:rFonts w:ascii="Arial" w:eastAsia="宋体" w:hAnsi="Arial" w:cs="Arial"/>
          <w:color w:val="000000"/>
          <w:sz w:val="20"/>
          <w:szCs w:val="20"/>
        </w:rPr>
        <w:t>From time to time we consider various alternatives related to our long-term facilities needs. While we believe that our existing facilities are adequate to meet our immediate needs, it may become necessary to develop and improve land that we own or lea</w:t>
      </w:r>
      <w:r>
        <w:rPr>
          <w:rFonts w:ascii="Arial" w:eastAsia="宋体" w:hAnsi="Arial" w:cs="Arial"/>
          <w:color w:val="000000"/>
          <w:sz w:val="20"/>
          <w:szCs w:val="20"/>
        </w:rPr>
        <w:t xml:space="preserve">se or acquire additional or alternative space to accommodate any future growth. </w:t>
      </w:r>
    </w:p>
    <w:p w14:paraId="22CFA338" w14:textId="77777777" w:rsidR="002661BA" w:rsidRDefault="002661BA"/>
    <w:p w14:paraId="22CFA339" w14:textId="77777777" w:rsidR="002661BA" w:rsidRDefault="00D972BC">
      <w:pPr>
        <w:ind w:hanging="1440"/>
        <w:jc w:val="both"/>
      </w:pPr>
      <w:r>
        <w:rPr>
          <w:rFonts w:ascii="Arial" w:eastAsia="宋体" w:hAnsi="Arial" w:cs="Arial"/>
          <w:b/>
          <w:bCs/>
          <w:color w:val="000000"/>
          <w:sz w:val="20"/>
          <w:szCs w:val="20"/>
        </w:rPr>
        <w:t xml:space="preserve">ITEM 3: </w:t>
      </w:r>
      <w:r>
        <w:rPr>
          <w:rFonts w:ascii="Arial" w:eastAsia="宋体" w:hAnsi="Arial" w:cs="Arial"/>
          <w:b/>
          <w:bCs/>
          <w:i/>
          <w:iCs/>
          <w:color w:val="000000"/>
          <w:sz w:val="20"/>
          <w:szCs w:val="20"/>
        </w:rPr>
        <w:t>LEGAL PROCEEDINGS</w:t>
      </w:r>
    </w:p>
    <w:p w14:paraId="22CFA33A" w14:textId="77777777" w:rsidR="002661BA" w:rsidRDefault="002661BA">
      <w:pPr>
        <w:ind w:firstLine="540"/>
        <w:jc w:val="both"/>
      </w:pPr>
    </w:p>
    <w:p w14:paraId="22CFA33B" w14:textId="77777777" w:rsidR="002661BA" w:rsidRDefault="00D972BC">
      <w:pPr>
        <w:ind w:firstLine="540"/>
        <w:jc w:val="both"/>
      </w:pPr>
      <w:r>
        <w:rPr>
          <w:rFonts w:ascii="Arial" w:eastAsia="宋体" w:hAnsi="Arial" w:cs="Arial"/>
          <w:color w:val="000000"/>
          <w:sz w:val="20"/>
          <w:szCs w:val="20"/>
        </w:rPr>
        <w:t>This information is set forth under “Note 12 — Commitments and Contingencies – Litigation and Other Legal Matters” to the consolidated financial st</w:t>
      </w:r>
      <w:r>
        <w:rPr>
          <w:rFonts w:ascii="Arial" w:eastAsia="宋体" w:hAnsi="Arial" w:cs="Arial"/>
          <w:color w:val="000000"/>
          <w:sz w:val="20"/>
          <w:szCs w:val="20"/>
        </w:rPr>
        <w:t>atements included in Part IV, Item 15 of this Annual Report on Form 10-K is incorporated herein by reference.</w:t>
      </w:r>
    </w:p>
    <w:p w14:paraId="22CFA33C" w14:textId="77777777" w:rsidR="002661BA" w:rsidRDefault="002661BA">
      <w:pPr>
        <w:jc w:val="both"/>
      </w:pPr>
    </w:p>
    <w:p w14:paraId="22CFA33D" w14:textId="77777777" w:rsidR="002661BA" w:rsidRDefault="00D972BC">
      <w:r>
        <w:rPr>
          <w:rFonts w:ascii="Arial" w:eastAsia="宋体" w:hAnsi="Arial" w:cs="Arial"/>
          <w:b/>
          <w:bCs/>
          <w:color w:val="000000"/>
          <w:sz w:val="20"/>
          <w:szCs w:val="20"/>
        </w:rPr>
        <w:t xml:space="preserve">ITEM 4: </w:t>
      </w:r>
      <w:r>
        <w:rPr>
          <w:rFonts w:ascii="Arial" w:eastAsia="宋体" w:hAnsi="Arial" w:cs="Arial"/>
          <w:b/>
          <w:bCs/>
          <w:i/>
          <w:iCs/>
          <w:color w:val="000000"/>
          <w:sz w:val="20"/>
          <w:szCs w:val="20"/>
        </w:rPr>
        <w:t>MINE SAFETY DISCLOSURES</w:t>
      </w:r>
    </w:p>
    <w:p w14:paraId="22CFA33E" w14:textId="77777777" w:rsidR="002661BA" w:rsidRDefault="002661BA"/>
    <w:p w14:paraId="22CFA33F" w14:textId="77777777" w:rsidR="002661BA" w:rsidRDefault="00D972BC">
      <w:pPr>
        <w:ind w:hanging="900"/>
      </w:pPr>
      <w:r>
        <w:rPr>
          <w:rFonts w:ascii="Arial" w:eastAsia="宋体" w:hAnsi="Arial" w:cs="Arial"/>
          <w:color w:val="000000"/>
          <w:sz w:val="20"/>
          <w:szCs w:val="20"/>
        </w:rPr>
        <w:t>Not applicable.</w:t>
      </w:r>
    </w:p>
    <w:p w14:paraId="22CFA340" w14:textId="77777777" w:rsidR="002661BA" w:rsidRDefault="00D972BC">
      <w:pPr>
        <w:jc w:val="center"/>
      </w:pPr>
      <w:r>
        <w:rPr>
          <w:rFonts w:ascii="Arial" w:eastAsia="宋体" w:hAnsi="Arial" w:cs="Arial"/>
          <w:color w:val="000000"/>
          <w:sz w:val="18"/>
          <w:szCs w:val="18"/>
        </w:rPr>
        <w:t>28</w:t>
      </w:r>
    </w:p>
    <w:p w14:paraId="22CFA341" w14:textId="77777777" w:rsidR="002661BA" w:rsidRDefault="00D972BC">
      <w:r>
        <w:pict w14:anchorId="22CFE4CB">
          <v:rect id="_x0000_i1052" style="width:415.3pt;height:1.5pt" o:hralign="center" o:hrstd="t" o:hr="t" fillcolor="#a0a0a0" stroked="f"/>
        </w:pict>
      </w:r>
    </w:p>
    <w:p w14:paraId="22CFA342" w14:textId="77777777" w:rsidR="002661BA" w:rsidRDefault="00D972BC">
      <w:hyperlink r:id="rId54" w:anchor="id0d7a71b05ce452ea9fdb54f3cb359c7_7" w:history="1">
        <w:r>
          <w:rPr>
            <w:rStyle w:val="a5"/>
            <w:rFonts w:ascii="Arial" w:eastAsia="宋体" w:hAnsi="Arial" w:cs="Arial"/>
            <w:sz w:val="18"/>
            <w:szCs w:val="18"/>
          </w:rPr>
          <w:t>Table of Contents</w:t>
        </w:r>
      </w:hyperlink>
    </w:p>
    <w:p w14:paraId="22CFA343" w14:textId="77777777" w:rsidR="002661BA" w:rsidRDefault="00D972BC">
      <w:pPr>
        <w:jc w:val="center"/>
      </w:pPr>
      <w:r>
        <w:rPr>
          <w:rFonts w:ascii="Arial" w:eastAsia="宋体" w:hAnsi="Arial" w:cs="Arial"/>
          <w:b/>
          <w:bCs/>
          <w:color w:val="000000"/>
          <w:sz w:val="20"/>
          <w:szCs w:val="20"/>
        </w:rPr>
        <w:t xml:space="preserve">PART II </w:t>
      </w:r>
    </w:p>
    <w:p w14:paraId="22CFA344" w14:textId="77777777" w:rsidR="002661BA" w:rsidRDefault="002661BA"/>
    <w:p w14:paraId="22CFA345" w14:textId="77777777" w:rsidR="002661BA" w:rsidRDefault="00D972BC">
      <w:pPr>
        <w:ind w:hanging="810"/>
        <w:jc w:val="both"/>
      </w:pPr>
      <w:r>
        <w:rPr>
          <w:rFonts w:ascii="Arial" w:eastAsia="宋体" w:hAnsi="Arial" w:cs="Arial"/>
          <w:b/>
          <w:bCs/>
          <w:color w:val="000000"/>
          <w:sz w:val="20"/>
          <w:szCs w:val="20"/>
        </w:rPr>
        <w:t xml:space="preserve">ITEM 5: </w:t>
      </w:r>
      <w:r>
        <w:rPr>
          <w:rFonts w:ascii="Arial" w:eastAsia="宋体" w:hAnsi="Arial" w:cs="Arial"/>
          <w:b/>
          <w:bCs/>
          <w:i/>
          <w:iCs/>
          <w:color w:val="000000"/>
          <w:sz w:val="20"/>
          <w:szCs w:val="20"/>
        </w:rPr>
        <w:t xml:space="preserve">MARKET FOR REGISTRANT’S COMMON EQUITY, RELATED STOCKHOLDER MATTERS </w:t>
      </w:r>
      <w:r>
        <w:rPr>
          <w:rFonts w:ascii="Arial" w:eastAsia="宋体" w:hAnsi="Arial" w:cs="Arial"/>
          <w:b/>
          <w:bCs/>
          <w:i/>
          <w:iCs/>
          <w:color w:val="000000"/>
          <w:sz w:val="20"/>
          <w:szCs w:val="20"/>
        </w:rPr>
        <w:t>AND ISSUER PURCHASES OF EQUITY SECURITIES</w:t>
      </w:r>
      <w:r>
        <w:rPr>
          <w:rFonts w:ascii="Arial" w:eastAsia="宋体" w:hAnsi="Arial" w:cs="Arial"/>
          <w:b/>
          <w:bCs/>
          <w:color w:val="000000"/>
          <w:sz w:val="20"/>
          <w:szCs w:val="20"/>
        </w:rPr>
        <w:t>    </w:t>
      </w:r>
      <w:r>
        <w:rPr>
          <w:rFonts w:ascii="Arial" w:eastAsia="宋体" w:hAnsi="Arial" w:cs="Arial"/>
          <w:b/>
          <w:bCs/>
          <w:color w:val="000000"/>
          <w:sz w:val="18"/>
          <w:szCs w:val="18"/>
        </w:rPr>
        <w:t>    </w:t>
      </w:r>
    </w:p>
    <w:p w14:paraId="22CFA346" w14:textId="77777777" w:rsidR="002661BA" w:rsidRDefault="002661BA">
      <w:pPr>
        <w:jc w:val="both"/>
      </w:pPr>
    </w:p>
    <w:p w14:paraId="22CFA347" w14:textId="77777777" w:rsidR="002661BA" w:rsidRDefault="00D972BC">
      <w:pPr>
        <w:ind w:firstLine="270"/>
        <w:jc w:val="both"/>
      </w:pPr>
      <w:r>
        <w:rPr>
          <w:rFonts w:ascii="Arial" w:eastAsia="宋体" w:hAnsi="Arial" w:cs="Arial"/>
          <w:b/>
          <w:bCs/>
          <w:i/>
          <w:iCs/>
          <w:color w:val="000000"/>
          <w:sz w:val="20"/>
          <w:szCs w:val="20"/>
        </w:rPr>
        <w:t xml:space="preserve">Common Stock </w:t>
      </w:r>
    </w:p>
    <w:p w14:paraId="22CFA348" w14:textId="77777777" w:rsidR="002661BA" w:rsidRDefault="002661BA">
      <w:pPr>
        <w:ind w:firstLine="540"/>
        <w:jc w:val="both"/>
      </w:pPr>
    </w:p>
    <w:p w14:paraId="22CFA349" w14:textId="77777777" w:rsidR="002661BA" w:rsidRDefault="00D972BC">
      <w:pPr>
        <w:ind w:firstLine="540"/>
        <w:jc w:val="both"/>
      </w:pPr>
      <w:r>
        <w:rPr>
          <w:rFonts w:ascii="Arial" w:eastAsia="宋体" w:hAnsi="Arial" w:cs="Arial"/>
          <w:color w:val="000000"/>
          <w:sz w:val="20"/>
          <w:szCs w:val="20"/>
        </w:rPr>
        <w:t>Our common stock has been traded on The Nasdaq Global Select Market under the symbol “EBAY” since September 24, 1998. As of February 21, 2022, there were approximately 3,393 holders of recor</w:t>
      </w:r>
      <w:r>
        <w:rPr>
          <w:rFonts w:ascii="Arial" w:eastAsia="宋体" w:hAnsi="Arial" w:cs="Arial"/>
          <w:color w:val="000000"/>
          <w:sz w:val="20"/>
          <w:szCs w:val="20"/>
        </w:rPr>
        <w:t xml:space="preserve">d of our common stock, although we believe that there are a significantly larger number of beneficial owners of our common stock. </w:t>
      </w:r>
    </w:p>
    <w:p w14:paraId="22CFA34A" w14:textId="77777777" w:rsidR="002661BA" w:rsidRDefault="002661BA">
      <w:pPr>
        <w:jc w:val="both"/>
      </w:pPr>
    </w:p>
    <w:p w14:paraId="22CFA34B" w14:textId="77777777" w:rsidR="002661BA" w:rsidRDefault="00D972BC">
      <w:pPr>
        <w:ind w:firstLine="270"/>
        <w:jc w:val="both"/>
      </w:pPr>
      <w:r>
        <w:rPr>
          <w:rFonts w:ascii="Arial" w:eastAsia="宋体" w:hAnsi="Arial" w:cs="Arial"/>
          <w:b/>
          <w:bCs/>
          <w:i/>
          <w:iCs/>
          <w:color w:val="000000"/>
          <w:sz w:val="20"/>
          <w:szCs w:val="20"/>
        </w:rPr>
        <w:t xml:space="preserve">Dividend Policy </w:t>
      </w:r>
    </w:p>
    <w:p w14:paraId="22CFA34C" w14:textId="77777777" w:rsidR="002661BA" w:rsidRDefault="002661BA">
      <w:pPr>
        <w:ind w:firstLine="540"/>
        <w:jc w:val="both"/>
      </w:pPr>
    </w:p>
    <w:p w14:paraId="22CFA34D" w14:textId="77777777" w:rsidR="002661BA" w:rsidRDefault="00D972BC">
      <w:pPr>
        <w:ind w:firstLine="540"/>
        <w:jc w:val="both"/>
      </w:pPr>
      <w:r>
        <w:rPr>
          <w:rFonts w:ascii="Arial" w:eastAsia="宋体" w:hAnsi="Arial" w:cs="Arial"/>
          <w:color w:val="000000"/>
          <w:sz w:val="20"/>
          <w:szCs w:val="20"/>
        </w:rPr>
        <w:t>The company paid a total of $466 million and $447 million in cash dividends during the years ended Decembe</w:t>
      </w:r>
      <w:r>
        <w:rPr>
          <w:rFonts w:ascii="Arial" w:eastAsia="宋体" w:hAnsi="Arial" w:cs="Arial"/>
          <w:color w:val="000000"/>
          <w:sz w:val="20"/>
          <w:szCs w:val="20"/>
        </w:rPr>
        <w:t>r 31, 2021 and December 31, 2020, respectively. In February 2022, we declared a quarterly cash dividend of $0.22 per share of common stock to be paid on March 18, 2022 to stockholders of record as of March 10, 2022. The timing, declaration, amount and paym</w:t>
      </w:r>
      <w:r>
        <w:rPr>
          <w:rFonts w:ascii="Arial" w:eastAsia="宋体" w:hAnsi="Arial" w:cs="Arial"/>
          <w:color w:val="000000"/>
          <w:sz w:val="20"/>
          <w:szCs w:val="20"/>
        </w:rPr>
        <w:t>ent of any future cash dividends are at the discretion of the Board of Directors and will depend on many factors, including our available cash, working capital, financial condition, results of operations, capital requirements, covenants in our credit agree</w:t>
      </w:r>
      <w:r>
        <w:rPr>
          <w:rFonts w:ascii="Arial" w:eastAsia="宋体" w:hAnsi="Arial" w:cs="Arial"/>
          <w:color w:val="000000"/>
          <w:sz w:val="20"/>
          <w:szCs w:val="20"/>
        </w:rPr>
        <w:t xml:space="preserve">ment, applicable law and other business considerations that our Board of Directors considers relevant. </w:t>
      </w:r>
    </w:p>
    <w:p w14:paraId="22CFA34E" w14:textId="77777777" w:rsidR="002661BA" w:rsidRDefault="002661BA">
      <w:pPr>
        <w:ind w:firstLine="540"/>
        <w:jc w:val="both"/>
      </w:pPr>
    </w:p>
    <w:p w14:paraId="22CFA34F" w14:textId="77777777" w:rsidR="002661BA" w:rsidRDefault="00D972BC">
      <w:pPr>
        <w:ind w:firstLine="270"/>
        <w:jc w:val="both"/>
      </w:pPr>
      <w:r>
        <w:rPr>
          <w:rFonts w:ascii="Arial" w:eastAsia="宋体" w:hAnsi="Arial" w:cs="Arial"/>
          <w:b/>
          <w:bCs/>
          <w:i/>
          <w:iCs/>
          <w:color w:val="000000"/>
          <w:sz w:val="20"/>
          <w:szCs w:val="20"/>
        </w:rPr>
        <w:t xml:space="preserve">Performance Measurement Comparison </w:t>
      </w:r>
    </w:p>
    <w:p w14:paraId="22CFA350" w14:textId="77777777" w:rsidR="002661BA" w:rsidRDefault="002661BA">
      <w:pPr>
        <w:jc w:val="both"/>
      </w:pPr>
    </w:p>
    <w:p w14:paraId="22CFA351" w14:textId="77777777" w:rsidR="002661BA" w:rsidRDefault="00D972BC">
      <w:pPr>
        <w:ind w:firstLine="540"/>
        <w:jc w:val="both"/>
      </w:pPr>
      <w:r>
        <w:rPr>
          <w:rFonts w:ascii="Arial" w:eastAsia="宋体" w:hAnsi="Arial" w:cs="Arial"/>
          <w:color w:val="000000"/>
          <w:sz w:val="20"/>
          <w:szCs w:val="20"/>
        </w:rPr>
        <w:t>The graph below shows the cumulative total stockholder return of an investment of $100 (and the reinvestment of any dividends thereafter) on December 31, 2016 (the last trading day for the year ended December 31, 2016) in (i) our common stock, (ii) the Nas</w:t>
      </w:r>
      <w:r>
        <w:rPr>
          <w:rFonts w:ascii="Arial" w:eastAsia="宋体" w:hAnsi="Arial" w:cs="Arial"/>
          <w:color w:val="000000"/>
          <w:sz w:val="20"/>
          <w:szCs w:val="20"/>
        </w:rPr>
        <w:t xml:space="preserve">daq Composite Index, (iii) the S&amp;P 500 Index and (iv) the S&amp;P 500 Information Technology Index. </w:t>
      </w:r>
    </w:p>
    <w:p w14:paraId="22CFA352" w14:textId="77777777" w:rsidR="002661BA" w:rsidRDefault="002661BA">
      <w:pPr>
        <w:ind w:firstLine="540"/>
        <w:jc w:val="both"/>
      </w:pPr>
    </w:p>
    <w:p w14:paraId="22CFA353" w14:textId="77777777" w:rsidR="002661BA" w:rsidRDefault="00D972BC">
      <w:pPr>
        <w:ind w:firstLine="540"/>
        <w:jc w:val="both"/>
      </w:pPr>
      <w:r>
        <w:rPr>
          <w:rFonts w:ascii="Arial" w:eastAsia="宋体" w:hAnsi="Arial" w:cs="Arial"/>
          <w:color w:val="000000"/>
          <w:sz w:val="20"/>
          <w:szCs w:val="20"/>
        </w:rPr>
        <w:t>Our stock price performance shown in the graph below is not indicative of future stock price performance. The graph and related information shall not be deeme</w:t>
      </w:r>
      <w:r>
        <w:rPr>
          <w:rFonts w:ascii="Arial" w:eastAsia="宋体" w:hAnsi="Arial" w:cs="Arial"/>
          <w:color w:val="000000"/>
          <w:sz w:val="20"/>
          <w:szCs w:val="20"/>
        </w:rPr>
        <w:t>d “soliciting material” or be deemed to be “filed” with the SEC, nor shall such information be incorporated by reference into any past or future filing with the SEC, except to the extent that such filing specifically states that such graph and related info</w:t>
      </w:r>
      <w:r>
        <w:rPr>
          <w:rFonts w:ascii="Arial" w:eastAsia="宋体" w:hAnsi="Arial" w:cs="Arial"/>
          <w:color w:val="000000"/>
          <w:sz w:val="20"/>
          <w:szCs w:val="20"/>
        </w:rPr>
        <w:t>rmation are incorporated by reference into such filing.</w:t>
      </w:r>
    </w:p>
    <w:p w14:paraId="22CFA354" w14:textId="77777777" w:rsidR="002661BA" w:rsidRDefault="002661BA">
      <w:pPr>
        <w:ind w:firstLine="450"/>
        <w:jc w:val="both"/>
      </w:pPr>
    </w:p>
    <w:p w14:paraId="22CFA355" w14:textId="77777777" w:rsidR="002661BA" w:rsidRDefault="00D972BC">
      <w:pPr>
        <w:jc w:val="both"/>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/Ebay/./Inline XBRL Viewer4_files/ebay-20211231_g2.jpg"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2CFE4CC" wp14:editId="22CFE4CD">
            <wp:extent cx="304800" cy="304800"/>
            <wp:effectExtent l="0" t="0" r="0" b="0"/>
            <wp:docPr id="1" name="图片 6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3"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22CFA356" w14:textId="77777777" w:rsidR="002661BA" w:rsidRDefault="002661BA">
      <w:pPr>
        <w:jc w:val="both"/>
      </w:pPr>
    </w:p>
    <w:p w14:paraId="22CFA357" w14:textId="77777777" w:rsidR="002661BA" w:rsidRDefault="00D972BC">
      <w:pPr>
        <w:jc w:val="center"/>
      </w:pPr>
      <w:r>
        <w:rPr>
          <w:rFonts w:ascii="Arial" w:eastAsia="宋体" w:hAnsi="Arial" w:cs="Arial"/>
          <w:color w:val="000000"/>
          <w:sz w:val="18"/>
          <w:szCs w:val="18"/>
        </w:rPr>
        <w:t>29</w:t>
      </w:r>
    </w:p>
    <w:p w14:paraId="22CFA358" w14:textId="77777777" w:rsidR="002661BA" w:rsidRDefault="00D972BC">
      <w:r>
        <w:pict w14:anchorId="22CFE4CE">
          <v:rect id="_x0000_i1053" style="width:415.3pt;height:1.5pt" o:hralign="center" o:hrstd="t" o:hr="t" fillcolor="#a0a0a0" stroked="f"/>
        </w:pict>
      </w:r>
    </w:p>
    <w:p w14:paraId="22CFA359" w14:textId="77777777" w:rsidR="002661BA" w:rsidRDefault="00D972BC">
      <w:hyperlink r:id="rId55" w:anchor="id0d7a71b05ce452ea9fdb54f3cb359c7_7" w:history="1">
        <w:r>
          <w:rPr>
            <w:rStyle w:val="a5"/>
            <w:rFonts w:ascii="Arial" w:eastAsia="宋体" w:hAnsi="Arial" w:cs="Arial"/>
            <w:sz w:val="18"/>
            <w:szCs w:val="18"/>
          </w:rPr>
          <w:t>Table of Contents</w:t>
        </w:r>
      </w:hyperlink>
    </w:p>
    <w:p w14:paraId="22CFA35A" w14:textId="77777777" w:rsidR="002661BA" w:rsidRDefault="00D972BC">
      <w:pPr>
        <w:ind w:firstLine="270"/>
        <w:jc w:val="both"/>
      </w:pPr>
      <w:r>
        <w:rPr>
          <w:rFonts w:ascii="Arial" w:eastAsia="宋体" w:hAnsi="Arial" w:cs="Arial"/>
          <w:b/>
          <w:bCs/>
          <w:i/>
          <w:iCs/>
          <w:color w:val="000000"/>
          <w:sz w:val="20"/>
          <w:szCs w:val="20"/>
        </w:rPr>
        <w:t>Purchases of Equity Securities by the Issuer and Affiliated Purchasers</w:t>
      </w:r>
    </w:p>
    <w:p w14:paraId="22CFA35B" w14:textId="77777777" w:rsidR="002661BA" w:rsidRDefault="002661BA">
      <w:pPr>
        <w:jc w:val="both"/>
      </w:pPr>
    </w:p>
    <w:p w14:paraId="22CFA35C" w14:textId="77777777" w:rsidR="002661BA" w:rsidRDefault="00D972BC">
      <w:pPr>
        <w:spacing w:after="120"/>
        <w:ind w:firstLine="540"/>
      </w:pPr>
      <w:r>
        <w:rPr>
          <w:rFonts w:ascii="Arial" w:eastAsia="宋体" w:hAnsi="Arial" w:cs="Arial"/>
          <w:color w:val="000000"/>
          <w:sz w:val="20"/>
          <w:szCs w:val="20"/>
        </w:rPr>
        <w:t>The following</w:t>
      </w:r>
      <w:r>
        <w:rPr>
          <w:rFonts w:ascii="Arial" w:eastAsia="宋体" w:hAnsi="Arial" w:cs="Arial"/>
          <w:color w:val="000000"/>
          <w:sz w:val="20"/>
          <w:szCs w:val="20"/>
        </w:rPr>
        <w:t xml:space="preserve"> table presents stock repurchase activity during the three months ended December 31, 2021:</w:t>
      </w:r>
    </w:p>
    <w:tbl>
      <w:tblPr>
        <w:tblW w:w="5000" w:type="pct"/>
        <w:tblInd w:w="-345" w:type="dxa"/>
        <w:tblCellMar>
          <w:top w:w="15" w:type="dxa"/>
          <w:left w:w="15" w:type="dxa"/>
          <w:bottom w:w="15" w:type="dxa"/>
          <w:right w:w="15" w:type="dxa"/>
        </w:tblCellMar>
        <w:tblLook w:val="04A0" w:firstRow="1" w:lastRow="0" w:firstColumn="1" w:lastColumn="0" w:noHBand="0" w:noVBand="1"/>
      </w:tblPr>
      <w:tblGrid>
        <w:gridCol w:w="46"/>
        <w:gridCol w:w="2054"/>
        <w:gridCol w:w="39"/>
        <w:gridCol w:w="36"/>
        <w:gridCol w:w="68"/>
        <w:gridCol w:w="36"/>
        <w:gridCol w:w="60"/>
        <w:gridCol w:w="1235"/>
        <w:gridCol w:w="36"/>
        <w:gridCol w:w="37"/>
        <w:gridCol w:w="148"/>
        <w:gridCol w:w="36"/>
        <w:gridCol w:w="122"/>
        <w:gridCol w:w="1242"/>
        <w:gridCol w:w="36"/>
        <w:gridCol w:w="37"/>
        <w:gridCol w:w="148"/>
        <w:gridCol w:w="36"/>
        <w:gridCol w:w="60"/>
        <w:gridCol w:w="1229"/>
        <w:gridCol w:w="36"/>
        <w:gridCol w:w="36"/>
        <w:gridCol w:w="81"/>
        <w:gridCol w:w="36"/>
        <w:gridCol w:w="121"/>
        <w:gridCol w:w="1249"/>
        <w:gridCol w:w="36"/>
      </w:tblGrid>
      <w:tr w:rsidR="002661BA" w14:paraId="22CFA378" w14:textId="77777777">
        <w:tc>
          <w:tcPr>
            <w:tcW w:w="50" w:type="pct"/>
            <w:shd w:val="clear" w:color="auto" w:fill="auto"/>
            <w:vAlign w:val="bottom"/>
          </w:tcPr>
          <w:p w14:paraId="22CFA35D" w14:textId="77777777" w:rsidR="002661BA" w:rsidRDefault="002661BA">
            <w:pPr>
              <w:rPr>
                <w:rFonts w:ascii="宋体"/>
              </w:rPr>
            </w:pPr>
          </w:p>
        </w:tc>
        <w:tc>
          <w:tcPr>
            <w:tcW w:w="1253" w:type="pct"/>
            <w:shd w:val="clear" w:color="auto" w:fill="auto"/>
            <w:vAlign w:val="bottom"/>
          </w:tcPr>
          <w:p w14:paraId="22CFA35E" w14:textId="77777777" w:rsidR="002661BA" w:rsidRDefault="002661BA">
            <w:pPr>
              <w:rPr>
                <w:rFonts w:ascii="宋体"/>
              </w:rPr>
            </w:pPr>
          </w:p>
        </w:tc>
        <w:tc>
          <w:tcPr>
            <w:tcW w:w="5" w:type="pct"/>
            <w:shd w:val="clear" w:color="auto" w:fill="auto"/>
            <w:vAlign w:val="bottom"/>
          </w:tcPr>
          <w:p w14:paraId="22CFA35F" w14:textId="77777777" w:rsidR="002661BA" w:rsidRDefault="002661BA">
            <w:pPr>
              <w:rPr>
                <w:rFonts w:ascii="宋体"/>
              </w:rPr>
            </w:pPr>
          </w:p>
        </w:tc>
        <w:tc>
          <w:tcPr>
            <w:tcW w:w="5" w:type="pct"/>
            <w:shd w:val="clear" w:color="auto" w:fill="auto"/>
            <w:vAlign w:val="bottom"/>
          </w:tcPr>
          <w:p w14:paraId="22CFA360" w14:textId="77777777" w:rsidR="002661BA" w:rsidRDefault="002661BA">
            <w:pPr>
              <w:rPr>
                <w:rFonts w:ascii="宋体"/>
              </w:rPr>
            </w:pPr>
          </w:p>
        </w:tc>
        <w:tc>
          <w:tcPr>
            <w:tcW w:w="63" w:type="pct"/>
            <w:shd w:val="clear" w:color="auto" w:fill="auto"/>
            <w:vAlign w:val="bottom"/>
          </w:tcPr>
          <w:p w14:paraId="22CFA361" w14:textId="77777777" w:rsidR="002661BA" w:rsidRDefault="002661BA">
            <w:pPr>
              <w:rPr>
                <w:rFonts w:ascii="宋体"/>
              </w:rPr>
            </w:pPr>
          </w:p>
        </w:tc>
        <w:tc>
          <w:tcPr>
            <w:tcW w:w="5" w:type="pct"/>
            <w:shd w:val="clear" w:color="auto" w:fill="auto"/>
            <w:vAlign w:val="bottom"/>
          </w:tcPr>
          <w:p w14:paraId="22CFA362" w14:textId="77777777" w:rsidR="002661BA" w:rsidRDefault="002661BA">
            <w:pPr>
              <w:rPr>
                <w:rFonts w:ascii="宋体"/>
              </w:rPr>
            </w:pPr>
          </w:p>
        </w:tc>
        <w:tc>
          <w:tcPr>
            <w:tcW w:w="50" w:type="pct"/>
            <w:shd w:val="clear" w:color="auto" w:fill="auto"/>
            <w:vAlign w:val="bottom"/>
          </w:tcPr>
          <w:p w14:paraId="22CFA363" w14:textId="77777777" w:rsidR="002661BA" w:rsidRDefault="002661BA">
            <w:pPr>
              <w:rPr>
                <w:rFonts w:ascii="宋体"/>
              </w:rPr>
            </w:pPr>
          </w:p>
        </w:tc>
        <w:tc>
          <w:tcPr>
            <w:tcW w:w="771" w:type="pct"/>
            <w:shd w:val="clear" w:color="auto" w:fill="auto"/>
            <w:vAlign w:val="bottom"/>
          </w:tcPr>
          <w:p w14:paraId="22CFA364" w14:textId="77777777" w:rsidR="002661BA" w:rsidRDefault="002661BA">
            <w:pPr>
              <w:rPr>
                <w:rFonts w:ascii="宋体"/>
              </w:rPr>
            </w:pPr>
          </w:p>
        </w:tc>
        <w:tc>
          <w:tcPr>
            <w:tcW w:w="5" w:type="pct"/>
            <w:shd w:val="clear" w:color="auto" w:fill="auto"/>
            <w:vAlign w:val="bottom"/>
          </w:tcPr>
          <w:p w14:paraId="22CFA365" w14:textId="77777777" w:rsidR="002661BA" w:rsidRDefault="002661BA">
            <w:pPr>
              <w:rPr>
                <w:rFonts w:ascii="宋体"/>
              </w:rPr>
            </w:pPr>
          </w:p>
        </w:tc>
        <w:tc>
          <w:tcPr>
            <w:tcW w:w="5" w:type="pct"/>
            <w:shd w:val="clear" w:color="auto" w:fill="auto"/>
            <w:vAlign w:val="bottom"/>
          </w:tcPr>
          <w:p w14:paraId="22CFA366" w14:textId="77777777" w:rsidR="002661BA" w:rsidRDefault="002661BA">
            <w:pPr>
              <w:rPr>
                <w:rFonts w:ascii="宋体"/>
              </w:rPr>
            </w:pPr>
          </w:p>
        </w:tc>
        <w:tc>
          <w:tcPr>
            <w:tcW w:w="106" w:type="pct"/>
            <w:shd w:val="clear" w:color="auto" w:fill="auto"/>
            <w:vAlign w:val="bottom"/>
          </w:tcPr>
          <w:p w14:paraId="22CFA367" w14:textId="77777777" w:rsidR="002661BA" w:rsidRDefault="002661BA">
            <w:pPr>
              <w:rPr>
                <w:rFonts w:ascii="宋体"/>
              </w:rPr>
            </w:pPr>
          </w:p>
        </w:tc>
        <w:tc>
          <w:tcPr>
            <w:tcW w:w="5" w:type="pct"/>
            <w:shd w:val="clear" w:color="auto" w:fill="auto"/>
            <w:vAlign w:val="bottom"/>
          </w:tcPr>
          <w:p w14:paraId="22CFA368" w14:textId="77777777" w:rsidR="002661BA" w:rsidRDefault="002661BA">
            <w:pPr>
              <w:rPr>
                <w:rFonts w:ascii="宋体"/>
              </w:rPr>
            </w:pPr>
          </w:p>
        </w:tc>
        <w:tc>
          <w:tcPr>
            <w:tcW w:w="50" w:type="pct"/>
            <w:shd w:val="clear" w:color="auto" w:fill="auto"/>
            <w:vAlign w:val="bottom"/>
          </w:tcPr>
          <w:p w14:paraId="22CFA369" w14:textId="77777777" w:rsidR="002661BA" w:rsidRDefault="002661BA">
            <w:pPr>
              <w:rPr>
                <w:rFonts w:ascii="宋体"/>
              </w:rPr>
            </w:pPr>
          </w:p>
        </w:tc>
        <w:tc>
          <w:tcPr>
            <w:tcW w:w="771" w:type="pct"/>
            <w:shd w:val="clear" w:color="auto" w:fill="auto"/>
            <w:vAlign w:val="bottom"/>
          </w:tcPr>
          <w:p w14:paraId="22CFA36A" w14:textId="77777777" w:rsidR="002661BA" w:rsidRDefault="002661BA">
            <w:pPr>
              <w:rPr>
                <w:rFonts w:ascii="宋体"/>
              </w:rPr>
            </w:pPr>
          </w:p>
        </w:tc>
        <w:tc>
          <w:tcPr>
            <w:tcW w:w="5" w:type="pct"/>
            <w:shd w:val="clear" w:color="auto" w:fill="auto"/>
            <w:vAlign w:val="bottom"/>
          </w:tcPr>
          <w:p w14:paraId="22CFA36B" w14:textId="77777777" w:rsidR="002661BA" w:rsidRDefault="002661BA">
            <w:pPr>
              <w:rPr>
                <w:rFonts w:ascii="宋体"/>
              </w:rPr>
            </w:pPr>
          </w:p>
        </w:tc>
        <w:tc>
          <w:tcPr>
            <w:tcW w:w="5" w:type="pct"/>
            <w:shd w:val="clear" w:color="auto" w:fill="auto"/>
            <w:vAlign w:val="bottom"/>
          </w:tcPr>
          <w:p w14:paraId="22CFA36C" w14:textId="77777777" w:rsidR="002661BA" w:rsidRDefault="002661BA">
            <w:pPr>
              <w:rPr>
                <w:rFonts w:ascii="宋体"/>
              </w:rPr>
            </w:pPr>
          </w:p>
        </w:tc>
        <w:tc>
          <w:tcPr>
            <w:tcW w:w="106" w:type="pct"/>
            <w:shd w:val="clear" w:color="auto" w:fill="auto"/>
            <w:vAlign w:val="bottom"/>
          </w:tcPr>
          <w:p w14:paraId="22CFA36D" w14:textId="77777777" w:rsidR="002661BA" w:rsidRDefault="002661BA">
            <w:pPr>
              <w:rPr>
                <w:rFonts w:ascii="宋体"/>
              </w:rPr>
            </w:pPr>
          </w:p>
        </w:tc>
        <w:tc>
          <w:tcPr>
            <w:tcW w:w="5" w:type="pct"/>
            <w:shd w:val="clear" w:color="auto" w:fill="auto"/>
            <w:vAlign w:val="bottom"/>
          </w:tcPr>
          <w:p w14:paraId="22CFA36E" w14:textId="77777777" w:rsidR="002661BA" w:rsidRDefault="002661BA">
            <w:pPr>
              <w:rPr>
                <w:rFonts w:ascii="宋体"/>
              </w:rPr>
            </w:pPr>
          </w:p>
        </w:tc>
        <w:tc>
          <w:tcPr>
            <w:tcW w:w="50" w:type="pct"/>
            <w:shd w:val="clear" w:color="auto" w:fill="auto"/>
            <w:vAlign w:val="bottom"/>
          </w:tcPr>
          <w:p w14:paraId="22CFA36F" w14:textId="77777777" w:rsidR="002661BA" w:rsidRDefault="002661BA">
            <w:pPr>
              <w:rPr>
                <w:rFonts w:ascii="宋体"/>
              </w:rPr>
            </w:pPr>
          </w:p>
        </w:tc>
        <w:tc>
          <w:tcPr>
            <w:tcW w:w="771" w:type="pct"/>
            <w:shd w:val="clear" w:color="auto" w:fill="auto"/>
            <w:vAlign w:val="bottom"/>
          </w:tcPr>
          <w:p w14:paraId="22CFA370" w14:textId="77777777" w:rsidR="002661BA" w:rsidRDefault="002661BA">
            <w:pPr>
              <w:rPr>
                <w:rFonts w:ascii="宋体"/>
              </w:rPr>
            </w:pPr>
          </w:p>
        </w:tc>
        <w:tc>
          <w:tcPr>
            <w:tcW w:w="5" w:type="pct"/>
            <w:shd w:val="clear" w:color="auto" w:fill="auto"/>
            <w:vAlign w:val="bottom"/>
          </w:tcPr>
          <w:p w14:paraId="22CFA371" w14:textId="77777777" w:rsidR="002661BA" w:rsidRDefault="002661BA">
            <w:pPr>
              <w:rPr>
                <w:rFonts w:ascii="宋体"/>
              </w:rPr>
            </w:pPr>
          </w:p>
        </w:tc>
        <w:tc>
          <w:tcPr>
            <w:tcW w:w="5" w:type="pct"/>
            <w:shd w:val="clear" w:color="auto" w:fill="auto"/>
            <w:vAlign w:val="bottom"/>
          </w:tcPr>
          <w:p w14:paraId="22CFA372" w14:textId="77777777" w:rsidR="002661BA" w:rsidRDefault="002661BA">
            <w:pPr>
              <w:rPr>
                <w:rFonts w:ascii="宋体"/>
              </w:rPr>
            </w:pPr>
          </w:p>
        </w:tc>
        <w:tc>
          <w:tcPr>
            <w:tcW w:w="70" w:type="pct"/>
            <w:shd w:val="clear" w:color="auto" w:fill="auto"/>
            <w:vAlign w:val="bottom"/>
          </w:tcPr>
          <w:p w14:paraId="22CFA373" w14:textId="77777777" w:rsidR="002661BA" w:rsidRDefault="002661BA">
            <w:pPr>
              <w:rPr>
                <w:rFonts w:ascii="宋体"/>
              </w:rPr>
            </w:pPr>
          </w:p>
        </w:tc>
        <w:tc>
          <w:tcPr>
            <w:tcW w:w="5" w:type="pct"/>
            <w:shd w:val="clear" w:color="auto" w:fill="auto"/>
            <w:vAlign w:val="bottom"/>
          </w:tcPr>
          <w:p w14:paraId="22CFA374" w14:textId="77777777" w:rsidR="002661BA" w:rsidRDefault="002661BA">
            <w:pPr>
              <w:rPr>
                <w:rFonts w:ascii="宋体"/>
              </w:rPr>
            </w:pPr>
          </w:p>
        </w:tc>
        <w:tc>
          <w:tcPr>
            <w:tcW w:w="50" w:type="pct"/>
            <w:shd w:val="clear" w:color="auto" w:fill="auto"/>
            <w:vAlign w:val="bottom"/>
          </w:tcPr>
          <w:p w14:paraId="22CFA375" w14:textId="77777777" w:rsidR="002661BA" w:rsidRDefault="002661BA">
            <w:pPr>
              <w:rPr>
                <w:rFonts w:ascii="宋体"/>
              </w:rPr>
            </w:pPr>
          </w:p>
        </w:tc>
        <w:tc>
          <w:tcPr>
            <w:tcW w:w="771" w:type="pct"/>
            <w:shd w:val="clear" w:color="auto" w:fill="auto"/>
            <w:vAlign w:val="bottom"/>
          </w:tcPr>
          <w:p w14:paraId="22CFA376" w14:textId="77777777" w:rsidR="002661BA" w:rsidRDefault="002661BA">
            <w:pPr>
              <w:rPr>
                <w:rFonts w:ascii="宋体"/>
              </w:rPr>
            </w:pPr>
          </w:p>
        </w:tc>
        <w:tc>
          <w:tcPr>
            <w:tcW w:w="5" w:type="pct"/>
            <w:shd w:val="clear" w:color="auto" w:fill="auto"/>
            <w:vAlign w:val="bottom"/>
          </w:tcPr>
          <w:p w14:paraId="22CFA377" w14:textId="77777777" w:rsidR="002661BA" w:rsidRDefault="002661BA">
            <w:pPr>
              <w:rPr>
                <w:rFonts w:ascii="宋体"/>
              </w:rPr>
            </w:pPr>
          </w:p>
        </w:tc>
      </w:tr>
      <w:tr w:rsidR="002661BA" w14:paraId="22CFA382" w14:textId="77777777">
        <w:tc>
          <w:tcPr>
            <w:tcW w:w="0" w:type="auto"/>
            <w:gridSpan w:val="3"/>
            <w:shd w:val="clear" w:color="auto" w:fill="auto"/>
            <w:tcMar>
              <w:top w:w="40" w:type="dxa"/>
              <w:left w:w="20" w:type="dxa"/>
              <w:bottom w:w="40" w:type="dxa"/>
              <w:right w:w="20" w:type="dxa"/>
            </w:tcMar>
            <w:vAlign w:val="bottom"/>
          </w:tcPr>
          <w:p w14:paraId="22CFA379" w14:textId="77777777" w:rsidR="002661BA" w:rsidRDefault="00D972BC">
            <w:pPr>
              <w:textAlignment w:val="bottom"/>
            </w:pPr>
            <w:r>
              <w:rPr>
                <w:rFonts w:ascii="Arial" w:eastAsia="宋体" w:hAnsi="Arial" w:cs="Arial"/>
                <w:b/>
                <w:bCs/>
                <w:color w:val="000000"/>
                <w:sz w:val="16"/>
                <w:szCs w:val="16"/>
              </w:rPr>
              <w:t>Period Ended</w:t>
            </w:r>
          </w:p>
        </w:tc>
        <w:tc>
          <w:tcPr>
            <w:tcW w:w="0" w:type="auto"/>
            <w:gridSpan w:val="3"/>
            <w:shd w:val="clear" w:color="auto" w:fill="auto"/>
            <w:tcMar>
              <w:top w:w="0" w:type="dxa"/>
              <w:left w:w="20" w:type="dxa"/>
              <w:bottom w:w="0" w:type="dxa"/>
              <w:right w:w="20" w:type="dxa"/>
            </w:tcMar>
            <w:vAlign w:val="bottom"/>
          </w:tcPr>
          <w:p w14:paraId="22CFA37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A37B" w14:textId="77777777" w:rsidR="002661BA" w:rsidRDefault="00D972BC">
            <w:pPr>
              <w:jc w:val="center"/>
              <w:textAlignment w:val="bottom"/>
            </w:pPr>
            <w:r>
              <w:rPr>
                <w:rFonts w:ascii="Arial" w:eastAsia="宋体" w:hAnsi="Arial" w:cs="Arial"/>
                <w:b/>
                <w:bCs/>
                <w:color w:val="000000"/>
                <w:sz w:val="16"/>
                <w:szCs w:val="16"/>
              </w:rPr>
              <w:t>Total Number of Shares Purchased</w:t>
            </w:r>
          </w:p>
        </w:tc>
        <w:tc>
          <w:tcPr>
            <w:tcW w:w="0" w:type="auto"/>
            <w:gridSpan w:val="3"/>
            <w:shd w:val="clear" w:color="auto" w:fill="auto"/>
            <w:tcMar>
              <w:top w:w="0" w:type="dxa"/>
              <w:left w:w="20" w:type="dxa"/>
              <w:bottom w:w="0" w:type="dxa"/>
              <w:right w:w="20" w:type="dxa"/>
            </w:tcMar>
            <w:vAlign w:val="bottom"/>
          </w:tcPr>
          <w:p w14:paraId="22CFA37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A37D" w14:textId="77777777" w:rsidR="002661BA" w:rsidRDefault="00D972BC">
            <w:pPr>
              <w:jc w:val="center"/>
              <w:textAlignment w:val="bottom"/>
            </w:pPr>
            <w:r>
              <w:rPr>
                <w:rFonts w:ascii="Arial" w:eastAsia="宋体" w:hAnsi="Arial" w:cs="Arial"/>
                <w:b/>
                <w:bCs/>
                <w:color w:val="000000"/>
                <w:sz w:val="16"/>
                <w:szCs w:val="16"/>
              </w:rPr>
              <w:t xml:space="preserve">Average Price Paid per Share </w:t>
            </w:r>
            <w:r>
              <w:rPr>
                <w:rFonts w:ascii="Arial" w:eastAsia="宋体" w:hAnsi="Arial" w:cs="Arial"/>
                <w:b/>
                <w:bCs/>
                <w:color w:val="000000"/>
                <w:sz w:val="10"/>
                <w:szCs w:val="10"/>
              </w:rPr>
              <w:t>(3)</w:t>
            </w:r>
          </w:p>
        </w:tc>
        <w:tc>
          <w:tcPr>
            <w:tcW w:w="0" w:type="auto"/>
            <w:gridSpan w:val="3"/>
            <w:shd w:val="clear" w:color="auto" w:fill="auto"/>
            <w:tcMar>
              <w:top w:w="0" w:type="dxa"/>
              <w:left w:w="20" w:type="dxa"/>
              <w:bottom w:w="0" w:type="dxa"/>
              <w:right w:w="20" w:type="dxa"/>
            </w:tcMar>
            <w:vAlign w:val="bottom"/>
          </w:tcPr>
          <w:p w14:paraId="22CFA37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A37F" w14:textId="77777777" w:rsidR="002661BA" w:rsidRDefault="00D972BC">
            <w:pPr>
              <w:jc w:val="center"/>
              <w:textAlignment w:val="bottom"/>
            </w:pPr>
            <w:r>
              <w:rPr>
                <w:rFonts w:ascii="Arial" w:eastAsia="宋体" w:hAnsi="Arial" w:cs="Arial"/>
                <w:b/>
                <w:bCs/>
                <w:color w:val="000000"/>
                <w:sz w:val="16"/>
                <w:szCs w:val="16"/>
              </w:rPr>
              <w:t>Total Number of</w:t>
            </w:r>
            <w:r>
              <w:rPr>
                <w:rFonts w:ascii="Arial" w:eastAsia="宋体" w:hAnsi="Arial" w:cs="Arial"/>
                <w:b/>
                <w:bCs/>
                <w:color w:val="000000"/>
                <w:sz w:val="16"/>
                <w:szCs w:val="16"/>
              </w:rPr>
              <w:br/>
              <w:t>Shares Purchased</w:t>
            </w:r>
            <w:r>
              <w:rPr>
                <w:rFonts w:ascii="Arial" w:eastAsia="宋体" w:hAnsi="Arial" w:cs="Arial"/>
                <w:b/>
                <w:bCs/>
                <w:color w:val="000000"/>
                <w:sz w:val="16"/>
                <w:szCs w:val="16"/>
              </w:rPr>
              <w:br/>
              <w:t>as Part of Publicly</w:t>
            </w:r>
            <w:r>
              <w:rPr>
                <w:rFonts w:ascii="Arial" w:eastAsia="宋体" w:hAnsi="Arial" w:cs="Arial"/>
                <w:b/>
                <w:bCs/>
                <w:color w:val="000000"/>
                <w:sz w:val="16"/>
                <w:szCs w:val="16"/>
              </w:rPr>
              <w:br/>
              <w:t>Announced</w:t>
            </w:r>
            <w:r>
              <w:rPr>
                <w:rFonts w:ascii="Arial" w:eastAsia="宋体" w:hAnsi="Arial" w:cs="Arial"/>
                <w:b/>
                <w:bCs/>
                <w:color w:val="000000"/>
                <w:sz w:val="16"/>
                <w:szCs w:val="16"/>
              </w:rPr>
              <w:br/>
              <w:t>Programs</w:t>
            </w:r>
          </w:p>
        </w:tc>
        <w:tc>
          <w:tcPr>
            <w:tcW w:w="0" w:type="auto"/>
            <w:gridSpan w:val="3"/>
            <w:shd w:val="clear" w:color="auto" w:fill="auto"/>
            <w:tcMar>
              <w:top w:w="0" w:type="dxa"/>
              <w:left w:w="20" w:type="dxa"/>
              <w:bottom w:w="0" w:type="dxa"/>
              <w:right w:w="20" w:type="dxa"/>
            </w:tcMar>
            <w:vAlign w:val="bottom"/>
          </w:tcPr>
          <w:p w14:paraId="22CFA38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A381" w14:textId="77777777" w:rsidR="002661BA" w:rsidRDefault="00D972BC">
            <w:pPr>
              <w:jc w:val="center"/>
              <w:textAlignment w:val="bottom"/>
            </w:pPr>
            <w:r>
              <w:rPr>
                <w:rFonts w:ascii="Arial" w:eastAsia="宋体" w:hAnsi="Arial" w:cs="Arial"/>
                <w:b/>
                <w:bCs/>
                <w:color w:val="000000"/>
                <w:sz w:val="16"/>
                <w:szCs w:val="16"/>
              </w:rPr>
              <w:t xml:space="preserve">Maximum Dollar Value that May Yet be Purchased Under the Programs </w:t>
            </w:r>
            <w:r>
              <w:rPr>
                <w:rFonts w:ascii="Arial" w:eastAsia="宋体" w:hAnsi="Arial" w:cs="Arial"/>
                <w:b/>
                <w:bCs/>
                <w:color w:val="000000"/>
                <w:sz w:val="10"/>
                <w:szCs w:val="10"/>
              </w:rPr>
              <w:t>(2)</w:t>
            </w:r>
          </w:p>
        </w:tc>
      </w:tr>
      <w:tr w:rsidR="002661BA" w14:paraId="22CFA38C" w14:textId="77777777">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22CFA383" w14:textId="77777777" w:rsidR="002661BA" w:rsidRDefault="00D972BC">
            <w:pPr>
              <w:textAlignment w:val="bottom"/>
            </w:pPr>
            <w:r>
              <w:rPr>
                <w:rFonts w:ascii="Arial" w:eastAsia="宋体" w:hAnsi="Arial" w:cs="Arial"/>
                <w:color w:val="000000"/>
                <w:sz w:val="18"/>
                <w:szCs w:val="18"/>
              </w:rPr>
              <w:t>October 31, 2021</w:t>
            </w:r>
          </w:p>
        </w:tc>
        <w:tc>
          <w:tcPr>
            <w:tcW w:w="0" w:type="auto"/>
            <w:gridSpan w:val="3"/>
            <w:shd w:val="clear" w:color="auto" w:fill="E2E2E2"/>
            <w:tcMar>
              <w:top w:w="0" w:type="dxa"/>
              <w:left w:w="20" w:type="dxa"/>
              <w:bottom w:w="0" w:type="dxa"/>
              <w:right w:w="20" w:type="dxa"/>
            </w:tcMar>
            <w:vAlign w:val="bottom"/>
          </w:tcPr>
          <w:p w14:paraId="22CFA384"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A385"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386"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A387"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388"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A389"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38A"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A38B" w14:textId="77777777" w:rsidR="002661BA" w:rsidRDefault="002661BA">
            <w:pPr>
              <w:rPr>
                <w:rFonts w:ascii="宋体"/>
              </w:rPr>
            </w:pPr>
          </w:p>
        </w:tc>
      </w:tr>
      <w:tr w:rsidR="002661BA" w14:paraId="22CFA39C" w14:textId="77777777">
        <w:tc>
          <w:tcPr>
            <w:tcW w:w="0" w:type="auto"/>
            <w:gridSpan w:val="3"/>
            <w:shd w:val="clear" w:color="auto" w:fill="FFFFFF"/>
            <w:tcMar>
              <w:top w:w="40" w:type="dxa"/>
              <w:left w:w="140" w:type="dxa"/>
              <w:bottom w:w="40" w:type="dxa"/>
              <w:right w:w="20" w:type="dxa"/>
            </w:tcMar>
            <w:vAlign w:val="bottom"/>
          </w:tcPr>
          <w:p w14:paraId="22CFA38D" w14:textId="77777777" w:rsidR="002661BA" w:rsidRDefault="00D972BC">
            <w:pPr>
              <w:textAlignment w:val="bottom"/>
            </w:pPr>
            <w:r>
              <w:rPr>
                <w:rFonts w:ascii="Arial" w:eastAsia="宋体" w:hAnsi="Arial" w:cs="Arial"/>
                <w:color w:val="000000"/>
                <w:sz w:val="18"/>
                <w:szCs w:val="18"/>
              </w:rPr>
              <w:t>Open market purchases</w:t>
            </w:r>
          </w:p>
        </w:tc>
        <w:tc>
          <w:tcPr>
            <w:tcW w:w="0" w:type="auto"/>
            <w:gridSpan w:val="3"/>
            <w:shd w:val="clear" w:color="auto" w:fill="FFFFFF"/>
            <w:tcMar>
              <w:top w:w="0" w:type="dxa"/>
              <w:left w:w="20" w:type="dxa"/>
              <w:bottom w:w="0" w:type="dxa"/>
              <w:right w:w="20" w:type="dxa"/>
            </w:tcMar>
            <w:vAlign w:val="bottom"/>
          </w:tcPr>
          <w:p w14:paraId="22CFA38E"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38F" w14:textId="77777777" w:rsidR="002661BA" w:rsidRDefault="00D972BC">
            <w:pPr>
              <w:jc w:val="right"/>
              <w:textAlignment w:val="bottom"/>
            </w:pPr>
            <w:r>
              <w:rPr>
                <w:rFonts w:ascii="Arial" w:eastAsia="宋体" w:hAnsi="Arial" w:cs="Arial"/>
                <w:color w:val="000000"/>
                <w:sz w:val="18"/>
                <w:szCs w:val="18"/>
              </w:rPr>
              <w:t>6,703,900 </w:t>
            </w:r>
          </w:p>
        </w:tc>
        <w:tc>
          <w:tcPr>
            <w:tcW w:w="0" w:type="auto"/>
            <w:shd w:val="clear" w:color="auto" w:fill="FFFFFF"/>
            <w:tcMar>
              <w:top w:w="40" w:type="dxa"/>
              <w:left w:w="0" w:type="dxa"/>
              <w:bottom w:w="40" w:type="dxa"/>
              <w:right w:w="20" w:type="dxa"/>
            </w:tcMar>
            <w:vAlign w:val="bottom"/>
          </w:tcPr>
          <w:p w14:paraId="22CFA390"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391"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A392"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393" w14:textId="77777777" w:rsidR="002661BA" w:rsidRDefault="00D972BC">
            <w:pPr>
              <w:jc w:val="right"/>
              <w:textAlignment w:val="bottom"/>
            </w:pPr>
            <w:r>
              <w:rPr>
                <w:rFonts w:ascii="Arial" w:eastAsia="宋体" w:hAnsi="Arial" w:cs="Arial"/>
                <w:color w:val="000000"/>
                <w:sz w:val="18"/>
                <w:szCs w:val="18"/>
              </w:rPr>
              <w:t>74.58 </w:t>
            </w:r>
          </w:p>
        </w:tc>
        <w:tc>
          <w:tcPr>
            <w:tcW w:w="0" w:type="auto"/>
            <w:shd w:val="clear" w:color="auto" w:fill="FFFFFF"/>
            <w:tcMar>
              <w:top w:w="40" w:type="dxa"/>
              <w:left w:w="0" w:type="dxa"/>
              <w:bottom w:w="40" w:type="dxa"/>
              <w:right w:w="20" w:type="dxa"/>
            </w:tcMar>
            <w:vAlign w:val="bottom"/>
          </w:tcPr>
          <w:p w14:paraId="22CFA39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395"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396" w14:textId="77777777" w:rsidR="002661BA" w:rsidRDefault="00D972BC">
            <w:pPr>
              <w:jc w:val="right"/>
              <w:textAlignment w:val="bottom"/>
            </w:pPr>
            <w:r>
              <w:rPr>
                <w:rFonts w:ascii="Arial" w:eastAsia="宋体" w:hAnsi="Arial" w:cs="Arial"/>
                <w:color w:val="000000"/>
                <w:sz w:val="18"/>
                <w:szCs w:val="18"/>
              </w:rPr>
              <w:t>6,703,900 </w:t>
            </w:r>
          </w:p>
        </w:tc>
        <w:tc>
          <w:tcPr>
            <w:tcW w:w="0" w:type="auto"/>
            <w:shd w:val="clear" w:color="auto" w:fill="FFFFFF"/>
            <w:tcMar>
              <w:top w:w="40" w:type="dxa"/>
              <w:left w:w="0" w:type="dxa"/>
              <w:bottom w:w="40" w:type="dxa"/>
              <w:right w:w="20" w:type="dxa"/>
            </w:tcMar>
            <w:vAlign w:val="bottom"/>
          </w:tcPr>
          <w:p w14:paraId="22CFA39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398"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A39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39A" w14:textId="77777777" w:rsidR="002661BA" w:rsidRDefault="00D972BC">
            <w:pPr>
              <w:jc w:val="right"/>
              <w:textAlignment w:val="bottom"/>
            </w:pPr>
            <w:r>
              <w:rPr>
                <w:rFonts w:ascii="Arial" w:eastAsia="宋体" w:hAnsi="Arial" w:cs="Arial"/>
                <w:color w:val="000000"/>
                <w:sz w:val="18"/>
                <w:szCs w:val="18"/>
              </w:rPr>
              <w:t>4,491,176,019 </w:t>
            </w:r>
          </w:p>
        </w:tc>
        <w:tc>
          <w:tcPr>
            <w:tcW w:w="0" w:type="auto"/>
            <w:shd w:val="clear" w:color="auto" w:fill="FFFFFF"/>
            <w:tcMar>
              <w:top w:w="40" w:type="dxa"/>
              <w:left w:w="0" w:type="dxa"/>
              <w:bottom w:w="40" w:type="dxa"/>
              <w:right w:w="20" w:type="dxa"/>
            </w:tcMar>
            <w:vAlign w:val="bottom"/>
          </w:tcPr>
          <w:p w14:paraId="22CFA39B" w14:textId="77777777" w:rsidR="002661BA" w:rsidRDefault="002661BA">
            <w:pPr>
              <w:jc w:val="right"/>
              <w:rPr>
                <w:rFonts w:ascii="宋体"/>
              </w:rPr>
            </w:pPr>
          </w:p>
        </w:tc>
      </w:tr>
      <w:tr w:rsidR="002661BA" w14:paraId="22CFA3AC" w14:textId="77777777">
        <w:tc>
          <w:tcPr>
            <w:tcW w:w="0" w:type="auto"/>
            <w:gridSpan w:val="3"/>
            <w:shd w:val="clear" w:color="auto" w:fill="E2E2E2"/>
            <w:tcMar>
              <w:top w:w="40" w:type="dxa"/>
              <w:left w:w="140" w:type="dxa"/>
              <w:bottom w:w="40" w:type="dxa"/>
              <w:right w:w="20" w:type="dxa"/>
            </w:tcMar>
            <w:vAlign w:val="bottom"/>
          </w:tcPr>
          <w:p w14:paraId="22CFA39D" w14:textId="77777777" w:rsidR="002661BA" w:rsidRDefault="00D972BC">
            <w:pPr>
              <w:textAlignment w:val="bottom"/>
            </w:pPr>
            <w:r>
              <w:rPr>
                <w:rFonts w:ascii="Arial" w:eastAsia="宋体" w:hAnsi="Arial" w:cs="Arial"/>
                <w:color w:val="000000"/>
                <w:sz w:val="18"/>
                <w:szCs w:val="18"/>
              </w:rPr>
              <w:t>Accelerated share repurchase</w:t>
            </w:r>
          </w:p>
        </w:tc>
        <w:tc>
          <w:tcPr>
            <w:tcW w:w="0" w:type="auto"/>
            <w:gridSpan w:val="3"/>
            <w:shd w:val="clear" w:color="auto" w:fill="E2E2E2"/>
            <w:tcMar>
              <w:top w:w="0" w:type="dxa"/>
              <w:left w:w="20" w:type="dxa"/>
              <w:bottom w:w="0" w:type="dxa"/>
              <w:right w:w="20" w:type="dxa"/>
            </w:tcMar>
            <w:vAlign w:val="bottom"/>
          </w:tcPr>
          <w:p w14:paraId="22CFA39E"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39F" w14:textId="77777777" w:rsidR="002661BA" w:rsidRDefault="00D972BC">
            <w:pPr>
              <w:jc w:val="right"/>
              <w:textAlignment w:val="bottom"/>
            </w:pPr>
            <w:r>
              <w:rPr>
                <w:rFonts w:ascii="Arial" w:eastAsia="宋体" w:hAnsi="Arial" w:cs="Arial"/>
                <w:color w:val="000000"/>
                <w:sz w:val="18"/>
                <w:szCs w:val="18"/>
              </w:rPr>
              <w:t>29,346,774 </w:t>
            </w:r>
          </w:p>
        </w:tc>
        <w:tc>
          <w:tcPr>
            <w:tcW w:w="0" w:type="auto"/>
            <w:shd w:val="clear" w:color="auto" w:fill="E2E2E2"/>
            <w:tcMar>
              <w:top w:w="40" w:type="dxa"/>
              <w:left w:w="0" w:type="dxa"/>
              <w:bottom w:w="40" w:type="dxa"/>
              <w:right w:w="20" w:type="dxa"/>
            </w:tcMar>
            <w:vAlign w:val="bottom"/>
          </w:tcPr>
          <w:p w14:paraId="22CFA3A0"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A3A1" w14:textId="77777777" w:rsidR="002661BA" w:rsidRDefault="00D972BC">
            <w:pPr>
              <w:textAlignment w:val="bottom"/>
            </w:pPr>
            <w:r>
              <w:rPr>
                <w:rFonts w:ascii="Arial" w:eastAsia="宋体" w:hAnsi="Arial" w:cs="Arial"/>
                <w:b/>
                <w:bCs/>
                <w:color w:val="000000"/>
                <w:sz w:val="10"/>
                <w:szCs w:val="10"/>
              </w:rPr>
              <w:t>(1)</w:t>
            </w:r>
          </w:p>
        </w:tc>
        <w:tc>
          <w:tcPr>
            <w:tcW w:w="0" w:type="auto"/>
            <w:shd w:val="clear" w:color="auto" w:fill="E2E2E2"/>
            <w:tcMar>
              <w:top w:w="40" w:type="dxa"/>
              <w:left w:w="20" w:type="dxa"/>
              <w:bottom w:w="40" w:type="dxa"/>
              <w:right w:w="0" w:type="dxa"/>
            </w:tcMar>
            <w:vAlign w:val="bottom"/>
          </w:tcPr>
          <w:p w14:paraId="22CFA3A2"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A3A3"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A3A4"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A3A5" w14:textId="77777777" w:rsidR="002661BA" w:rsidRDefault="00D972BC">
            <w:pPr>
              <w:textAlignment w:val="bottom"/>
            </w:pPr>
            <w:r>
              <w:rPr>
                <w:rFonts w:ascii="Arial" w:eastAsia="宋体" w:hAnsi="Arial" w:cs="Arial"/>
                <w:b/>
                <w:bCs/>
                <w:color w:val="000000"/>
                <w:sz w:val="10"/>
                <w:szCs w:val="10"/>
              </w:rPr>
              <w:t>(1)</w:t>
            </w:r>
          </w:p>
        </w:tc>
        <w:tc>
          <w:tcPr>
            <w:tcW w:w="0" w:type="auto"/>
            <w:gridSpan w:val="2"/>
            <w:shd w:val="clear" w:color="auto" w:fill="E2E2E2"/>
            <w:tcMar>
              <w:top w:w="40" w:type="dxa"/>
              <w:left w:w="20" w:type="dxa"/>
              <w:bottom w:w="40" w:type="dxa"/>
              <w:right w:w="0" w:type="dxa"/>
            </w:tcMar>
            <w:vAlign w:val="bottom"/>
          </w:tcPr>
          <w:p w14:paraId="22CFA3A6" w14:textId="77777777" w:rsidR="002661BA" w:rsidRDefault="00D972BC">
            <w:pPr>
              <w:jc w:val="right"/>
              <w:textAlignment w:val="bottom"/>
            </w:pPr>
            <w:r>
              <w:rPr>
                <w:rFonts w:ascii="Arial" w:eastAsia="宋体" w:hAnsi="Arial" w:cs="Arial"/>
                <w:color w:val="000000"/>
                <w:sz w:val="18"/>
                <w:szCs w:val="18"/>
              </w:rPr>
              <w:t>29,346,774 </w:t>
            </w:r>
          </w:p>
        </w:tc>
        <w:tc>
          <w:tcPr>
            <w:tcW w:w="0" w:type="auto"/>
            <w:shd w:val="clear" w:color="auto" w:fill="E2E2E2"/>
            <w:tcMar>
              <w:top w:w="40" w:type="dxa"/>
              <w:left w:w="0" w:type="dxa"/>
              <w:bottom w:w="40" w:type="dxa"/>
              <w:right w:w="20" w:type="dxa"/>
            </w:tcMar>
            <w:vAlign w:val="bottom"/>
          </w:tcPr>
          <w:p w14:paraId="22CFA3A7"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3A8"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A3A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A3AA" w14:textId="77777777" w:rsidR="002661BA" w:rsidRDefault="00D972BC">
            <w:pPr>
              <w:jc w:val="right"/>
              <w:textAlignment w:val="bottom"/>
            </w:pPr>
            <w:r>
              <w:rPr>
                <w:rFonts w:ascii="Arial" w:eastAsia="宋体" w:hAnsi="Arial" w:cs="Arial"/>
                <w:color w:val="000000"/>
                <w:sz w:val="18"/>
                <w:szCs w:val="18"/>
              </w:rPr>
              <w:t>1,991,176,019 </w:t>
            </w:r>
          </w:p>
        </w:tc>
        <w:tc>
          <w:tcPr>
            <w:tcW w:w="0" w:type="auto"/>
            <w:shd w:val="clear" w:color="auto" w:fill="E2E2E2"/>
            <w:tcMar>
              <w:top w:w="40" w:type="dxa"/>
              <w:left w:w="0" w:type="dxa"/>
              <w:bottom w:w="40" w:type="dxa"/>
              <w:right w:w="20" w:type="dxa"/>
            </w:tcMar>
            <w:vAlign w:val="bottom"/>
          </w:tcPr>
          <w:p w14:paraId="22CFA3AB" w14:textId="77777777" w:rsidR="002661BA" w:rsidRDefault="002661BA">
            <w:pPr>
              <w:jc w:val="right"/>
              <w:rPr>
                <w:rFonts w:ascii="宋体"/>
              </w:rPr>
            </w:pPr>
          </w:p>
        </w:tc>
      </w:tr>
      <w:tr w:rsidR="002661BA" w14:paraId="22CFA3B6" w14:textId="77777777">
        <w:tc>
          <w:tcPr>
            <w:tcW w:w="0" w:type="auto"/>
            <w:gridSpan w:val="3"/>
            <w:shd w:val="clear" w:color="auto" w:fill="FFFFFF"/>
            <w:tcMar>
              <w:top w:w="40" w:type="dxa"/>
              <w:left w:w="20" w:type="dxa"/>
              <w:bottom w:w="40" w:type="dxa"/>
              <w:right w:w="20" w:type="dxa"/>
            </w:tcMar>
            <w:vAlign w:val="bottom"/>
          </w:tcPr>
          <w:p w14:paraId="22CFA3AD" w14:textId="77777777" w:rsidR="002661BA" w:rsidRDefault="00D972BC">
            <w:pPr>
              <w:textAlignment w:val="bottom"/>
            </w:pPr>
            <w:r>
              <w:rPr>
                <w:rFonts w:ascii="Arial" w:eastAsia="宋体" w:hAnsi="Arial" w:cs="Arial"/>
                <w:color w:val="000000"/>
                <w:sz w:val="18"/>
                <w:szCs w:val="18"/>
              </w:rPr>
              <w:t>November 30, 2021</w:t>
            </w:r>
          </w:p>
        </w:tc>
        <w:tc>
          <w:tcPr>
            <w:tcW w:w="0" w:type="auto"/>
            <w:gridSpan w:val="3"/>
            <w:shd w:val="clear" w:color="auto" w:fill="FFFFFF"/>
            <w:tcMar>
              <w:top w:w="0" w:type="dxa"/>
              <w:left w:w="20" w:type="dxa"/>
              <w:bottom w:w="0" w:type="dxa"/>
              <w:right w:w="20" w:type="dxa"/>
            </w:tcMar>
            <w:vAlign w:val="bottom"/>
          </w:tcPr>
          <w:p w14:paraId="22CFA3AE"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3AF"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3B0"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3B1"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3B2"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3B3"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3B4"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3B5" w14:textId="77777777" w:rsidR="002661BA" w:rsidRDefault="002661BA">
            <w:pPr>
              <w:rPr>
                <w:rFonts w:ascii="宋体"/>
              </w:rPr>
            </w:pPr>
          </w:p>
        </w:tc>
      </w:tr>
      <w:tr w:rsidR="002661BA" w14:paraId="22CFA3C6" w14:textId="77777777">
        <w:tc>
          <w:tcPr>
            <w:tcW w:w="0" w:type="auto"/>
            <w:gridSpan w:val="3"/>
            <w:shd w:val="clear" w:color="auto" w:fill="E2E2E2"/>
            <w:tcMar>
              <w:top w:w="40" w:type="dxa"/>
              <w:left w:w="140" w:type="dxa"/>
              <w:bottom w:w="40" w:type="dxa"/>
              <w:right w:w="20" w:type="dxa"/>
            </w:tcMar>
            <w:vAlign w:val="bottom"/>
          </w:tcPr>
          <w:p w14:paraId="22CFA3B7" w14:textId="77777777" w:rsidR="002661BA" w:rsidRDefault="00D972BC">
            <w:pPr>
              <w:textAlignment w:val="bottom"/>
            </w:pPr>
            <w:r>
              <w:rPr>
                <w:rFonts w:ascii="Arial" w:eastAsia="宋体" w:hAnsi="Arial" w:cs="Arial"/>
                <w:color w:val="000000"/>
                <w:sz w:val="18"/>
                <w:szCs w:val="18"/>
              </w:rPr>
              <w:t>Open market purchases</w:t>
            </w:r>
          </w:p>
        </w:tc>
        <w:tc>
          <w:tcPr>
            <w:tcW w:w="0" w:type="auto"/>
            <w:gridSpan w:val="3"/>
            <w:shd w:val="clear" w:color="auto" w:fill="E2E2E2"/>
            <w:tcMar>
              <w:top w:w="0" w:type="dxa"/>
              <w:left w:w="20" w:type="dxa"/>
              <w:bottom w:w="0" w:type="dxa"/>
              <w:right w:w="20" w:type="dxa"/>
            </w:tcMar>
            <w:vAlign w:val="bottom"/>
          </w:tcPr>
          <w:p w14:paraId="22CFA3B8"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3B9"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A3B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3BB"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A3B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A3BD"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A3B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3BF"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3C0"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A3C1"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3C2"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A3C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A3C4" w14:textId="77777777" w:rsidR="002661BA" w:rsidRDefault="00D972BC">
            <w:pPr>
              <w:jc w:val="right"/>
              <w:textAlignment w:val="bottom"/>
            </w:pPr>
            <w:r>
              <w:rPr>
                <w:rFonts w:ascii="Arial" w:eastAsia="宋体" w:hAnsi="Arial" w:cs="Arial"/>
                <w:color w:val="000000"/>
                <w:sz w:val="18"/>
                <w:szCs w:val="18"/>
              </w:rPr>
              <w:t>1,991,176,019 </w:t>
            </w:r>
          </w:p>
        </w:tc>
        <w:tc>
          <w:tcPr>
            <w:tcW w:w="0" w:type="auto"/>
            <w:shd w:val="clear" w:color="auto" w:fill="E2E2E2"/>
            <w:tcMar>
              <w:top w:w="40" w:type="dxa"/>
              <w:left w:w="0" w:type="dxa"/>
              <w:bottom w:w="40" w:type="dxa"/>
              <w:right w:w="20" w:type="dxa"/>
            </w:tcMar>
            <w:vAlign w:val="bottom"/>
          </w:tcPr>
          <w:p w14:paraId="22CFA3C5" w14:textId="77777777" w:rsidR="002661BA" w:rsidRDefault="002661BA">
            <w:pPr>
              <w:jc w:val="right"/>
              <w:rPr>
                <w:rFonts w:ascii="宋体"/>
              </w:rPr>
            </w:pPr>
          </w:p>
        </w:tc>
      </w:tr>
      <w:tr w:rsidR="002661BA" w14:paraId="22CFA3D0" w14:textId="77777777">
        <w:tc>
          <w:tcPr>
            <w:tcW w:w="0" w:type="auto"/>
            <w:gridSpan w:val="3"/>
            <w:shd w:val="clear" w:color="auto" w:fill="FFFFFF"/>
            <w:tcMar>
              <w:top w:w="40" w:type="dxa"/>
              <w:left w:w="20" w:type="dxa"/>
              <w:bottom w:w="40" w:type="dxa"/>
              <w:right w:w="20" w:type="dxa"/>
            </w:tcMar>
            <w:vAlign w:val="bottom"/>
          </w:tcPr>
          <w:p w14:paraId="22CFA3C7" w14:textId="77777777" w:rsidR="002661BA" w:rsidRDefault="00D972BC">
            <w:pPr>
              <w:textAlignment w:val="bottom"/>
            </w:pPr>
            <w:r>
              <w:rPr>
                <w:rFonts w:ascii="Arial" w:eastAsia="宋体" w:hAnsi="Arial" w:cs="Arial"/>
                <w:color w:val="000000"/>
                <w:sz w:val="18"/>
                <w:szCs w:val="18"/>
              </w:rPr>
              <w:t>December 31, 2021</w:t>
            </w:r>
          </w:p>
        </w:tc>
        <w:tc>
          <w:tcPr>
            <w:tcW w:w="0" w:type="auto"/>
            <w:gridSpan w:val="3"/>
            <w:shd w:val="clear" w:color="auto" w:fill="FFFFFF"/>
            <w:tcMar>
              <w:top w:w="0" w:type="dxa"/>
              <w:left w:w="20" w:type="dxa"/>
              <w:bottom w:w="0" w:type="dxa"/>
              <w:right w:w="20" w:type="dxa"/>
            </w:tcMar>
            <w:vAlign w:val="bottom"/>
          </w:tcPr>
          <w:p w14:paraId="22CFA3C8"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3C9"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3CA"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3CB"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3C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3CD"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3CE"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3CF" w14:textId="77777777" w:rsidR="002661BA" w:rsidRDefault="002661BA">
            <w:pPr>
              <w:rPr>
                <w:rFonts w:ascii="宋体"/>
              </w:rPr>
            </w:pPr>
          </w:p>
        </w:tc>
      </w:tr>
      <w:tr w:rsidR="002661BA" w14:paraId="22CFA3E0" w14:textId="77777777">
        <w:tc>
          <w:tcPr>
            <w:tcW w:w="0" w:type="auto"/>
            <w:gridSpan w:val="3"/>
            <w:shd w:val="clear" w:color="auto" w:fill="E2E2E2"/>
            <w:tcMar>
              <w:top w:w="40" w:type="dxa"/>
              <w:left w:w="140" w:type="dxa"/>
              <w:bottom w:w="40" w:type="dxa"/>
              <w:right w:w="20" w:type="dxa"/>
            </w:tcMar>
            <w:vAlign w:val="bottom"/>
          </w:tcPr>
          <w:p w14:paraId="22CFA3D1" w14:textId="77777777" w:rsidR="002661BA" w:rsidRDefault="00D972BC">
            <w:pPr>
              <w:textAlignment w:val="bottom"/>
            </w:pPr>
            <w:r>
              <w:rPr>
                <w:rFonts w:ascii="Arial" w:eastAsia="宋体" w:hAnsi="Arial" w:cs="Arial"/>
                <w:color w:val="000000"/>
                <w:sz w:val="18"/>
                <w:szCs w:val="18"/>
              </w:rPr>
              <w:t>Accelerated share repurchase</w:t>
            </w:r>
          </w:p>
        </w:tc>
        <w:tc>
          <w:tcPr>
            <w:tcW w:w="0" w:type="auto"/>
            <w:gridSpan w:val="3"/>
            <w:shd w:val="clear" w:color="auto" w:fill="E2E2E2"/>
            <w:tcMar>
              <w:top w:w="0" w:type="dxa"/>
              <w:left w:w="20" w:type="dxa"/>
              <w:bottom w:w="0" w:type="dxa"/>
              <w:right w:w="20" w:type="dxa"/>
            </w:tcMar>
            <w:vAlign w:val="bottom"/>
          </w:tcPr>
          <w:p w14:paraId="22CFA3D2"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3D3" w14:textId="77777777" w:rsidR="002661BA" w:rsidRDefault="00D972BC">
            <w:pPr>
              <w:jc w:val="right"/>
              <w:textAlignment w:val="bottom"/>
            </w:pPr>
            <w:r>
              <w:rPr>
                <w:rFonts w:ascii="Arial" w:eastAsia="宋体" w:hAnsi="Arial" w:cs="Arial"/>
                <w:color w:val="000000"/>
                <w:sz w:val="18"/>
                <w:szCs w:val="18"/>
              </w:rPr>
              <w:t>3,326,883 </w:t>
            </w:r>
          </w:p>
        </w:tc>
        <w:tc>
          <w:tcPr>
            <w:tcW w:w="0" w:type="auto"/>
            <w:shd w:val="clear" w:color="auto" w:fill="E2E2E2"/>
            <w:tcMar>
              <w:top w:w="40" w:type="dxa"/>
              <w:left w:w="0" w:type="dxa"/>
              <w:bottom w:w="40" w:type="dxa"/>
              <w:right w:w="20" w:type="dxa"/>
            </w:tcMar>
            <w:vAlign w:val="bottom"/>
          </w:tcPr>
          <w:p w14:paraId="22CFA3D4"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A3D5" w14:textId="77777777" w:rsidR="002661BA" w:rsidRDefault="00D972BC">
            <w:pPr>
              <w:textAlignment w:val="bottom"/>
            </w:pPr>
            <w:r>
              <w:rPr>
                <w:rFonts w:ascii="Arial" w:eastAsia="宋体" w:hAnsi="Arial" w:cs="Arial"/>
                <w:b/>
                <w:bCs/>
                <w:color w:val="000000"/>
                <w:sz w:val="10"/>
                <w:szCs w:val="10"/>
              </w:rPr>
              <w:t>(1)</w:t>
            </w:r>
          </w:p>
        </w:tc>
        <w:tc>
          <w:tcPr>
            <w:tcW w:w="0" w:type="auto"/>
            <w:shd w:val="clear" w:color="auto" w:fill="E2E2E2"/>
            <w:tcMar>
              <w:top w:w="40" w:type="dxa"/>
              <w:left w:w="20" w:type="dxa"/>
              <w:bottom w:w="40" w:type="dxa"/>
              <w:right w:w="0" w:type="dxa"/>
            </w:tcMar>
            <w:vAlign w:val="bottom"/>
          </w:tcPr>
          <w:p w14:paraId="22CFA3D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A3D7"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A3D8"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A3D9" w14:textId="77777777" w:rsidR="002661BA" w:rsidRDefault="00D972BC">
            <w:pPr>
              <w:textAlignment w:val="bottom"/>
            </w:pPr>
            <w:r>
              <w:rPr>
                <w:rFonts w:ascii="Arial" w:eastAsia="宋体" w:hAnsi="Arial" w:cs="Arial"/>
                <w:b/>
                <w:bCs/>
                <w:color w:val="000000"/>
                <w:sz w:val="10"/>
                <w:szCs w:val="10"/>
              </w:rPr>
              <w:t>(1)</w:t>
            </w:r>
          </w:p>
        </w:tc>
        <w:tc>
          <w:tcPr>
            <w:tcW w:w="0" w:type="auto"/>
            <w:gridSpan w:val="2"/>
            <w:shd w:val="clear" w:color="auto" w:fill="E2E2E2"/>
            <w:tcMar>
              <w:top w:w="40" w:type="dxa"/>
              <w:left w:w="20" w:type="dxa"/>
              <w:bottom w:w="40" w:type="dxa"/>
              <w:right w:w="0" w:type="dxa"/>
            </w:tcMar>
            <w:vAlign w:val="bottom"/>
          </w:tcPr>
          <w:p w14:paraId="22CFA3DA" w14:textId="77777777" w:rsidR="002661BA" w:rsidRDefault="00D972BC">
            <w:pPr>
              <w:jc w:val="right"/>
              <w:textAlignment w:val="bottom"/>
            </w:pPr>
            <w:r>
              <w:rPr>
                <w:rFonts w:ascii="Arial" w:eastAsia="宋体" w:hAnsi="Arial" w:cs="Arial"/>
                <w:color w:val="000000"/>
                <w:sz w:val="18"/>
                <w:szCs w:val="18"/>
              </w:rPr>
              <w:t>3,326,883 </w:t>
            </w:r>
          </w:p>
        </w:tc>
        <w:tc>
          <w:tcPr>
            <w:tcW w:w="0" w:type="auto"/>
            <w:shd w:val="clear" w:color="auto" w:fill="E2E2E2"/>
            <w:tcMar>
              <w:top w:w="40" w:type="dxa"/>
              <w:left w:w="0" w:type="dxa"/>
              <w:bottom w:w="40" w:type="dxa"/>
              <w:right w:w="20" w:type="dxa"/>
            </w:tcMar>
            <w:vAlign w:val="bottom"/>
          </w:tcPr>
          <w:p w14:paraId="22CFA3D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3DC"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A3D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A3DE" w14:textId="77777777" w:rsidR="002661BA" w:rsidRDefault="00D972BC">
            <w:pPr>
              <w:jc w:val="right"/>
              <w:textAlignment w:val="bottom"/>
            </w:pPr>
            <w:r>
              <w:rPr>
                <w:rFonts w:ascii="Arial" w:eastAsia="宋体" w:hAnsi="Arial" w:cs="Arial"/>
                <w:color w:val="000000"/>
                <w:sz w:val="18"/>
                <w:szCs w:val="18"/>
              </w:rPr>
              <w:t>1,991,176,019 </w:t>
            </w:r>
          </w:p>
        </w:tc>
        <w:tc>
          <w:tcPr>
            <w:tcW w:w="0" w:type="auto"/>
            <w:shd w:val="clear" w:color="auto" w:fill="E2E2E2"/>
            <w:tcMar>
              <w:top w:w="40" w:type="dxa"/>
              <w:left w:w="0" w:type="dxa"/>
              <w:bottom w:w="40" w:type="dxa"/>
              <w:right w:w="20" w:type="dxa"/>
            </w:tcMar>
            <w:vAlign w:val="bottom"/>
          </w:tcPr>
          <w:p w14:paraId="22CFA3DF" w14:textId="77777777" w:rsidR="002661BA" w:rsidRDefault="002661BA">
            <w:pPr>
              <w:jc w:val="right"/>
              <w:rPr>
                <w:rFonts w:ascii="宋体"/>
              </w:rPr>
            </w:pPr>
          </w:p>
        </w:tc>
      </w:tr>
      <w:tr w:rsidR="002661BA" w14:paraId="22CFA3EC" w14:textId="77777777">
        <w:tc>
          <w:tcPr>
            <w:tcW w:w="0" w:type="auto"/>
            <w:gridSpan w:val="3"/>
            <w:shd w:val="clear" w:color="auto" w:fill="FFFFFF"/>
            <w:tcMar>
              <w:top w:w="0" w:type="dxa"/>
              <w:left w:w="20" w:type="dxa"/>
              <w:bottom w:w="0" w:type="dxa"/>
              <w:right w:w="20" w:type="dxa"/>
            </w:tcMar>
            <w:vAlign w:val="bottom"/>
          </w:tcPr>
          <w:p w14:paraId="22CFA3E1"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3E2" w14:textId="77777777" w:rsidR="002661BA" w:rsidRDefault="002661B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A3E3" w14:textId="77777777" w:rsidR="002661BA" w:rsidRDefault="00D972BC">
            <w:pPr>
              <w:jc w:val="right"/>
              <w:textAlignment w:val="bottom"/>
            </w:pPr>
            <w:r>
              <w:rPr>
                <w:rFonts w:ascii="Arial" w:eastAsia="宋体" w:hAnsi="Arial" w:cs="Arial"/>
                <w:color w:val="000000"/>
                <w:sz w:val="18"/>
                <w:szCs w:val="18"/>
              </w:rPr>
              <w:t>39,377,557 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A3E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3E5"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3E6"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3E7" w14:textId="77777777" w:rsidR="002661BA" w:rsidRDefault="002661B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A3E8" w14:textId="77777777" w:rsidR="002661BA" w:rsidRDefault="00D972BC">
            <w:pPr>
              <w:jc w:val="right"/>
              <w:textAlignment w:val="bottom"/>
            </w:pPr>
            <w:r>
              <w:rPr>
                <w:rFonts w:ascii="Arial" w:eastAsia="宋体" w:hAnsi="Arial" w:cs="Arial"/>
                <w:color w:val="000000"/>
                <w:sz w:val="18"/>
                <w:szCs w:val="18"/>
              </w:rPr>
              <w:t>39,377,557 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A3E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3EA"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3EB" w14:textId="77777777" w:rsidR="002661BA" w:rsidRDefault="002661BA">
            <w:pPr>
              <w:rPr>
                <w:rFonts w:ascii="宋体"/>
              </w:rPr>
            </w:pPr>
          </w:p>
        </w:tc>
      </w:tr>
    </w:tbl>
    <w:p w14:paraId="22CFA3ED" w14:textId="77777777" w:rsidR="002661BA" w:rsidRDefault="00D972BC">
      <w:pPr>
        <w:spacing w:before="120" w:after="120"/>
        <w:ind w:hanging="360"/>
        <w:jc w:val="both"/>
      </w:pPr>
      <w:r>
        <w:rPr>
          <w:rFonts w:ascii="Arial" w:eastAsia="宋体" w:hAnsi="Arial" w:cs="Arial"/>
          <w:color w:val="000000"/>
          <w:sz w:val="16"/>
          <w:szCs w:val="16"/>
        </w:rPr>
        <w:t xml:space="preserve">(1)In October 2021, we entered into accelerated share repurchase agreements (the “2021 ASR Agreements”) with two financial </w:t>
      </w:r>
      <w:r>
        <w:rPr>
          <w:rFonts w:ascii="Arial" w:eastAsia="宋体" w:hAnsi="Arial" w:cs="Arial"/>
          <w:color w:val="000000"/>
          <w:sz w:val="16"/>
          <w:szCs w:val="16"/>
        </w:rPr>
        <w:t>institutions (each, a “2021 ASR Counterparty”), as part of our share repurchase program. Under the 2021 ASR Agreements, we paid an aggregate amount of $2.5 billion to the 2021 ASR Counterparties and received an initial delivery of approximately 29.3 millio</w:t>
      </w:r>
      <w:r>
        <w:rPr>
          <w:rFonts w:ascii="Arial" w:eastAsia="宋体" w:hAnsi="Arial" w:cs="Arial"/>
          <w:color w:val="000000"/>
          <w:sz w:val="16"/>
          <w:szCs w:val="16"/>
        </w:rPr>
        <w:t>n shares of our common stock. In December 2021, the 2021 ASR Agreement with one of the 2021 ASR Counterparties settled and resulted in a delivery of approximately 3.4 million additional shares of our common stock. In January 2022, the 2021 ASR Agreement wi</w:t>
      </w:r>
      <w:r>
        <w:rPr>
          <w:rFonts w:ascii="Arial" w:eastAsia="宋体" w:hAnsi="Arial" w:cs="Arial"/>
          <w:color w:val="000000"/>
          <w:sz w:val="16"/>
          <w:szCs w:val="16"/>
        </w:rPr>
        <w:t>th the remaining 2021 ASR Counterparty settled and resulted in a delivery of approximately 3.3 million additional shares. In total under the 2021 ASR Repurchase Agreements, approximately 36.0 million shares were repurchased at an average price per share of</w:t>
      </w:r>
      <w:r>
        <w:rPr>
          <w:rFonts w:ascii="Arial" w:eastAsia="宋体" w:hAnsi="Arial" w:cs="Arial"/>
          <w:color w:val="000000"/>
          <w:sz w:val="16"/>
          <w:szCs w:val="16"/>
        </w:rPr>
        <w:t xml:space="preserve"> $69.43.</w:t>
      </w:r>
    </w:p>
    <w:p w14:paraId="22CFA3EE" w14:textId="77777777" w:rsidR="002661BA" w:rsidRDefault="00D972BC">
      <w:pPr>
        <w:spacing w:before="120" w:after="120"/>
        <w:ind w:hanging="360"/>
        <w:jc w:val="both"/>
      </w:pPr>
      <w:r>
        <w:rPr>
          <w:rFonts w:ascii="Arial" w:eastAsia="宋体" w:hAnsi="Arial" w:cs="Arial"/>
          <w:color w:val="000000"/>
          <w:sz w:val="16"/>
          <w:szCs w:val="16"/>
        </w:rPr>
        <w:t>(2)In January 2020 our Board authorized an additional $5 billion stock repurchase program, in February 2021 our Board authorized an additional $4.0 billion stock repurchase program and in August 2021 our Board authorized an additional $3.0 billion</w:t>
      </w:r>
      <w:r>
        <w:rPr>
          <w:rFonts w:ascii="Arial" w:eastAsia="宋体" w:hAnsi="Arial" w:cs="Arial"/>
          <w:color w:val="000000"/>
          <w:sz w:val="16"/>
          <w:szCs w:val="16"/>
        </w:rPr>
        <w:t xml:space="preserve"> stock repurchase program. These stock repurchase programs have no expiration from the date of authorization. In February 2022 our Board authorized an additional $4.0 billion stock repurchase program.</w:t>
      </w:r>
    </w:p>
    <w:p w14:paraId="22CFA3EF" w14:textId="77777777" w:rsidR="002661BA" w:rsidRDefault="00D972BC">
      <w:pPr>
        <w:spacing w:before="120" w:after="120"/>
        <w:jc w:val="both"/>
      </w:pPr>
      <w:r>
        <w:rPr>
          <w:rFonts w:ascii="Arial" w:eastAsia="宋体" w:hAnsi="Arial" w:cs="Arial"/>
          <w:color w:val="000000"/>
          <w:sz w:val="16"/>
          <w:szCs w:val="16"/>
        </w:rPr>
        <w:t>Our stock repurchase programs are intended to programma</w:t>
      </w:r>
      <w:r>
        <w:rPr>
          <w:rFonts w:ascii="Arial" w:eastAsia="宋体" w:hAnsi="Arial" w:cs="Arial"/>
          <w:color w:val="000000"/>
          <w:sz w:val="16"/>
          <w:szCs w:val="16"/>
        </w:rPr>
        <w:t>tically offset the impact of dilution from our equity compensation programs and, subject to market conditions and other factors, to make opportunistic and programmatic repurchases of our common stock to reduce our outstanding share count. Any share repurch</w:t>
      </w:r>
      <w:r>
        <w:rPr>
          <w:rFonts w:ascii="Arial" w:eastAsia="宋体" w:hAnsi="Arial" w:cs="Arial"/>
          <w:color w:val="000000"/>
          <w:sz w:val="16"/>
          <w:szCs w:val="16"/>
        </w:rPr>
        <w:t>ases under our stock repurchase programs may be made through open market transactions, block trades, privately negotiated transactions (including accelerated share repurchase transactions) or other means at times and in such amounts as management deems app</w:t>
      </w:r>
      <w:r>
        <w:rPr>
          <w:rFonts w:ascii="Arial" w:eastAsia="宋体" w:hAnsi="Arial" w:cs="Arial"/>
          <w:color w:val="000000"/>
          <w:sz w:val="16"/>
          <w:szCs w:val="16"/>
        </w:rPr>
        <w:t xml:space="preserve">ropriate and will be funded from our working capital or other financing alternatives. </w:t>
      </w:r>
    </w:p>
    <w:p w14:paraId="22CFA3F0" w14:textId="77777777" w:rsidR="002661BA" w:rsidRDefault="00D972BC">
      <w:pPr>
        <w:spacing w:before="120" w:after="120"/>
        <w:jc w:val="both"/>
      </w:pPr>
      <w:r>
        <w:rPr>
          <w:rFonts w:ascii="Arial" w:eastAsia="宋体" w:hAnsi="Arial" w:cs="Arial"/>
          <w:color w:val="000000"/>
          <w:sz w:val="16"/>
          <w:szCs w:val="16"/>
        </w:rPr>
        <w:t xml:space="preserve">During the three months ended December 31, 2021, we (i) entered into the 2021 ASR Agreements and paid an aggregate amount of $2.5 billion to the 2021 ASR Counterparties </w:t>
      </w:r>
      <w:r>
        <w:rPr>
          <w:rFonts w:ascii="Arial" w:eastAsia="宋体" w:hAnsi="Arial" w:cs="Arial"/>
          <w:color w:val="000000"/>
          <w:sz w:val="16"/>
          <w:szCs w:val="16"/>
        </w:rPr>
        <w:t>and (ii) additionally repurchased approximately $500 million of our common stock under our stock repurchase programs. As of December 31, 2021, a total of approximately $2.0 billion remained available for future repurchases of our common stock under our sto</w:t>
      </w:r>
      <w:r>
        <w:rPr>
          <w:rFonts w:ascii="Arial" w:eastAsia="宋体" w:hAnsi="Arial" w:cs="Arial"/>
          <w:color w:val="000000"/>
          <w:sz w:val="16"/>
          <w:szCs w:val="16"/>
        </w:rPr>
        <w:t xml:space="preserve">ck repurchase program. </w:t>
      </w:r>
    </w:p>
    <w:p w14:paraId="22CFA3F1" w14:textId="77777777" w:rsidR="002661BA" w:rsidRDefault="00D972BC">
      <w:pPr>
        <w:spacing w:before="60" w:after="120"/>
        <w:jc w:val="both"/>
      </w:pPr>
      <w:r>
        <w:rPr>
          <w:rFonts w:ascii="Arial" w:eastAsia="宋体" w:hAnsi="Arial" w:cs="Arial"/>
          <w:color w:val="000000"/>
          <w:sz w:val="16"/>
          <w:szCs w:val="16"/>
        </w:rPr>
        <w:t>We expect, subject to market conditions and other uncertainties, to continue making opportunistic and programmatic repurchases of our common stock. However, our stock repurchase programs may be limited or terminated at any time with</w:t>
      </w:r>
      <w:r>
        <w:rPr>
          <w:rFonts w:ascii="Arial" w:eastAsia="宋体" w:hAnsi="Arial" w:cs="Arial"/>
          <w:color w:val="000000"/>
          <w:sz w:val="16"/>
          <w:szCs w:val="16"/>
        </w:rPr>
        <w:t>out prior notice. The timing and actual number of shares repurchased will depend on a variety of factors, including corporate and regulatory requirements, price and other market conditions and management’s determination as to the appropriate use of our cas</w:t>
      </w:r>
      <w:r>
        <w:rPr>
          <w:rFonts w:ascii="Arial" w:eastAsia="宋体" w:hAnsi="Arial" w:cs="Arial"/>
          <w:color w:val="000000"/>
          <w:sz w:val="16"/>
          <w:szCs w:val="16"/>
        </w:rPr>
        <w:t>h. </w:t>
      </w:r>
    </w:p>
    <w:p w14:paraId="22CFA3F2" w14:textId="77777777" w:rsidR="002661BA" w:rsidRDefault="00D972BC">
      <w:pPr>
        <w:spacing w:before="60" w:after="120"/>
        <w:ind w:hanging="360"/>
        <w:jc w:val="both"/>
      </w:pPr>
      <w:r>
        <w:rPr>
          <w:rFonts w:ascii="Arial" w:eastAsia="宋体" w:hAnsi="Arial" w:cs="Arial"/>
          <w:color w:val="000000"/>
          <w:sz w:val="16"/>
          <w:szCs w:val="16"/>
        </w:rPr>
        <w:t>(3)Excludes broker commissions.</w:t>
      </w:r>
    </w:p>
    <w:p w14:paraId="22CFA3F3" w14:textId="77777777" w:rsidR="002661BA" w:rsidRDefault="002661BA">
      <w:pPr>
        <w:spacing w:before="60" w:after="120"/>
        <w:jc w:val="both"/>
      </w:pPr>
    </w:p>
    <w:p w14:paraId="22CFA3F4" w14:textId="77777777" w:rsidR="002661BA" w:rsidRDefault="00D972BC">
      <w:pPr>
        <w:ind w:hanging="810"/>
        <w:jc w:val="both"/>
      </w:pPr>
      <w:r>
        <w:rPr>
          <w:rFonts w:ascii="Arial" w:eastAsia="宋体" w:hAnsi="Arial" w:cs="Arial"/>
          <w:b/>
          <w:bCs/>
          <w:color w:val="000000"/>
          <w:sz w:val="20"/>
          <w:szCs w:val="20"/>
        </w:rPr>
        <w:t xml:space="preserve">ITEM 6: </w:t>
      </w:r>
      <w:r>
        <w:rPr>
          <w:rFonts w:ascii="Arial" w:eastAsia="宋体" w:hAnsi="Arial" w:cs="Arial"/>
          <w:b/>
          <w:bCs/>
          <w:i/>
          <w:iCs/>
          <w:color w:val="000000"/>
          <w:sz w:val="20"/>
          <w:szCs w:val="20"/>
        </w:rPr>
        <w:t>[RESERVED]</w:t>
      </w:r>
    </w:p>
    <w:p w14:paraId="22CFA3F5" w14:textId="77777777" w:rsidR="002661BA" w:rsidRDefault="00D972BC">
      <w:pPr>
        <w:jc w:val="center"/>
      </w:pPr>
      <w:r>
        <w:rPr>
          <w:rFonts w:ascii="Arial" w:eastAsia="宋体" w:hAnsi="Arial" w:cs="Arial"/>
          <w:color w:val="000000"/>
          <w:sz w:val="18"/>
          <w:szCs w:val="18"/>
        </w:rPr>
        <w:t>30</w:t>
      </w:r>
    </w:p>
    <w:p w14:paraId="22CFA3F6" w14:textId="77777777" w:rsidR="002661BA" w:rsidRDefault="00D972BC">
      <w:r>
        <w:pict w14:anchorId="22CFE4CF">
          <v:rect id="_x0000_i1054" style="width:415.3pt;height:1.5pt" o:hralign="center" o:hrstd="t" o:hr="t" fillcolor="#a0a0a0" stroked="f"/>
        </w:pict>
      </w:r>
    </w:p>
    <w:p w14:paraId="22CFA3F7" w14:textId="77777777" w:rsidR="002661BA" w:rsidRDefault="00D972BC">
      <w:hyperlink r:id="rId56" w:anchor="id0d7a71b05ce452ea9fdb54f3cb359c7_7" w:history="1">
        <w:r>
          <w:rPr>
            <w:rStyle w:val="a5"/>
            <w:rFonts w:ascii="Arial" w:eastAsia="宋体" w:hAnsi="Arial" w:cs="Arial"/>
            <w:sz w:val="18"/>
            <w:szCs w:val="18"/>
          </w:rPr>
          <w:t>Table of Contents</w:t>
        </w:r>
      </w:hyperlink>
    </w:p>
    <w:p w14:paraId="22CFA3F8" w14:textId="77777777" w:rsidR="002661BA" w:rsidRDefault="00D972BC">
      <w:pPr>
        <w:ind w:hanging="810"/>
        <w:jc w:val="both"/>
      </w:pPr>
      <w:r>
        <w:rPr>
          <w:rFonts w:ascii="Arial" w:eastAsia="宋体" w:hAnsi="Arial" w:cs="Arial"/>
          <w:b/>
          <w:bCs/>
          <w:color w:val="000000"/>
          <w:sz w:val="20"/>
          <w:szCs w:val="20"/>
        </w:rPr>
        <w:t xml:space="preserve">ITEM 7: </w:t>
      </w:r>
      <w:r>
        <w:rPr>
          <w:rFonts w:ascii="Arial" w:eastAsia="宋体" w:hAnsi="Arial" w:cs="Arial"/>
          <w:b/>
          <w:bCs/>
          <w:i/>
          <w:iCs/>
          <w:color w:val="000000"/>
          <w:sz w:val="20"/>
          <w:szCs w:val="20"/>
        </w:rPr>
        <w:t>MANAGEMENT’S DISCUSSION AND ANALYSIS OF FINANCIAL CONDITION AND RESULTS OF OP</w:t>
      </w:r>
      <w:r>
        <w:rPr>
          <w:rFonts w:ascii="Arial" w:eastAsia="宋体" w:hAnsi="Arial" w:cs="Arial"/>
          <w:b/>
          <w:bCs/>
          <w:i/>
          <w:iCs/>
          <w:color w:val="000000"/>
          <w:sz w:val="20"/>
          <w:szCs w:val="20"/>
        </w:rPr>
        <w:t>ERATIONS</w:t>
      </w:r>
    </w:p>
    <w:p w14:paraId="22CFA3F9" w14:textId="77777777" w:rsidR="002661BA" w:rsidRDefault="002661BA">
      <w:pPr>
        <w:jc w:val="both"/>
      </w:pPr>
    </w:p>
    <w:p w14:paraId="22CFA3FA" w14:textId="77777777" w:rsidR="002661BA" w:rsidRDefault="00D972BC">
      <w:pPr>
        <w:jc w:val="both"/>
      </w:pPr>
      <w:r>
        <w:rPr>
          <w:rFonts w:ascii="Arial" w:eastAsia="宋体" w:hAnsi="Arial" w:cs="Arial"/>
          <w:b/>
          <w:bCs/>
          <w:color w:val="000000"/>
          <w:sz w:val="20"/>
          <w:szCs w:val="20"/>
        </w:rPr>
        <w:t xml:space="preserve">FORWARD-LOOKING STATEMENTS </w:t>
      </w:r>
    </w:p>
    <w:p w14:paraId="22CFA3FB" w14:textId="77777777" w:rsidR="002661BA" w:rsidRDefault="002661BA">
      <w:pPr>
        <w:ind w:firstLine="540"/>
        <w:jc w:val="both"/>
      </w:pPr>
    </w:p>
    <w:p w14:paraId="22CFA3FC" w14:textId="77777777" w:rsidR="002661BA" w:rsidRDefault="00D972BC">
      <w:pPr>
        <w:ind w:firstLine="540"/>
        <w:jc w:val="both"/>
      </w:pPr>
      <w:r>
        <w:rPr>
          <w:rFonts w:ascii="Arial" w:eastAsia="宋体" w:hAnsi="Arial" w:cs="Arial"/>
          <w:i/>
          <w:iCs/>
          <w:color w:val="000000"/>
          <w:sz w:val="20"/>
          <w:szCs w:val="20"/>
        </w:rPr>
        <w:t>This Annual Report on Form 10-K contains forward-looking statements within the meaning of Section 27A of the Securities Act of 1933 and Section 21E of the Securities Exchange Act of 1934, including statements that inv</w:t>
      </w:r>
      <w:r>
        <w:rPr>
          <w:rFonts w:ascii="Arial" w:eastAsia="宋体" w:hAnsi="Arial" w:cs="Arial"/>
          <w:i/>
          <w:iCs/>
          <w:color w:val="000000"/>
          <w:sz w:val="20"/>
          <w:szCs w:val="20"/>
        </w:rPr>
        <w:t>olve expectations, plans or intentions (such as those relating to future business, future results of operations or financial condition, including with respect to the ongoing effects of COVID-19, new or planned features or services, or management strategies</w:t>
      </w:r>
      <w:r>
        <w:rPr>
          <w:rFonts w:ascii="Arial" w:eastAsia="宋体" w:hAnsi="Arial" w:cs="Arial"/>
          <w:i/>
          <w:iCs/>
          <w:color w:val="000000"/>
          <w:sz w:val="20"/>
          <w:szCs w:val="20"/>
        </w:rPr>
        <w:t>). You can identify these forward-looking statements by words such as “may,” “will,” “would,” “should,” “could,” “expect,” “anticipate,” “believe,” “estimate,” “intend,” “plan” and other similar expressions. These forward-looking statements involve risks a</w:t>
      </w:r>
      <w:r>
        <w:rPr>
          <w:rFonts w:ascii="Arial" w:eastAsia="宋体" w:hAnsi="Arial" w:cs="Arial"/>
          <w:i/>
          <w:iCs/>
          <w:color w:val="000000"/>
          <w:sz w:val="20"/>
          <w:szCs w:val="20"/>
        </w:rPr>
        <w:t>nd uncertainties that could cause our actual results to differ materially from those expressed or implied in our forward-looking statements. Such risks and uncertainties include, among others, those discussed in “Item 1A: Risk Factors” of this Annual Repor</w:t>
      </w:r>
      <w:r>
        <w:rPr>
          <w:rFonts w:ascii="Arial" w:eastAsia="宋体" w:hAnsi="Arial" w:cs="Arial"/>
          <w:i/>
          <w:iCs/>
          <w:color w:val="000000"/>
          <w:sz w:val="20"/>
          <w:szCs w:val="20"/>
        </w:rPr>
        <w:t>t on Form 10-K, as well as in our consolidated financial statements, related notes, and the other information appearing elsewhere in this report and our other filings with the Securities and Exchange Commission. We do not intend, and undertake no obligatio</w:t>
      </w:r>
      <w:r>
        <w:rPr>
          <w:rFonts w:ascii="Arial" w:eastAsia="宋体" w:hAnsi="Arial" w:cs="Arial"/>
          <w:i/>
          <w:iCs/>
          <w:color w:val="000000"/>
          <w:sz w:val="20"/>
          <w:szCs w:val="20"/>
        </w:rPr>
        <w:t>n, to update any of our forward-looking statements after the date of this report to reflect actual results or future events or circumstances. Given these risks and uncertainties, readers are cautioned not to place undue reliance on such forward-looking sta</w:t>
      </w:r>
      <w:r>
        <w:rPr>
          <w:rFonts w:ascii="Arial" w:eastAsia="宋体" w:hAnsi="Arial" w:cs="Arial"/>
          <w:i/>
          <w:iCs/>
          <w:color w:val="000000"/>
          <w:sz w:val="20"/>
          <w:szCs w:val="20"/>
        </w:rPr>
        <w:t xml:space="preserve">tements. You should read the following Management’s Discussion and Analysis of Financial Condition and Results of Operations in conjunction with the consolidated financial statements and the related notes included in this report. This section of this Form </w:t>
      </w:r>
      <w:r>
        <w:rPr>
          <w:rFonts w:ascii="Arial" w:eastAsia="宋体" w:hAnsi="Arial" w:cs="Arial"/>
          <w:i/>
          <w:iCs/>
          <w:color w:val="000000"/>
          <w:sz w:val="20"/>
          <w:szCs w:val="20"/>
        </w:rPr>
        <w:t>10-K generally discusses 2021 and 2020 items and year-to-year comparisons between 2021 and 2020. Discussions of 2019 items and year-to-year comparisons between 2020 and 2019 are not included in this Form 10-K, and can be found in “Management’s Discussion a</w:t>
      </w:r>
      <w:r>
        <w:rPr>
          <w:rFonts w:ascii="Arial" w:eastAsia="宋体" w:hAnsi="Arial" w:cs="Arial"/>
          <w:i/>
          <w:iCs/>
          <w:color w:val="000000"/>
          <w:sz w:val="20"/>
          <w:szCs w:val="20"/>
        </w:rPr>
        <w:t xml:space="preserve">nd Analysis of Financial Condition and Results of Operations” in Part II, Item 7 of the Company’s Annual Report on Form 10-K for the fiscal year ended December 31, 2020. </w:t>
      </w:r>
    </w:p>
    <w:p w14:paraId="22CFA3FD" w14:textId="77777777" w:rsidR="002661BA" w:rsidRDefault="002661BA">
      <w:pPr>
        <w:ind w:firstLine="540"/>
        <w:jc w:val="both"/>
      </w:pPr>
    </w:p>
    <w:p w14:paraId="22CFA3FE" w14:textId="77777777" w:rsidR="002661BA" w:rsidRDefault="00D972BC">
      <w:pPr>
        <w:jc w:val="both"/>
      </w:pPr>
      <w:r>
        <w:rPr>
          <w:rFonts w:ascii="Arial" w:eastAsia="宋体" w:hAnsi="Arial" w:cs="Arial"/>
          <w:b/>
          <w:bCs/>
          <w:color w:val="000000"/>
          <w:sz w:val="20"/>
          <w:szCs w:val="20"/>
        </w:rPr>
        <w:t>OVERVIEW</w:t>
      </w:r>
    </w:p>
    <w:p w14:paraId="22CFA3FF" w14:textId="77777777" w:rsidR="002661BA" w:rsidRDefault="00D972BC">
      <w:pPr>
        <w:ind w:firstLine="540"/>
        <w:jc w:val="both"/>
      </w:pPr>
      <w:r>
        <w:rPr>
          <w:rFonts w:ascii="Arial" w:eastAsia="宋体" w:hAnsi="Arial" w:cs="Arial"/>
          <w:color w:val="000000"/>
          <w:sz w:val="20"/>
          <w:szCs w:val="20"/>
        </w:rPr>
        <w:t> </w:t>
      </w:r>
    </w:p>
    <w:p w14:paraId="22CFA400" w14:textId="77777777" w:rsidR="002661BA" w:rsidRDefault="00D972BC">
      <w:pPr>
        <w:ind w:firstLine="270"/>
        <w:jc w:val="both"/>
      </w:pPr>
      <w:r>
        <w:rPr>
          <w:rFonts w:ascii="Arial" w:eastAsia="宋体" w:hAnsi="Arial" w:cs="Arial"/>
          <w:b/>
          <w:bCs/>
          <w:i/>
          <w:iCs/>
          <w:color w:val="000000"/>
          <w:sz w:val="20"/>
          <w:szCs w:val="20"/>
        </w:rPr>
        <w:t>Business</w:t>
      </w:r>
    </w:p>
    <w:p w14:paraId="22CFA401" w14:textId="77777777" w:rsidR="002661BA" w:rsidRDefault="002661BA">
      <w:pPr>
        <w:jc w:val="both"/>
      </w:pPr>
    </w:p>
    <w:p w14:paraId="22CFA402" w14:textId="77777777" w:rsidR="002661BA" w:rsidRDefault="00D972BC">
      <w:pPr>
        <w:ind w:firstLine="540"/>
        <w:jc w:val="both"/>
      </w:pPr>
      <w:r>
        <w:rPr>
          <w:rFonts w:ascii="Arial" w:eastAsia="宋体" w:hAnsi="Arial" w:cs="Arial"/>
          <w:color w:val="000000"/>
          <w:sz w:val="20"/>
          <w:szCs w:val="20"/>
        </w:rPr>
        <w:t xml:space="preserve">eBay Inc., is a global commerce leader, which includes our </w:t>
      </w:r>
      <w:r>
        <w:rPr>
          <w:rFonts w:ascii="Arial" w:eastAsia="宋体" w:hAnsi="Arial" w:cs="Arial"/>
          <w:color w:val="000000"/>
          <w:sz w:val="20"/>
          <w:szCs w:val="20"/>
        </w:rPr>
        <w:t>Marketplace platforms. Founded in 1995 in San Jose, California, eBay is one of the world’s largest and most vibrant marketplaces for discovering great value and unique selection. Collectively, we connect millions of buyers and sellers around the world, emp</w:t>
      </w:r>
      <w:r>
        <w:rPr>
          <w:rFonts w:ascii="Arial" w:eastAsia="宋体" w:hAnsi="Arial" w:cs="Arial"/>
          <w:color w:val="000000"/>
          <w:sz w:val="20"/>
          <w:szCs w:val="20"/>
        </w:rPr>
        <w:t>owering people and creating opportunity. Our technologies and services are designed to provide buyers choice and a breadth of relevant inventory and to enable sellers worldwide to organize and offer their inventory for sale, virtually anytime and anywhere.</w:t>
      </w:r>
      <w:r>
        <w:rPr>
          <w:rFonts w:ascii="Arial" w:eastAsia="宋体" w:hAnsi="Arial" w:cs="Arial"/>
          <w:color w:val="000000"/>
          <w:sz w:val="20"/>
          <w:szCs w:val="20"/>
        </w:rPr>
        <w:t xml:space="preserve"> In 2021, eBay enabled $87 billion of Gross Merchandise Volume.</w:t>
      </w:r>
    </w:p>
    <w:p w14:paraId="22CFA403" w14:textId="77777777" w:rsidR="002661BA" w:rsidRDefault="002661BA">
      <w:pPr>
        <w:ind w:firstLine="540"/>
        <w:jc w:val="both"/>
      </w:pPr>
    </w:p>
    <w:p w14:paraId="22CFA404" w14:textId="77777777" w:rsidR="002661BA" w:rsidRDefault="00D972BC">
      <w:pPr>
        <w:ind w:firstLine="540"/>
        <w:jc w:val="both"/>
      </w:pPr>
      <w:r>
        <w:rPr>
          <w:rFonts w:ascii="Arial" w:eastAsia="宋体" w:hAnsi="Arial" w:cs="Arial"/>
          <w:color w:val="000000"/>
          <w:sz w:val="20"/>
          <w:szCs w:val="20"/>
        </w:rPr>
        <w:t>In 2020, the World Health Organization declared the outbreak of a coronavirus (“COVID-19”) and its variants as a pandemic which continues to be widespread with uncertainty around its duration</w:t>
      </w:r>
      <w:r>
        <w:rPr>
          <w:rFonts w:ascii="Arial" w:eastAsia="宋体" w:hAnsi="Arial" w:cs="Arial"/>
          <w:color w:val="000000"/>
          <w:sz w:val="20"/>
          <w:szCs w:val="20"/>
        </w:rPr>
        <w:t>. As a result of COVID-19 mobility restrictions globally, there were changes in consumer behavior that have resulted in more online shopping beginning in 2020 and extending into 2021. Our Marketplace platforms experienced improved traffic, acquisition of s</w:t>
      </w:r>
      <w:r>
        <w:rPr>
          <w:rFonts w:ascii="Arial" w:eastAsia="宋体" w:hAnsi="Arial" w:cs="Arial"/>
          <w:color w:val="000000"/>
          <w:sz w:val="20"/>
          <w:szCs w:val="20"/>
        </w:rPr>
        <w:t>mall business sellers and buyer acquisition due to the impacts of measures taken globally to contain the spread of COVID-19. These changes in behavior began to normalize as mobility trended toward pre-pandemic levels through the remainder of 2021, and we h</w:t>
      </w:r>
      <w:r>
        <w:rPr>
          <w:rFonts w:ascii="Arial" w:eastAsia="宋体" w:hAnsi="Arial" w:cs="Arial"/>
          <w:color w:val="000000"/>
          <w:sz w:val="20"/>
          <w:szCs w:val="20"/>
        </w:rPr>
        <w:t>ave experienced lower traffic in most markets which we expect to continue into 2022. The impacts seen to date continue to create volatility in our results and a wider range of potential outcomes as consumer behaviors and mobility restrictions continue to e</w:t>
      </w:r>
      <w:r>
        <w:rPr>
          <w:rFonts w:ascii="Arial" w:eastAsia="宋体" w:hAnsi="Arial" w:cs="Arial"/>
          <w:color w:val="000000"/>
          <w:sz w:val="20"/>
          <w:szCs w:val="20"/>
        </w:rPr>
        <w:t xml:space="preserve">volve. See </w:t>
      </w:r>
      <w:r>
        <w:rPr>
          <w:rFonts w:ascii="Arial" w:eastAsia="宋体" w:hAnsi="Arial" w:cs="Arial"/>
          <w:i/>
          <w:iCs/>
          <w:color w:val="000000"/>
          <w:sz w:val="20"/>
          <w:szCs w:val="20"/>
        </w:rPr>
        <w:t>“Results of Operations”</w:t>
      </w:r>
      <w:r>
        <w:rPr>
          <w:rFonts w:ascii="Arial" w:eastAsia="宋体" w:hAnsi="Arial" w:cs="Arial"/>
          <w:color w:val="000000"/>
          <w:sz w:val="20"/>
          <w:szCs w:val="20"/>
        </w:rPr>
        <w:t xml:space="preserve"> below for impacts of COVID-19 on our results for the year ended December 31, 2021 compared to the year ended December 31, 2020. For additional information, see </w:t>
      </w:r>
      <w:r>
        <w:rPr>
          <w:rFonts w:ascii="Arial" w:eastAsia="宋体" w:hAnsi="Arial" w:cs="Arial"/>
          <w:i/>
          <w:iCs/>
          <w:color w:val="000000"/>
          <w:sz w:val="20"/>
          <w:szCs w:val="20"/>
        </w:rPr>
        <w:t>“– Liquidity and Capital Resource Requirements”</w:t>
      </w:r>
      <w:r>
        <w:rPr>
          <w:rFonts w:ascii="Arial" w:eastAsia="宋体" w:hAnsi="Arial" w:cs="Arial"/>
          <w:color w:val="000000"/>
          <w:sz w:val="20"/>
          <w:szCs w:val="20"/>
        </w:rPr>
        <w:t xml:space="preserve"> below and “Item 1A: Risk Factors” under the caption “The global COVID-19 pandemic could harm our business and results of operations” in Part II of this report.</w:t>
      </w:r>
    </w:p>
    <w:p w14:paraId="22CFA405" w14:textId="77777777" w:rsidR="002661BA" w:rsidRDefault="002661BA">
      <w:pPr>
        <w:ind w:firstLine="540"/>
        <w:jc w:val="both"/>
      </w:pPr>
    </w:p>
    <w:p w14:paraId="22CFA406" w14:textId="77777777" w:rsidR="002661BA" w:rsidRDefault="00D972BC">
      <w:pPr>
        <w:ind w:firstLine="540"/>
        <w:jc w:val="both"/>
      </w:pPr>
      <w:r>
        <w:rPr>
          <w:rFonts w:ascii="Arial" w:eastAsia="宋体" w:hAnsi="Arial" w:cs="Arial"/>
          <w:color w:val="000000"/>
          <w:sz w:val="20"/>
          <w:szCs w:val="20"/>
        </w:rPr>
        <w:t xml:space="preserve">On November 14, 2021, we completed the previously announced sale of 80.01% of the outstanding </w:t>
      </w:r>
      <w:r>
        <w:rPr>
          <w:rFonts w:ascii="Arial" w:eastAsia="宋体" w:hAnsi="Arial" w:cs="Arial"/>
          <w:color w:val="000000"/>
          <w:sz w:val="20"/>
          <w:szCs w:val="20"/>
        </w:rPr>
        <w:t>equity interests of eBay Korea LLC, a limited liability company incorporated under the laws of Korea and a wholly owned subsidiary of eBay KTA (“eBay Korea”) to E-mart Inc. and one of its wholly owned subsidiaries (together, “Emart”), pursuant to the terms</w:t>
      </w:r>
      <w:r>
        <w:rPr>
          <w:rFonts w:ascii="Arial" w:eastAsia="宋体" w:hAnsi="Arial" w:cs="Arial"/>
          <w:color w:val="000000"/>
          <w:sz w:val="20"/>
          <w:szCs w:val="20"/>
        </w:rPr>
        <w:t xml:space="preserve"> and conditions of the securities purchase agreement, in exchange for approximately $3.0 billion of gross cash proceeds as of the transaction close date, subject to certain adjustments specified for indebtedness, cash, working capital, transaction expenses</w:t>
      </w:r>
      <w:r>
        <w:rPr>
          <w:rFonts w:ascii="Arial" w:eastAsia="宋体" w:hAnsi="Arial" w:cs="Arial"/>
          <w:color w:val="000000"/>
          <w:sz w:val="20"/>
          <w:szCs w:val="20"/>
        </w:rPr>
        <w:t xml:space="preserve"> and certain taxes. The sale resulted in a pre-tax gain of $3.2 billion inclusive of a $81 million currency translation adjustment and a $44 million gain net of tax on the net investment hedge settled in the fourth quarter of 2021, and related income tax e</w:t>
      </w:r>
      <w:r>
        <w:rPr>
          <w:rFonts w:ascii="Arial" w:eastAsia="宋体" w:hAnsi="Arial" w:cs="Arial"/>
          <w:color w:val="000000"/>
          <w:sz w:val="20"/>
          <w:szCs w:val="20"/>
        </w:rPr>
        <w:t xml:space="preserve">xpense of $369 million. Upon </w:t>
      </w:r>
    </w:p>
    <w:p w14:paraId="22CFA407" w14:textId="77777777" w:rsidR="002661BA" w:rsidRDefault="00D972BC">
      <w:pPr>
        <w:jc w:val="center"/>
      </w:pPr>
      <w:r>
        <w:rPr>
          <w:rFonts w:ascii="Arial" w:eastAsia="宋体" w:hAnsi="Arial" w:cs="Arial"/>
          <w:color w:val="000000"/>
          <w:sz w:val="18"/>
          <w:szCs w:val="18"/>
        </w:rPr>
        <w:t>31</w:t>
      </w:r>
    </w:p>
    <w:p w14:paraId="22CFA408" w14:textId="77777777" w:rsidR="002661BA" w:rsidRDefault="00D972BC">
      <w:r>
        <w:pict w14:anchorId="22CFE4D0">
          <v:rect id="_x0000_i1055" style="width:415.3pt;height:1.5pt" o:hralign="center" o:hrstd="t" o:hr="t" fillcolor="#a0a0a0" stroked="f"/>
        </w:pict>
      </w:r>
    </w:p>
    <w:p w14:paraId="22CFA409" w14:textId="77777777" w:rsidR="002661BA" w:rsidRDefault="00D972BC">
      <w:hyperlink r:id="rId57" w:anchor="id0d7a71b05ce452ea9fdb54f3cb359c7_7" w:history="1">
        <w:r>
          <w:rPr>
            <w:rStyle w:val="a5"/>
            <w:rFonts w:ascii="Arial" w:eastAsia="宋体" w:hAnsi="Arial" w:cs="Arial"/>
            <w:sz w:val="18"/>
            <w:szCs w:val="18"/>
          </w:rPr>
          <w:t>Table of Contents</w:t>
        </w:r>
      </w:hyperlink>
    </w:p>
    <w:p w14:paraId="22CFA40A" w14:textId="77777777" w:rsidR="002661BA" w:rsidRDefault="00D972BC">
      <w:pPr>
        <w:jc w:val="both"/>
      </w:pPr>
      <w:r>
        <w:rPr>
          <w:rFonts w:ascii="Arial" w:eastAsia="宋体" w:hAnsi="Arial" w:cs="Arial"/>
          <w:color w:val="000000"/>
          <w:sz w:val="20"/>
          <w:szCs w:val="20"/>
        </w:rPr>
        <w:t xml:space="preserve">completion of the sale, we retained 19.99% of the </w:t>
      </w:r>
      <w:r>
        <w:rPr>
          <w:rFonts w:ascii="Arial" w:eastAsia="宋体" w:hAnsi="Arial" w:cs="Arial"/>
          <w:color w:val="000000"/>
          <w:sz w:val="20"/>
          <w:szCs w:val="20"/>
        </w:rPr>
        <w:t xml:space="preserve">outstanding equity interests of the new entity, Gmarket Global LLC (“Gmarket”) formerly known as Apollo Korea, which is accounted for under the fair value option. </w:t>
      </w:r>
    </w:p>
    <w:p w14:paraId="22CFA40B" w14:textId="77777777" w:rsidR="002661BA" w:rsidRDefault="002661BA">
      <w:pPr>
        <w:ind w:firstLine="540"/>
        <w:jc w:val="both"/>
      </w:pPr>
    </w:p>
    <w:p w14:paraId="22CFA40C" w14:textId="77777777" w:rsidR="002661BA" w:rsidRDefault="00D972BC">
      <w:pPr>
        <w:ind w:firstLine="540"/>
        <w:jc w:val="both"/>
      </w:pPr>
      <w:r>
        <w:rPr>
          <w:rFonts w:ascii="Arial" w:eastAsia="宋体" w:hAnsi="Arial" w:cs="Arial"/>
          <w:color w:val="000000"/>
          <w:sz w:val="20"/>
          <w:szCs w:val="20"/>
        </w:rPr>
        <w:t>On June 24, 2021, we completed the previously announced transfer of our Classifieds busines</w:t>
      </w:r>
      <w:r>
        <w:rPr>
          <w:rFonts w:ascii="Arial" w:eastAsia="宋体" w:hAnsi="Arial" w:cs="Arial"/>
          <w:color w:val="000000"/>
          <w:sz w:val="20"/>
          <w:szCs w:val="20"/>
        </w:rPr>
        <w:t>s to Adevinta ASA (“Adevinta”) for $2.5 billion in cash proceeds, subject to certain adjustments, and approximately 540 million shares in Adevinta which represent an equity interest of 44%, comprised of approximately 33% of voting shares and 11% of non-vot</w:t>
      </w:r>
      <w:r>
        <w:rPr>
          <w:rFonts w:ascii="Arial" w:eastAsia="宋体" w:hAnsi="Arial" w:cs="Arial"/>
          <w:color w:val="000000"/>
          <w:sz w:val="20"/>
          <w:szCs w:val="20"/>
        </w:rPr>
        <w:t>ing shares. Together, the total consideration received under the definitive agreement was valued at approximately $13.3 billion, based on the closing trading price of Adevinta’s outstanding shares on the Oslo Stock Exchange on June 24, 2021. The equity int</w:t>
      </w:r>
      <w:r>
        <w:rPr>
          <w:rFonts w:ascii="Arial" w:eastAsia="宋体" w:hAnsi="Arial" w:cs="Arial"/>
          <w:color w:val="000000"/>
          <w:sz w:val="20"/>
          <w:szCs w:val="20"/>
        </w:rPr>
        <w:t>erest received is accounted for under the fair value option. On November 18, 2021, we completed the previously announced sale of approximately 135 million of our voting shares in Adevinta to Astinlux Finco S.à r.l. (“Permira”), inclusive of the option exer</w:t>
      </w:r>
      <w:r>
        <w:rPr>
          <w:rFonts w:ascii="Arial" w:eastAsia="宋体" w:hAnsi="Arial" w:cs="Arial"/>
          <w:color w:val="000000"/>
          <w:sz w:val="20"/>
          <w:szCs w:val="20"/>
        </w:rPr>
        <w:t>cised by Permira to purchase additional voting shares, for approximately $2.3 billion in cash proceeds. At the close of the sale inclusive of the option exercised, our ownership in Adevinta was reduced to 33%.</w:t>
      </w:r>
    </w:p>
    <w:p w14:paraId="22CFA40D" w14:textId="77777777" w:rsidR="002661BA" w:rsidRDefault="002661BA">
      <w:pPr>
        <w:ind w:firstLine="540"/>
        <w:jc w:val="both"/>
      </w:pPr>
    </w:p>
    <w:p w14:paraId="22CFA40E" w14:textId="77777777" w:rsidR="002661BA" w:rsidRDefault="00D972BC">
      <w:pPr>
        <w:ind w:firstLine="540"/>
        <w:jc w:val="both"/>
      </w:pPr>
      <w:r>
        <w:rPr>
          <w:rFonts w:ascii="Arial" w:eastAsia="宋体" w:hAnsi="Arial" w:cs="Arial"/>
          <w:color w:val="000000"/>
          <w:sz w:val="20"/>
          <w:szCs w:val="20"/>
        </w:rPr>
        <w:t>On February 13, 2020, we closed the previousl</w:t>
      </w:r>
      <w:r>
        <w:rPr>
          <w:rFonts w:ascii="Arial" w:eastAsia="宋体" w:hAnsi="Arial" w:cs="Arial"/>
          <w:color w:val="000000"/>
          <w:sz w:val="20"/>
          <w:szCs w:val="20"/>
        </w:rPr>
        <w:t>y announced sale of our StubHub business to an affiliate of viagogo. Beginning in the first quarter of 2020, StubHub’s financial results for periods prior to the sale have been reflected in our consolidated statement of income as discontinued operations. A</w:t>
      </w:r>
      <w:r>
        <w:rPr>
          <w:rFonts w:ascii="Arial" w:eastAsia="宋体" w:hAnsi="Arial" w:cs="Arial"/>
          <w:color w:val="000000"/>
          <w:sz w:val="20"/>
          <w:szCs w:val="20"/>
        </w:rPr>
        <w:t xml:space="preserve">dditionally, the related assets and liabilities associated with the discontinued operations in the prior periods are classified as discontinued operations in our consolidated balance sheet. </w:t>
      </w:r>
    </w:p>
    <w:p w14:paraId="22CFA40F" w14:textId="77777777" w:rsidR="002661BA" w:rsidRDefault="002661BA">
      <w:pPr>
        <w:ind w:firstLine="540"/>
        <w:jc w:val="both"/>
      </w:pPr>
    </w:p>
    <w:p w14:paraId="22CFA410" w14:textId="77777777" w:rsidR="002661BA" w:rsidRDefault="00D972BC">
      <w:pPr>
        <w:ind w:firstLine="540"/>
        <w:jc w:val="both"/>
      </w:pPr>
      <w:r>
        <w:rPr>
          <w:rFonts w:ascii="Arial" w:eastAsia="宋体" w:hAnsi="Arial" w:cs="Arial"/>
          <w:color w:val="000000"/>
          <w:sz w:val="20"/>
          <w:szCs w:val="20"/>
        </w:rPr>
        <w:t>We have classified the related assets and liabilities associated</w:t>
      </w:r>
      <w:r>
        <w:rPr>
          <w:rFonts w:ascii="Arial" w:eastAsia="宋体" w:hAnsi="Arial" w:cs="Arial"/>
          <w:color w:val="000000"/>
          <w:sz w:val="20"/>
          <w:szCs w:val="20"/>
        </w:rPr>
        <w:t xml:space="preserve"> with our eBay Korea and Classifieds businesses as discontinued operations in our consolidated balance sheet. The results of our eBay Korea, Classifieds and StubHub businesses have been presented as discontinued operations in our consolidated statement of </w:t>
      </w:r>
      <w:r>
        <w:rPr>
          <w:rFonts w:ascii="Arial" w:eastAsia="宋体" w:hAnsi="Arial" w:cs="Arial"/>
          <w:color w:val="000000"/>
          <w:sz w:val="20"/>
          <w:szCs w:val="20"/>
        </w:rPr>
        <w:t>income for all periods presented through the respective transaction close dates as the transactions represented a strategic shift in our business that had a major effect on our operations and financial results.</w:t>
      </w:r>
    </w:p>
    <w:p w14:paraId="22CFA411" w14:textId="77777777" w:rsidR="002661BA" w:rsidRDefault="002661BA">
      <w:pPr>
        <w:ind w:firstLine="540"/>
        <w:jc w:val="both"/>
      </w:pPr>
    </w:p>
    <w:p w14:paraId="22CFA412" w14:textId="77777777" w:rsidR="002661BA" w:rsidRDefault="00D972BC">
      <w:pPr>
        <w:ind w:firstLine="540"/>
        <w:jc w:val="both"/>
      </w:pPr>
      <w:r>
        <w:rPr>
          <w:rFonts w:ascii="Arial" w:eastAsia="宋体" w:hAnsi="Arial" w:cs="Arial"/>
          <w:color w:val="000000"/>
          <w:sz w:val="20"/>
          <w:szCs w:val="20"/>
        </w:rPr>
        <w:t>See “Note 3 — Discontinued Operations” in ou</w:t>
      </w:r>
      <w:r>
        <w:rPr>
          <w:rFonts w:ascii="Arial" w:eastAsia="宋体" w:hAnsi="Arial" w:cs="Arial"/>
          <w:color w:val="000000"/>
          <w:sz w:val="20"/>
          <w:szCs w:val="20"/>
        </w:rPr>
        <w:t>r consolidated financial statements included elsewhere in this report for additional information.</w:t>
      </w:r>
    </w:p>
    <w:p w14:paraId="22CFA413" w14:textId="77777777" w:rsidR="002661BA" w:rsidRDefault="002661BA">
      <w:pPr>
        <w:ind w:firstLine="540"/>
        <w:jc w:val="both"/>
      </w:pPr>
    </w:p>
    <w:p w14:paraId="22CFA414" w14:textId="77777777" w:rsidR="002661BA" w:rsidRDefault="00D972BC">
      <w:pPr>
        <w:ind w:firstLine="270"/>
        <w:jc w:val="both"/>
      </w:pPr>
      <w:r>
        <w:rPr>
          <w:rFonts w:ascii="Arial" w:eastAsia="宋体" w:hAnsi="Arial" w:cs="Arial"/>
          <w:b/>
          <w:bCs/>
          <w:i/>
          <w:iCs/>
          <w:color w:val="000000"/>
          <w:sz w:val="20"/>
          <w:szCs w:val="20"/>
        </w:rPr>
        <w:t>Presentation</w:t>
      </w:r>
    </w:p>
    <w:p w14:paraId="22CFA415" w14:textId="77777777" w:rsidR="002661BA" w:rsidRDefault="002661BA">
      <w:pPr>
        <w:ind w:firstLine="540"/>
        <w:jc w:val="both"/>
      </w:pPr>
    </w:p>
    <w:p w14:paraId="22CFA416" w14:textId="77777777" w:rsidR="002661BA" w:rsidRDefault="00D972BC">
      <w:pPr>
        <w:ind w:firstLine="540"/>
        <w:jc w:val="both"/>
      </w:pPr>
      <w:r>
        <w:rPr>
          <w:rFonts w:ascii="Arial" w:eastAsia="宋体" w:hAnsi="Arial" w:cs="Arial"/>
          <w:color w:val="000000"/>
          <w:sz w:val="20"/>
          <w:szCs w:val="20"/>
        </w:rPr>
        <w:t>In addition to the corresponding measures under generally accepted accounting principles (“GAAP”), management uses non-GAAP measures in reviewi</w:t>
      </w:r>
      <w:r>
        <w:rPr>
          <w:rFonts w:ascii="Arial" w:eastAsia="宋体" w:hAnsi="Arial" w:cs="Arial"/>
          <w:color w:val="000000"/>
          <w:sz w:val="20"/>
          <w:szCs w:val="20"/>
        </w:rPr>
        <w:t>ng our financial results. The foreign exchange neutral (“FX-Neutral”), or constant currency, net revenue amounts discussed below are non-GAAP financial measures and are not in accordance with, or an alternative to, measures prepared in accordance with GAAP</w:t>
      </w:r>
      <w:r>
        <w:rPr>
          <w:rFonts w:ascii="Arial" w:eastAsia="宋体" w:hAnsi="Arial" w:cs="Arial"/>
          <w:color w:val="000000"/>
          <w:sz w:val="20"/>
          <w:szCs w:val="20"/>
        </w:rPr>
        <w:t>. Accordingly, the FX-Neutral information appearing in the following discussion of our results of operations should be read in conjunction with the information provided below in “</w:t>
      </w:r>
      <w:r>
        <w:rPr>
          <w:rFonts w:ascii="Arial" w:eastAsia="宋体" w:hAnsi="Arial" w:cs="Arial"/>
          <w:i/>
          <w:iCs/>
          <w:color w:val="000000"/>
          <w:sz w:val="20"/>
          <w:szCs w:val="20"/>
        </w:rPr>
        <w:t>Non-GAAP Measures of Financial Performance</w:t>
      </w:r>
      <w:r>
        <w:rPr>
          <w:rFonts w:ascii="Arial" w:eastAsia="宋体" w:hAnsi="Arial" w:cs="Arial"/>
          <w:color w:val="000000"/>
          <w:sz w:val="20"/>
          <w:szCs w:val="20"/>
        </w:rPr>
        <w:t>,” which includes reconciliations o</w:t>
      </w:r>
      <w:r>
        <w:rPr>
          <w:rFonts w:ascii="Arial" w:eastAsia="宋体" w:hAnsi="Arial" w:cs="Arial"/>
          <w:color w:val="000000"/>
          <w:sz w:val="20"/>
          <w:szCs w:val="20"/>
        </w:rPr>
        <w:t xml:space="preserve">f FX-Neutral financial measures to the most directly comparable GAAP measures. We calculate the year-over-year impact of foreign currency movements using prior period foreign currency rates applied to current year transactional currency amounts. </w:t>
      </w:r>
    </w:p>
    <w:p w14:paraId="22CFA417" w14:textId="77777777" w:rsidR="002661BA" w:rsidRDefault="002661BA">
      <w:pPr>
        <w:ind w:firstLine="540"/>
        <w:jc w:val="both"/>
      </w:pPr>
    </w:p>
    <w:p w14:paraId="22CFA418" w14:textId="77777777" w:rsidR="002661BA" w:rsidRDefault="00D972BC">
      <w:pPr>
        <w:jc w:val="center"/>
      </w:pPr>
      <w:r>
        <w:rPr>
          <w:rFonts w:ascii="Arial" w:eastAsia="宋体" w:hAnsi="Arial" w:cs="Arial"/>
          <w:color w:val="000000"/>
          <w:sz w:val="18"/>
          <w:szCs w:val="18"/>
        </w:rPr>
        <w:t>32</w:t>
      </w:r>
    </w:p>
    <w:p w14:paraId="22CFA419" w14:textId="77777777" w:rsidR="002661BA" w:rsidRDefault="00D972BC">
      <w:r>
        <w:pict w14:anchorId="22CFE4D1">
          <v:rect id="_x0000_i1056" style="width:415.3pt;height:1.5pt" o:hralign="center" o:hrstd="t" o:hr="t" fillcolor="#a0a0a0" stroked="f"/>
        </w:pict>
      </w:r>
    </w:p>
    <w:p w14:paraId="22CFA41A" w14:textId="77777777" w:rsidR="002661BA" w:rsidRDefault="00D972BC">
      <w:hyperlink r:id="rId58" w:anchor="id0d7a71b05ce452ea9fdb54f3cb359c7_7" w:history="1">
        <w:r>
          <w:rPr>
            <w:rStyle w:val="a5"/>
            <w:rFonts w:ascii="Arial" w:eastAsia="宋体" w:hAnsi="Arial" w:cs="Arial"/>
            <w:sz w:val="18"/>
            <w:szCs w:val="18"/>
          </w:rPr>
          <w:t>Table of Contents</w:t>
        </w:r>
      </w:hyperlink>
    </w:p>
    <w:p w14:paraId="22CFA41B" w14:textId="77777777" w:rsidR="002661BA" w:rsidRDefault="00D972BC">
      <w:pPr>
        <w:ind w:firstLine="270"/>
        <w:jc w:val="both"/>
      </w:pPr>
      <w:r>
        <w:rPr>
          <w:rFonts w:ascii="Arial" w:eastAsia="宋体" w:hAnsi="Arial" w:cs="Arial"/>
          <w:b/>
          <w:bCs/>
          <w:i/>
          <w:iCs/>
          <w:color w:val="000000"/>
          <w:sz w:val="20"/>
          <w:szCs w:val="20"/>
        </w:rPr>
        <w:t>Fiscal Year Highlights</w:t>
      </w:r>
    </w:p>
    <w:p w14:paraId="22CFA41C" w14:textId="77777777" w:rsidR="002661BA" w:rsidRDefault="002661BA">
      <w:pPr>
        <w:ind w:firstLine="540"/>
        <w:jc w:val="both"/>
      </w:pPr>
    </w:p>
    <w:p w14:paraId="22CFA41D" w14:textId="77777777" w:rsidR="002661BA" w:rsidRDefault="00D972BC">
      <w:pPr>
        <w:ind w:firstLine="540"/>
        <w:jc w:val="both"/>
      </w:pPr>
      <w:r>
        <w:rPr>
          <w:rFonts w:ascii="Arial" w:eastAsia="宋体" w:hAnsi="Arial" w:cs="Arial"/>
          <w:color w:val="000000"/>
          <w:sz w:val="20"/>
          <w:szCs w:val="20"/>
        </w:rPr>
        <w:t>During 2021, we completed the migration of eBay’s managed payments in all markets, delivering buyers and sellers a simplified end-to-end payments experience. Net revenues increased 17% to $10.4 billion in 2021 compared to 2020 primarily due to the migratio</w:t>
      </w:r>
      <w:r>
        <w:rPr>
          <w:rFonts w:ascii="Arial" w:eastAsia="宋体" w:hAnsi="Arial" w:cs="Arial"/>
          <w:color w:val="000000"/>
          <w:sz w:val="20"/>
          <w:szCs w:val="20"/>
        </w:rPr>
        <w:t>n of managed payments on a global basis and the associated higher take rate. Transaction take rate was higher in 2021 compared to 2020 as a result of revenue initiatives such as global payments and Promoted Listings, which along with final value fees are c</w:t>
      </w:r>
      <w:r>
        <w:rPr>
          <w:rFonts w:ascii="Arial" w:eastAsia="宋体" w:hAnsi="Arial" w:cs="Arial"/>
          <w:color w:val="000000"/>
          <w:sz w:val="20"/>
          <w:szCs w:val="20"/>
        </w:rPr>
        <w:t xml:space="preserve">alculated as a percentage of an item’s sale price and category mix. FX-Neutral net revenue (as defined above) increased 15% in 2021 compared to 2020. Operating margin decreased to 28.1% in 2021 compared to 29.6% in 2020. </w:t>
      </w:r>
    </w:p>
    <w:p w14:paraId="22CFA41E" w14:textId="77777777" w:rsidR="002661BA" w:rsidRDefault="002661BA">
      <w:pPr>
        <w:ind w:firstLine="540"/>
        <w:jc w:val="both"/>
      </w:pPr>
    </w:p>
    <w:p w14:paraId="22CFA41F" w14:textId="77777777" w:rsidR="002661BA" w:rsidRDefault="00D972BC">
      <w:pPr>
        <w:ind w:firstLine="540"/>
        <w:jc w:val="both"/>
      </w:pPr>
      <w:r>
        <w:rPr>
          <w:rFonts w:ascii="Arial" w:eastAsia="宋体" w:hAnsi="Arial" w:cs="Arial"/>
          <w:color w:val="000000"/>
          <w:sz w:val="20"/>
          <w:szCs w:val="20"/>
        </w:rPr>
        <w:t>On November 14, 2021, we complete</w:t>
      </w:r>
      <w:r>
        <w:rPr>
          <w:rFonts w:ascii="Arial" w:eastAsia="宋体" w:hAnsi="Arial" w:cs="Arial"/>
          <w:color w:val="000000"/>
          <w:sz w:val="20"/>
          <w:szCs w:val="20"/>
        </w:rPr>
        <w:t xml:space="preserve">d the sale of 80.01% of the outstanding equity interests of eBay Korea to Emart for approximately $3.0 billion of gross cash proceeds. We retained 19.99% of the outstanding equity interests of the new entity, Gmarket, which is accounted for under the fair </w:t>
      </w:r>
      <w:r>
        <w:rPr>
          <w:rFonts w:ascii="Arial" w:eastAsia="宋体" w:hAnsi="Arial" w:cs="Arial"/>
          <w:color w:val="000000"/>
          <w:sz w:val="20"/>
          <w:szCs w:val="20"/>
        </w:rPr>
        <w:t>value option.</w:t>
      </w:r>
    </w:p>
    <w:p w14:paraId="22CFA420" w14:textId="77777777" w:rsidR="002661BA" w:rsidRDefault="002661BA">
      <w:pPr>
        <w:ind w:firstLine="540"/>
        <w:jc w:val="both"/>
      </w:pPr>
    </w:p>
    <w:p w14:paraId="22CFA421" w14:textId="77777777" w:rsidR="002661BA" w:rsidRDefault="00D972BC">
      <w:pPr>
        <w:ind w:firstLine="540"/>
        <w:jc w:val="both"/>
      </w:pPr>
      <w:r>
        <w:rPr>
          <w:rFonts w:ascii="Arial" w:eastAsia="宋体" w:hAnsi="Arial" w:cs="Arial"/>
          <w:color w:val="000000"/>
          <w:sz w:val="20"/>
          <w:szCs w:val="20"/>
        </w:rPr>
        <w:t>On June 24, 2021, the transfer of our Classifieds business was completed for $13.3 billion of consideration which comprised of $2.5 billion in proceeds and shares of Adevinta valued at $10.8 billion. On November 18, 2021, we completed the sa</w:t>
      </w:r>
      <w:r>
        <w:rPr>
          <w:rFonts w:ascii="Arial" w:eastAsia="宋体" w:hAnsi="Arial" w:cs="Arial"/>
          <w:color w:val="000000"/>
          <w:sz w:val="20"/>
          <w:szCs w:val="20"/>
        </w:rPr>
        <w:t>le of approximately 135 million of our voting shares in Adevinta to Permira for approximately $2.3 billion in proceeds. At the close of the sale our ownership in Adevinta was reduced to 33%.</w:t>
      </w:r>
    </w:p>
    <w:p w14:paraId="22CFA422" w14:textId="77777777" w:rsidR="002661BA" w:rsidRDefault="002661BA">
      <w:pPr>
        <w:ind w:firstLine="540"/>
        <w:jc w:val="both"/>
      </w:pPr>
    </w:p>
    <w:p w14:paraId="22CFA423" w14:textId="77777777" w:rsidR="002661BA" w:rsidRDefault="00D972BC">
      <w:pPr>
        <w:ind w:firstLine="540"/>
        <w:jc w:val="both"/>
      </w:pPr>
      <w:r>
        <w:rPr>
          <w:rFonts w:ascii="Arial" w:eastAsia="宋体" w:hAnsi="Arial" w:cs="Arial"/>
          <w:color w:val="000000"/>
          <w:sz w:val="20"/>
          <w:szCs w:val="20"/>
        </w:rPr>
        <w:t>We generated cash flow from continuing operating activities of $</w:t>
      </w:r>
      <w:r>
        <w:rPr>
          <w:rFonts w:ascii="Arial" w:eastAsia="宋体" w:hAnsi="Arial" w:cs="Arial"/>
          <w:color w:val="000000"/>
          <w:sz w:val="20"/>
          <w:szCs w:val="20"/>
        </w:rPr>
        <w:t>3.1 billion in 2021 compared to $3.0 billion in 2020, ending the year with cash, cash equivalents and non-equity investments from continuing operations of $7.3 billion.</w:t>
      </w:r>
    </w:p>
    <w:p w14:paraId="22CFA424" w14:textId="77777777" w:rsidR="002661BA" w:rsidRDefault="002661BA">
      <w:pPr>
        <w:ind w:firstLine="540"/>
        <w:jc w:val="both"/>
      </w:pPr>
    </w:p>
    <w:p w14:paraId="22CFA425" w14:textId="77777777" w:rsidR="002661BA" w:rsidRDefault="00D972BC">
      <w:pPr>
        <w:ind w:firstLine="540"/>
        <w:jc w:val="both"/>
      </w:pPr>
      <w:r>
        <w:rPr>
          <w:rFonts w:ascii="Arial" w:eastAsia="宋体" w:hAnsi="Arial" w:cs="Arial"/>
          <w:color w:val="000000"/>
          <w:sz w:val="20"/>
          <w:szCs w:val="20"/>
        </w:rPr>
        <w:t xml:space="preserve">In May 2021, we issued senior notes of $2.5 billion aggregate principal amount, which </w:t>
      </w:r>
      <w:r>
        <w:rPr>
          <w:rFonts w:ascii="Arial" w:eastAsia="宋体" w:hAnsi="Arial" w:cs="Arial"/>
          <w:color w:val="000000"/>
          <w:sz w:val="20"/>
          <w:szCs w:val="20"/>
        </w:rPr>
        <w:t>consisted of $750 million of 1.400% fixed rate notes due 2026, $750 million of 2.600% fixed rate notes due to 2031 and $1.0 billion of 3.650% fixed rate notes due 2051.</w:t>
      </w:r>
    </w:p>
    <w:p w14:paraId="22CFA426" w14:textId="77777777" w:rsidR="002661BA" w:rsidRDefault="002661BA">
      <w:pPr>
        <w:ind w:firstLine="540"/>
        <w:jc w:val="both"/>
      </w:pPr>
    </w:p>
    <w:p w14:paraId="22CFA427" w14:textId="77777777" w:rsidR="002661BA" w:rsidRDefault="00D972BC">
      <w:pPr>
        <w:ind w:firstLine="540"/>
        <w:jc w:val="both"/>
      </w:pPr>
      <w:r>
        <w:rPr>
          <w:rFonts w:ascii="Arial" w:eastAsia="宋体" w:hAnsi="Arial" w:cs="Arial"/>
          <w:color w:val="000000"/>
          <w:sz w:val="20"/>
          <w:szCs w:val="20"/>
        </w:rPr>
        <w:t>In 2021, we repaid approximately $1.2 billion of debt primarily comprised of $750 mill</w:t>
      </w:r>
      <w:r>
        <w:rPr>
          <w:rFonts w:ascii="Arial" w:eastAsia="宋体" w:hAnsi="Arial" w:cs="Arial"/>
          <w:color w:val="000000"/>
          <w:sz w:val="20"/>
          <w:szCs w:val="20"/>
        </w:rPr>
        <w:t>ion for the 6.000% senior fixed rate notes due 2056 and $395 million of the 2.600% senior fixed rate notes due 2022. We also paid $7.1 billion for repurchases of common stock, of which $2.5 billion related to repurchases of common stock under an accelerate</w:t>
      </w:r>
      <w:r>
        <w:rPr>
          <w:rFonts w:ascii="Arial" w:eastAsia="宋体" w:hAnsi="Arial" w:cs="Arial"/>
          <w:color w:val="000000"/>
          <w:sz w:val="20"/>
          <w:szCs w:val="20"/>
        </w:rPr>
        <w:t>d share repurchase program, and paid $466 million in cash dividends.</w:t>
      </w:r>
    </w:p>
    <w:p w14:paraId="22CFA428" w14:textId="77777777" w:rsidR="002661BA" w:rsidRDefault="002661BA">
      <w:pPr>
        <w:ind w:firstLine="540"/>
        <w:jc w:val="both"/>
      </w:pPr>
    </w:p>
    <w:p w14:paraId="22CFA429" w14:textId="77777777" w:rsidR="002661BA" w:rsidRDefault="00D972BC">
      <w:pPr>
        <w:ind w:firstLine="540"/>
        <w:jc w:val="both"/>
      </w:pPr>
      <w:r>
        <w:rPr>
          <w:rFonts w:ascii="Arial" w:eastAsia="宋体" w:hAnsi="Arial" w:cs="Arial"/>
          <w:color w:val="000000"/>
          <w:sz w:val="20"/>
          <w:szCs w:val="20"/>
        </w:rPr>
        <w:t>In February 2022, we declared a quarterly cash dividend of $0.22 per share of common stock to be paid on March 18, 2022 to stockholders of record as of March 10, 2022.</w:t>
      </w:r>
    </w:p>
    <w:p w14:paraId="22CFA42A" w14:textId="77777777" w:rsidR="002661BA" w:rsidRDefault="002661BA">
      <w:pPr>
        <w:ind w:firstLine="540"/>
        <w:jc w:val="both"/>
      </w:pPr>
    </w:p>
    <w:p w14:paraId="22CFA42B" w14:textId="77777777" w:rsidR="002661BA" w:rsidRDefault="002661BA">
      <w:pPr>
        <w:jc w:val="both"/>
      </w:pPr>
    </w:p>
    <w:p w14:paraId="22CFA42C" w14:textId="77777777" w:rsidR="002661BA" w:rsidRDefault="00D972BC">
      <w:pPr>
        <w:jc w:val="center"/>
      </w:pPr>
      <w:r>
        <w:rPr>
          <w:rFonts w:ascii="Arial" w:eastAsia="宋体" w:hAnsi="Arial" w:cs="Arial"/>
          <w:color w:val="000000"/>
          <w:sz w:val="18"/>
          <w:szCs w:val="18"/>
        </w:rPr>
        <w:t>33</w:t>
      </w:r>
    </w:p>
    <w:p w14:paraId="22CFA42D" w14:textId="77777777" w:rsidR="002661BA" w:rsidRDefault="00D972BC">
      <w:r>
        <w:pict w14:anchorId="22CFE4D2">
          <v:rect id="_x0000_i1057" style="width:415.3pt;height:1.5pt" o:hralign="center" o:hrstd="t" o:hr="t" fillcolor="#a0a0a0" stroked="f"/>
        </w:pict>
      </w:r>
    </w:p>
    <w:p w14:paraId="22CFA42E" w14:textId="77777777" w:rsidR="002661BA" w:rsidRDefault="00D972BC">
      <w:hyperlink r:id="rId59" w:anchor="id0d7a71b05ce452ea9fdb54f3cb359c7_7" w:history="1">
        <w:r>
          <w:rPr>
            <w:rStyle w:val="a5"/>
            <w:rFonts w:ascii="Arial" w:eastAsia="宋体" w:hAnsi="Arial" w:cs="Arial"/>
            <w:sz w:val="18"/>
            <w:szCs w:val="18"/>
          </w:rPr>
          <w:t>Table of Contents</w:t>
        </w:r>
      </w:hyperlink>
    </w:p>
    <w:p w14:paraId="22CFA42F" w14:textId="77777777" w:rsidR="002661BA" w:rsidRDefault="00D972BC">
      <w:pPr>
        <w:jc w:val="both"/>
      </w:pPr>
      <w:r>
        <w:rPr>
          <w:rFonts w:ascii="Arial" w:eastAsia="宋体" w:hAnsi="Arial" w:cs="Arial"/>
          <w:b/>
          <w:bCs/>
          <w:color w:val="000000"/>
          <w:sz w:val="20"/>
          <w:szCs w:val="20"/>
        </w:rPr>
        <w:t>RESULTS OF OPERATIONS</w:t>
      </w:r>
    </w:p>
    <w:p w14:paraId="22CFA430" w14:textId="77777777" w:rsidR="002661BA" w:rsidRDefault="002661BA">
      <w:pPr>
        <w:jc w:val="both"/>
      </w:pPr>
    </w:p>
    <w:p w14:paraId="22CFA431" w14:textId="77777777" w:rsidR="002661BA" w:rsidRDefault="00D972BC">
      <w:pPr>
        <w:ind w:firstLine="540"/>
        <w:jc w:val="both"/>
      </w:pPr>
      <w:r>
        <w:rPr>
          <w:rFonts w:ascii="Arial" w:eastAsia="宋体" w:hAnsi="Arial" w:cs="Arial"/>
          <w:color w:val="000000"/>
          <w:sz w:val="20"/>
          <w:szCs w:val="20"/>
        </w:rPr>
        <w:t>We have one reportable segment to reflect the way management and our chie</w:t>
      </w:r>
      <w:r>
        <w:rPr>
          <w:rFonts w:ascii="Arial" w:eastAsia="宋体" w:hAnsi="Arial" w:cs="Arial"/>
          <w:color w:val="000000"/>
          <w:sz w:val="20"/>
          <w:szCs w:val="20"/>
        </w:rPr>
        <w:t>f operating decision maker (“CODM”) review and assess performance of the business. Our reportable segment is Marketplace, which includes our online marketplace located at www.ebay.com, its localized counterparts and the eBay suite of mobile apps. The accou</w:t>
      </w:r>
      <w:r>
        <w:rPr>
          <w:rFonts w:ascii="Arial" w:eastAsia="宋体" w:hAnsi="Arial" w:cs="Arial"/>
          <w:color w:val="000000"/>
          <w:sz w:val="20"/>
          <w:szCs w:val="20"/>
        </w:rPr>
        <w:t xml:space="preserve">nting policies of our segment are the same as those described in “Note 1 — The Company and Summary of Significant Accounting Policies” in our consolidated financial statements included elsewhere in this report. </w:t>
      </w:r>
    </w:p>
    <w:p w14:paraId="22CFA432" w14:textId="77777777" w:rsidR="002661BA" w:rsidRDefault="002661BA">
      <w:pPr>
        <w:jc w:val="both"/>
      </w:pPr>
    </w:p>
    <w:p w14:paraId="22CFA433" w14:textId="77777777" w:rsidR="002661BA" w:rsidRDefault="00D972BC">
      <w:pPr>
        <w:jc w:val="both"/>
      </w:pPr>
      <w:r>
        <w:rPr>
          <w:rFonts w:ascii="Arial" w:eastAsia="宋体" w:hAnsi="Arial" w:cs="Arial"/>
          <w:b/>
          <w:bCs/>
          <w:color w:val="000000"/>
          <w:sz w:val="20"/>
          <w:szCs w:val="20"/>
        </w:rPr>
        <w:t>Net Revenues</w:t>
      </w:r>
    </w:p>
    <w:p w14:paraId="22CFA434" w14:textId="77777777" w:rsidR="002661BA" w:rsidRDefault="002661BA">
      <w:pPr>
        <w:ind w:firstLine="495"/>
        <w:jc w:val="both"/>
      </w:pPr>
    </w:p>
    <w:p w14:paraId="22CFA435" w14:textId="77777777" w:rsidR="002661BA" w:rsidRDefault="00D972BC">
      <w:pPr>
        <w:ind w:firstLine="270"/>
        <w:jc w:val="both"/>
      </w:pPr>
      <w:r>
        <w:rPr>
          <w:rFonts w:ascii="Arial" w:eastAsia="宋体" w:hAnsi="Arial" w:cs="Arial"/>
          <w:b/>
          <w:bCs/>
          <w:i/>
          <w:iCs/>
          <w:color w:val="000000"/>
          <w:sz w:val="20"/>
          <w:szCs w:val="20"/>
        </w:rPr>
        <w:t>Seasonality</w:t>
      </w:r>
    </w:p>
    <w:p w14:paraId="22CFA436" w14:textId="77777777" w:rsidR="002661BA" w:rsidRDefault="002661BA">
      <w:pPr>
        <w:jc w:val="both"/>
      </w:pPr>
    </w:p>
    <w:p w14:paraId="22CFA437" w14:textId="77777777" w:rsidR="002661BA" w:rsidRDefault="00D972BC">
      <w:pPr>
        <w:spacing w:after="120"/>
        <w:ind w:firstLine="540"/>
        <w:jc w:val="both"/>
      </w:pPr>
      <w:r>
        <w:rPr>
          <w:rFonts w:ascii="Arial" w:eastAsia="宋体" w:hAnsi="Arial" w:cs="Arial"/>
          <w:color w:val="000000"/>
          <w:sz w:val="20"/>
          <w:szCs w:val="20"/>
        </w:rPr>
        <w:t xml:space="preserve">We expect </w:t>
      </w:r>
      <w:r>
        <w:rPr>
          <w:rFonts w:ascii="Arial" w:eastAsia="宋体" w:hAnsi="Arial" w:cs="Arial"/>
          <w:color w:val="000000"/>
          <w:sz w:val="20"/>
          <w:szCs w:val="20"/>
        </w:rPr>
        <w:t>transaction activity patterns on our platforms to trend with general consumer buying patterns and expect that these trends will continue. As we introduce new products and platforms, such as managed payments, we expect net revenues to fluctuate. In addition</w:t>
      </w:r>
      <w:r>
        <w:rPr>
          <w:rFonts w:ascii="Arial" w:eastAsia="宋体" w:hAnsi="Arial" w:cs="Arial"/>
          <w:color w:val="000000"/>
          <w:sz w:val="20"/>
          <w:szCs w:val="20"/>
        </w:rPr>
        <w:t>, macroeconomic conditions, such as the ongoing COVID-19 pandemic, may also contribute to fluctuations in revenues and margins. The following table presents our total net revenues and the sequential quarterly movements of these net revenues for the periods</w:t>
      </w:r>
      <w:r>
        <w:rPr>
          <w:rFonts w:ascii="Arial" w:eastAsia="宋体" w:hAnsi="Arial" w:cs="Arial"/>
          <w:color w:val="000000"/>
          <w:sz w:val="20"/>
          <w:szCs w:val="20"/>
        </w:rPr>
        <w:t xml:space="preserve"> 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3541"/>
        <w:gridCol w:w="36"/>
        <w:gridCol w:w="121"/>
        <w:gridCol w:w="779"/>
        <w:gridCol w:w="181"/>
        <w:gridCol w:w="36"/>
        <w:gridCol w:w="36"/>
        <w:gridCol w:w="36"/>
        <w:gridCol w:w="121"/>
        <w:gridCol w:w="780"/>
        <w:gridCol w:w="181"/>
        <w:gridCol w:w="36"/>
        <w:gridCol w:w="36"/>
        <w:gridCol w:w="36"/>
        <w:gridCol w:w="122"/>
        <w:gridCol w:w="839"/>
        <w:gridCol w:w="181"/>
        <w:gridCol w:w="36"/>
        <w:gridCol w:w="36"/>
        <w:gridCol w:w="36"/>
        <w:gridCol w:w="122"/>
        <w:gridCol w:w="789"/>
        <w:gridCol w:w="181"/>
      </w:tblGrid>
      <w:tr w:rsidR="002661BA" w14:paraId="22CFA450" w14:textId="77777777">
        <w:tc>
          <w:tcPr>
            <w:tcW w:w="50" w:type="pct"/>
            <w:shd w:val="clear" w:color="auto" w:fill="auto"/>
            <w:vAlign w:val="bottom"/>
          </w:tcPr>
          <w:p w14:paraId="22CFA438" w14:textId="77777777" w:rsidR="002661BA" w:rsidRDefault="002661BA">
            <w:pPr>
              <w:rPr>
                <w:rFonts w:ascii="宋体"/>
              </w:rPr>
            </w:pPr>
          </w:p>
        </w:tc>
        <w:tc>
          <w:tcPr>
            <w:tcW w:w="2313" w:type="pct"/>
            <w:shd w:val="clear" w:color="auto" w:fill="auto"/>
            <w:vAlign w:val="bottom"/>
          </w:tcPr>
          <w:p w14:paraId="22CFA439" w14:textId="77777777" w:rsidR="002661BA" w:rsidRDefault="002661BA">
            <w:pPr>
              <w:rPr>
                <w:rFonts w:ascii="宋体"/>
              </w:rPr>
            </w:pPr>
          </w:p>
        </w:tc>
        <w:tc>
          <w:tcPr>
            <w:tcW w:w="5" w:type="pct"/>
            <w:shd w:val="clear" w:color="auto" w:fill="auto"/>
            <w:vAlign w:val="bottom"/>
          </w:tcPr>
          <w:p w14:paraId="22CFA43A" w14:textId="77777777" w:rsidR="002661BA" w:rsidRDefault="002661BA">
            <w:pPr>
              <w:rPr>
                <w:rFonts w:ascii="宋体"/>
              </w:rPr>
            </w:pPr>
          </w:p>
        </w:tc>
        <w:tc>
          <w:tcPr>
            <w:tcW w:w="50" w:type="pct"/>
            <w:shd w:val="clear" w:color="auto" w:fill="auto"/>
            <w:vAlign w:val="bottom"/>
          </w:tcPr>
          <w:p w14:paraId="22CFA43B" w14:textId="77777777" w:rsidR="002661BA" w:rsidRDefault="002661BA">
            <w:pPr>
              <w:rPr>
                <w:rFonts w:ascii="宋体"/>
              </w:rPr>
            </w:pPr>
          </w:p>
        </w:tc>
        <w:tc>
          <w:tcPr>
            <w:tcW w:w="580" w:type="pct"/>
            <w:shd w:val="clear" w:color="auto" w:fill="auto"/>
            <w:vAlign w:val="bottom"/>
          </w:tcPr>
          <w:p w14:paraId="22CFA43C" w14:textId="77777777" w:rsidR="002661BA" w:rsidRDefault="002661BA">
            <w:pPr>
              <w:rPr>
                <w:rFonts w:ascii="宋体"/>
              </w:rPr>
            </w:pPr>
          </w:p>
        </w:tc>
        <w:tc>
          <w:tcPr>
            <w:tcW w:w="5" w:type="pct"/>
            <w:shd w:val="clear" w:color="auto" w:fill="auto"/>
            <w:vAlign w:val="bottom"/>
          </w:tcPr>
          <w:p w14:paraId="22CFA43D" w14:textId="77777777" w:rsidR="002661BA" w:rsidRDefault="002661BA">
            <w:pPr>
              <w:rPr>
                <w:rFonts w:ascii="宋体"/>
              </w:rPr>
            </w:pPr>
          </w:p>
        </w:tc>
        <w:tc>
          <w:tcPr>
            <w:tcW w:w="5" w:type="pct"/>
            <w:shd w:val="clear" w:color="auto" w:fill="auto"/>
            <w:vAlign w:val="bottom"/>
          </w:tcPr>
          <w:p w14:paraId="22CFA43E" w14:textId="77777777" w:rsidR="002661BA" w:rsidRDefault="002661BA">
            <w:pPr>
              <w:rPr>
                <w:rFonts w:ascii="宋体"/>
              </w:rPr>
            </w:pPr>
          </w:p>
        </w:tc>
        <w:tc>
          <w:tcPr>
            <w:tcW w:w="19" w:type="pct"/>
            <w:shd w:val="clear" w:color="auto" w:fill="auto"/>
            <w:vAlign w:val="bottom"/>
          </w:tcPr>
          <w:p w14:paraId="22CFA43F" w14:textId="77777777" w:rsidR="002661BA" w:rsidRDefault="002661BA">
            <w:pPr>
              <w:rPr>
                <w:rFonts w:ascii="宋体"/>
              </w:rPr>
            </w:pPr>
          </w:p>
        </w:tc>
        <w:tc>
          <w:tcPr>
            <w:tcW w:w="5" w:type="pct"/>
            <w:shd w:val="clear" w:color="auto" w:fill="auto"/>
            <w:vAlign w:val="bottom"/>
          </w:tcPr>
          <w:p w14:paraId="22CFA440" w14:textId="77777777" w:rsidR="002661BA" w:rsidRDefault="002661BA">
            <w:pPr>
              <w:rPr>
                <w:rFonts w:ascii="宋体"/>
              </w:rPr>
            </w:pPr>
          </w:p>
        </w:tc>
        <w:tc>
          <w:tcPr>
            <w:tcW w:w="50" w:type="pct"/>
            <w:shd w:val="clear" w:color="auto" w:fill="auto"/>
            <w:vAlign w:val="bottom"/>
          </w:tcPr>
          <w:p w14:paraId="22CFA441" w14:textId="77777777" w:rsidR="002661BA" w:rsidRDefault="002661BA">
            <w:pPr>
              <w:rPr>
                <w:rFonts w:ascii="宋体"/>
              </w:rPr>
            </w:pPr>
          </w:p>
        </w:tc>
        <w:tc>
          <w:tcPr>
            <w:tcW w:w="580" w:type="pct"/>
            <w:shd w:val="clear" w:color="auto" w:fill="auto"/>
            <w:vAlign w:val="bottom"/>
          </w:tcPr>
          <w:p w14:paraId="22CFA442" w14:textId="77777777" w:rsidR="002661BA" w:rsidRDefault="002661BA">
            <w:pPr>
              <w:rPr>
                <w:rFonts w:ascii="宋体"/>
              </w:rPr>
            </w:pPr>
          </w:p>
        </w:tc>
        <w:tc>
          <w:tcPr>
            <w:tcW w:w="5" w:type="pct"/>
            <w:shd w:val="clear" w:color="auto" w:fill="auto"/>
            <w:vAlign w:val="bottom"/>
          </w:tcPr>
          <w:p w14:paraId="22CFA443" w14:textId="77777777" w:rsidR="002661BA" w:rsidRDefault="002661BA">
            <w:pPr>
              <w:rPr>
                <w:rFonts w:ascii="宋体"/>
              </w:rPr>
            </w:pPr>
          </w:p>
        </w:tc>
        <w:tc>
          <w:tcPr>
            <w:tcW w:w="5" w:type="pct"/>
            <w:shd w:val="clear" w:color="auto" w:fill="auto"/>
            <w:vAlign w:val="bottom"/>
          </w:tcPr>
          <w:p w14:paraId="22CFA444" w14:textId="77777777" w:rsidR="002661BA" w:rsidRDefault="002661BA">
            <w:pPr>
              <w:rPr>
                <w:rFonts w:ascii="宋体"/>
              </w:rPr>
            </w:pPr>
          </w:p>
        </w:tc>
        <w:tc>
          <w:tcPr>
            <w:tcW w:w="19" w:type="pct"/>
            <w:shd w:val="clear" w:color="auto" w:fill="auto"/>
            <w:vAlign w:val="bottom"/>
          </w:tcPr>
          <w:p w14:paraId="22CFA445" w14:textId="77777777" w:rsidR="002661BA" w:rsidRDefault="002661BA">
            <w:pPr>
              <w:rPr>
                <w:rFonts w:ascii="宋体"/>
              </w:rPr>
            </w:pPr>
          </w:p>
        </w:tc>
        <w:tc>
          <w:tcPr>
            <w:tcW w:w="5" w:type="pct"/>
            <w:shd w:val="clear" w:color="auto" w:fill="auto"/>
            <w:vAlign w:val="bottom"/>
          </w:tcPr>
          <w:p w14:paraId="22CFA446" w14:textId="77777777" w:rsidR="002661BA" w:rsidRDefault="002661BA">
            <w:pPr>
              <w:rPr>
                <w:rFonts w:ascii="宋体"/>
              </w:rPr>
            </w:pPr>
          </w:p>
        </w:tc>
        <w:tc>
          <w:tcPr>
            <w:tcW w:w="50" w:type="pct"/>
            <w:shd w:val="clear" w:color="auto" w:fill="auto"/>
            <w:vAlign w:val="bottom"/>
          </w:tcPr>
          <w:p w14:paraId="22CFA447" w14:textId="77777777" w:rsidR="002661BA" w:rsidRDefault="002661BA">
            <w:pPr>
              <w:rPr>
                <w:rFonts w:ascii="宋体"/>
              </w:rPr>
            </w:pPr>
          </w:p>
        </w:tc>
        <w:tc>
          <w:tcPr>
            <w:tcW w:w="580" w:type="pct"/>
            <w:shd w:val="clear" w:color="auto" w:fill="auto"/>
            <w:vAlign w:val="bottom"/>
          </w:tcPr>
          <w:p w14:paraId="22CFA448" w14:textId="77777777" w:rsidR="002661BA" w:rsidRDefault="002661BA">
            <w:pPr>
              <w:rPr>
                <w:rFonts w:ascii="宋体"/>
              </w:rPr>
            </w:pPr>
          </w:p>
        </w:tc>
        <w:tc>
          <w:tcPr>
            <w:tcW w:w="5" w:type="pct"/>
            <w:shd w:val="clear" w:color="auto" w:fill="auto"/>
            <w:vAlign w:val="bottom"/>
          </w:tcPr>
          <w:p w14:paraId="22CFA449" w14:textId="77777777" w:rsidR="002661BA" w:rsidRDefault="002661BA">
            <w:pPr>
              <w:rPr>
                <w:rFonts w:ascii="宋体"/>
              </w:rPr>
            </w:pPr>
          </w:p>
        </w:tc>
        <w:tc>
          <w:tcPr>
            <w:tcW w:w="5" w:type="pct"/>
            <w:shd w:val="clear" w:color="auto" w:fill="auto"/>
            <w:vAlign w:val="bottom"/>
          </w:tcPr>
          <w:p w14:paraId="22CFA44A" w14:textId="77777777" w:rsidR="002661BA" w:rsidRDefault="002661BA">
            <w:pPr>
              <w:rPr>
                <w:rFonts w:ascii="宋体"/>
              </w:rPr>
            </w:pPr>
          </w:p>
        </w:tc>
        <w:tc>
          <w:tcPr>
            <w:tcW w:w="19" w:type="pct"/>
            <w:shd w:val="clear" w:color="auto" w:fill="auto"/>
            <w:vAlign w:val="bottom"/>
          </w:tcPr>
          <w:p w14:paraId="22CFA44B" w14:textId="77777777" w:rsidR="002661BA" w:rsidRDefault="002661BA">
            <w:pPr>
              <w:rPr>
                <w:rFonts w:ascii="宋体"/>
              </w:rPr>
            </w:pPr>
          </w:p>
        </w:tc>
        <w:tc>
          <w:tcPr>
            <w:tcW w:w="5" w:type="pct"/>
            <w:shd w:val="clear" w:color="auto" w:fill="auto"/>
            <w:vAlign w:val="bottom"/>
          </w:tcPr>
          <w:p w14:paraId="22CFA44C" w14:textId="77777777" w:rsidR="002661BA" w:rsidRDefault="002661BA">
            <w:pPr>
              <w:rPr>
                <w:rFonts w:ascii="宋体"/>
              </w:rPr>
            </w:pPr>
          </w:p>
        </w:tc>
        <w:tc>
          <w:tcPr>
            <w:tcW w:w="50" w:type="pct"/>
            <w:shd w:val="clear" w:color="auto" w:fill="auto"/>
            <w:vAlign w:val="bottom"/>
          </w:tcPr>
          <w:p w14:paraId="22CFA44D" w14:textId="77777777" w:rsidR="002661BA" w:rsidRDefault="002661BA">
            <w:pPr>
              <w:rPr>
                <w:rFonts w:ascii="宋体"/>
              </w:rPr>
            </w:pPr>
          </w:p>
        </w:tc>
        <w:tc>
          <w:tcPr>
            <w:tcW w:w="581" w:type="pct"/>
            <w:shd w:val="clear" w:color="auto" w:fill="auto"/>
            <w:vAlign w:val="bottom"/>
          </w:tcPr>
          <w:p w14:paraId="22CFA44E" w14:textId="77777777" w:rsidR="002661BA" w:rsidRDefault="002661BA">
            <w:pPr>
              <w:rPr>
                <w:rFonts w:ascii="宋体"/>
              </w:rPr>
            </w:pPr>
          </w:p>
        </w:tc>
        <w:tc>
          <w:tcPr>
            <w:tcW w:w="5" w:type="pct"/>
            <w:shd w:val="clear" w:color="auto" w:fill="auto"/>
            <w:vAlign w:val="bottom"/>
          </w:tcPr>
          <w:p w14:paraId="22CFA44F" w14:textId="77777777" w:rsidR="002661BA" w:rsidRDefault="002661BA">
            <w:pPr>
              <w:rPr>
                <w:rFonts w:ascii="宋体"/>
              </w:rPr>
            </w:pPr>
          </w:p>
        </w:tc>
      </w:tr>
      <w:tr w:rsidR="002661BA" w14:paraId="22CFA453" w14:textId="77777777">
        <w:tc>
          <w:tcPr>
            <w:tcW w:w="0" w:type="auto"/>
            <w:gridSpan w:val="3"/>
            <w:shd w:val="clear" w:color="auto" w:fill="auto"/>
            <w:tcMar>
              <w:top w:w="40" w:type="dxa"/>
              <w:left w:w="20" w:type="dxa"/>
              <w:bottom w:w="40" w:type="dxa"/>
              <w:right w:w="20" w:type="dxa"/>
            </w:tcMar>
            <w:vAlign w:val="bottom"/>
          </w:tcPr>
          <w:p w14:paraId="22CFA451" w14:textId="77777777" w:rsidR="002661BA" w:rsidRDefault="00D972BC">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22CFA452" w14:textId="77777777" w:rsidR="002661BA" w:rsidRDefault="00D972BC">
            <w:pPr>
              <w:jc w:val="center"/>
              <w:textAlignment w:val="bottom"/>
            </w:pPr>
            <w:r>
              <w:rPr>
                <w:rFonts w:ascii="Arial" w:eastAsia="宋体" w:hAnsi="Arial" w:cs="Arial"/>
                <w:b/>
                <w:bCs/>
                <w:color w:val="000000"/>
                <w:sz w:val="17"/>
                <w:szCs w:val="17"/>
              </w:rPr>
              <w:t>Quarter Ended</w:t>
            </w:r>
          </w:p>
        </w:tc>
      </w:tr>
      <w:tr w:rsidR="002661BA" w14:paraId="22CFA45C" w14:textId="77777777">
        <w:tc>
          <w:tcPr>
            <w:tcW w:w="0" w:type="auto"/>
            <w:gridSpan w:val="3"/>
            <w:shd w:val="clear" w:color="auto" w:fill="auto"/>
            <w:tcMar>
              <w:top w:w="40" w:type="dxa"/>
              <w:left w:w="20" w:type="dxa"/>
              <w:bottom w:w="40" w:type="dxa"/>
              <w:right w:w="20" w:type="dxa"/>
            </w:tcMar>
            <w:vAlign w:val="bottom"/>
          </w:tcPr>
          <w:p w14:paraId="22CFA454" w14:textId="77777777" w:rsidR="002661BA" w:rsidRDefault="00D972BC">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455" w14:textId="77777777" w:rsidR="002661BA" w:rsidRDefault="00D972BC">
            <w:pPr>
              <w:jc w:val="center"/>
              <w:textAlignment w:val="bottom"/>
            </w:pPr>
            <w:r>
              <w:rPr>
                <w:rFonts w:ascii="Arial" w:eastAsia="宋体" w:hAnsi="Arial" w:cs="Arial"/>
                <w:b/>
                <w:bCs/>
                <w:color w:val="000000"/>
                <w:sz w:val="17"/>
                <w:szCs w:val="17"/>
              </w:rPr>
              <w:t>March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456"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457" w14:textId="77777777" w:rsidR="002661BA" w:rsidRDefault="00D972BC">
            <w:pPr>
              <w:jc w:val="center"/>
              <w:textAlignment w:val="bottom"/>
            </w:pPr>
            <w:r>
              <w:rPr>
                <w:rFonts w:ascii="Arial" w:eastAsia="宋体" w:hAnsi="Arial" w:cs="Arial"/>
                <w:b/>
                <w:bCs/>
                <w:color w:val="000000"/>
                <w:sz w:val="17"/>
                <w:szCs w:val="17"/>
              </w:rPr>
              <w:t>June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458"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459" w14:textId="77777777" w:rsidR="002661BA" w:rsidRDefault="00D972BC">
            <w:pPr>
              <w:jc w:val="center"/>
              <w:textAlignment w:val="bottom"/>
            </w:pPr>
            <w:r>
              <w:rPr>
                <w:rFonts w:ascii="Arial" w:eastAsia="宋体" w:hAnsi="Arial" w:cs="Arial"/>
                <w:b/>
                <w:bCs/>
                <w:color w:val="000000"/>
                <w:sz w:val="17"/>
                <w:szCs w:val="17"/>
              </w:rPr>
              <w:t>September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45A"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45B" w14:textId="77777777" w:rsidR="002661BA" w:rsidRDefault="00D972BC">
            <w:pPr>
              <w:jc w:val="center"/>
              <w:textAlignment w:val="bottom"/>
            </w:pPr>
            <w:r>
              <w:rPr>
                <w:rFonts w:ascii="Arial" w:eastAsia="宋体" w:hAnsi="Arial" w:cs="Arial"/>
                <w:b/>
                <w:bCs/>
                <w:color w:val="000000"/>
                <w:sz w:val="17"/>
                <w:szCs w:val="17"/>
              </w:rPr>
              <w:t>December 31</w:t>
            </w:r>
          </w:p>
        </w:tc>
      </w:tr>
      <w:tr w:rsidR="002661BA" w14:paraId="22CFA465" w14:textId="77777777">
        <w:tc>
          <w:tcPr>
            <w:tcW w:w="0" w:type="auto"/>
            <w:gridSpan w:val="3"/>
            <w:shd w:val="clear" w:color="auto" w:fill="auto"/>
            <w:tcMar>
              <w:top w:w="40" w:type="dxa"/>
              <w:left w:w="20" w:type="dxa"/>
              <w:bottom w:w="40" w:type="dxa"/>
              <w:right w:w="20" w:type="dxa"/>
            </w:tcMar>
            <w:vAlign w:val="bottom"/>
          </w:tcPr>
          <w:p w14:paraId="22CFA45D" w14:textId="77777777" w:rsidR="002661BA" w:rsidRDefault="00D972BC">
            <w:pPr>
              <w:textAlignment w:val="bottom"/>
            </w:pPr>
            <w:r>
              <w:rPr>
                <w:rFonts w:ascii="Arial" w:eastAsia="宋体" w:hAnsi="Arial" w:cs="Arial"/>
                <w:b/>
                <w:bCs/>
                <w:color w:val="000000"/>
                <w:sz w:val="18"/>
                <w:szCs w:val="18"/>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45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45F" w14:textId="77777777" w:rsidR="002661BA" w:rsidRDefault="002661B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46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461" w14:textId="77777777" w:rsidR="002661BA" w:rsidRDefault="002661B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46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463" w14:textId="77777777" w:rsidR="002661BA" w:rsidRDefault="002661B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464" w14:textId="77777777" w:rsidR="002661BA" w:rsidRDefault="002661BA">
            <w:pPr>
              <w:rPr>
                <w:rFonts w:ascii="宋体"/>
              </w:rPr>
            </w:pPr>
          </w:p>
        </w:tc>
      </w:tr>
      <w:tr w:rsidR="002661BA" w14:paraId="22CFA476" w14:textId="77777777">
        <w:tc>
          <w:tcPr>
            <w:tcW w:w="0" w:type="auto"/>
            <w:gridSpan w:val="3"/>
            <w:shd w:val="clear" w:color="auto" w:fill="E2E2E2"/>
            <w:tcMar>
              <w:top w:w="40" w:type="dxa"/>
              <w:left w:w="35" w:type="dxa"/>
              <w:bottom w:w="40" w:type="dxa"/>
              <w:right w:w="20" w:type="dxa"/>
            </w:tcMar>
            <w:vAlign w:val="bottom"/>
          </w:tcPr>
          <w:p w14:paraId="22CFA466" w14:textId="77777777" w:rsidR="002661BA" w:rsidRDefault="00D972BC">
            <w:pPr>
              <w:textAlignment w:val="bottom"/>
            </w:pPr>
            <w:r>
              <w:rPr>
                <w:rFonts w:ascii="Arial" w:eastAsia="宋体" w:hAnsi="Arial" w:cs="Arial"/>
                <w:color w:val="000000"/>
                <w:sz w:val="18"/>
                <w:szCs w:val="18"/>
              </w:rPr>
              <w:t>Net revenues</w:t>
            </w:r>
          </w:p>
        </w:tc>
        <w:tc>
          <w:tcPr>
            <w:tcW w:w="0" w:type="auto"/>
            <w:shd w:val="clear" w:color="auto" w:fill="E2E2E2"/>
            <w:tcMar>
              <w:top w:w="40" w:type="dxa"/>
              <w:left w:w="20" w:type="dxa"/>
              <w:bottom w:w="40" w:type="dxa"/>
              <w:right w:w="0" w:type="dxa"/>
            </w:tcMar>
            <w:vAlign w:val="bottom"/>
          </w:tcPr>
          <w:p w14:paraId="22CFA46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A468" w14:textId="77777777" w:rsidR="002661BA" w:rsidRDefault="00D972BC">
            <w:pPr>
              <w:jc w:val="right"/>
              <w:textAlignment w:val="bottom"/>
            </w:pPr>
            <w:r>
              <w:rPr>
                <w:rFonts w:ascii="Arial" w:eastAsia="宋体" w:hAnsi="Arial" w:cs="Arial"/>
                <w:color w:val="000000"/>
                <w:sz w:val="18"/>
                <w:szCs w:val="18"/>
              </w:rPr>
              <w:t>1,867 </w:t>
            </w:r>
          </w:p>
        </w:tc>
        <w:tc>
          <w:tcPr>
            <w:tcW w:w="0" w:type="auto"/>
            <w:shd w:val="clear" w:color="auto" w:fill="E2E2E2"/>
            <w:tcMar>
              <w:top w:w="40" w:type="dxa"/>
              <w:left w:w="0" w:type="dxa"/>
              <w:bottom w:w="40" w:type="dxa"/>
              <w:right w:w="20" w:type="dxa"/>
            </w:tcMar>
            <w:vAlign w:val="bottom"/>
          </w:tcPr>
          <w:p w14:paraId="22CFA46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46A"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A46B"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A46C" w14:textId="77777777" w:rsidR="002661BA" w:rsidRDefault="00D972BC">
            <w:pPr>
              <w:jc w:val="right"/>
              <w:textAlignment w:val="bottom"/>
            </w:pPr>
            <w:r>
              <w:rPr>
                <w:rFonts w:ascii="Arial" w:eastAsia="宋体" w:hAnsi="Arial" w:cs="Arial"/>
                <w:color w:val="000000"/>
                <w:sz w:val="18"/>
                <w:szCs w:val="18"/>
              </w:rPr>
              <w:t>1,859 </w:t>
            </w:r>
          </w:p>
        </w:tc>
        <w:tc>
          <w:tcPr>
            <w:tcW w:w="0" w:type="auto"/>
            <w:shd w:val="clear" w:color="auto" w:fill="E2E2E2"/>
            <w:tcMar>
              <w:top w:w="40" w:type="dxa"/>
              <w:left w:w="0" w:type="dxa"/>
              <w:bottom w:w="40" w:type="dxa"/>
              <w:right w:w="20" w:type="dxa"/>
            </w:tcMar>
            <w:vAlign w:val="bottom"/>
          </w:tcPr>
          <w:p w14:paraId="22CFA46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46E"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A46F"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A470" w14:textId="77777777" w:rsidR="002661BA" w:rsidRDefault="00D972BC">
            <w:pPr>
              <w:jc w:val="right"/>
              <w:textAlignment w:val="bottom"/>
            </w:pPr>
            <w:r>
              <w:rPr>
                <w:rFonts w:ascii="Arial" w:eastAsia="宋体" w:hAnsi="Arial" w:cs="Arial"/>
                <w:color w:val="000000"/>
                <w:sz w:val="18"/>
                <w:szCs w:val="18"/>
              </w:rPr>
              <w:t>1,799 </w:t>
            </w:r>
          </w:p>
        </w:tc>
        <w:tc>
          <w:tcPr>
            <w:tcW w:w="0" w:type="auto"/>
            <w:shd w:val="clear" w:color="auto" w:fill="E2E2E2"/>
            <w:tcMar>
              <w:top w:w="40" w:type="dxa"/>
              <w:left w:w="0" w:type="dxa"/>
              <w:bottom w:w="40" w:type="dxa"/>
              <w:right w:w="20" w:type="dxa"/>
            </w:tcMar>
            <w:vAlign w:val="bottom"/>
          </w:tcPr>
          <w:p w14:paraId="22CFA471"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472"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A47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A474" w14:textId="77777777" w:rsidR="002661BA" w:rsidRDefault="00D972BC">
            <w:pPr>
              <w:jc w:val="right"/>
              <w:textAlignment w:val="bottom"/>
            </w:pPr>
            <w:r>
              <w:rPr>
                <w:rFonts w:ascii="Arial" w:eastAsia="宋体" w:hAnsi="Arial" w:cs="Arial"/>
                <w:color w:val="000000"/>
                <w:sz w:val="18"/>
                <w:szCs w:val="18"/>
              </w:rPr>
              <w:t>1,904 </w:t>
            </w:r>
          </w:p>
        </w:tc>
        <w:tc>
          <w:tcPr>
            <w:tcW w:w="0" w:type="auto"/>
            <w:shd w:val="clear" w:color="auto" w:fill="E2E2E2"/>
            <w:tcMar>
              <w:top w:w="40" w:type="dxa"/>
              <w:left w:w="0" w:type="dxa"/>
              <w:bottom w:w="40" w:type="dxa"/>
              <w:right w:w="20" w:type="dxa"/>
            </w:tcMar>
            <w:vAlign w:val="bottom"/>
          </w:tcPr>
          <w:p w14:paraId="22CFA475" w14:textId="77777777" w:rsidR="002661BA" w:rsidRDefault="002661BA">
            <w:pPr>
              <w:jc w:val="right"/>
              <w:rPr>
                <w:rFonts w:ascii="宋体"/>
              </w:rPr>
            </w:pPr>
          </w:p>
        </w:tc>
      </w:tr>
      <w:tr w:rsidR="002661BA" w14:paraId="22CFA482" w14:textId="77777777">
        <w:tc>
          <w:tcPr>
            <w:tcW w:w="0" w:type="auto"/>
            <w:gridSpan w:val="3"/>
            <w:shd w:val="clear" w:color="auto" w:fill="FFFFFF"/>
            <w:tcMar>
              <w:top w:w="40" w:type="dxa"/>
              <w:left w:w="155" w:type="dxa"/>
              <w:bottom w:w="40" w:type="dxa"/>
              <w:right w:w="20" w:type="dxa"/>
            </w:tcMar>
            <w:vAlign w:val="bottom"/>
          </w:tcPr>
          <w:p w14:paraId="22CFA477" w14:textId="77777777" w:rsidR="002661BA" w:rsidRDefault="00D972BC">
            <w:pPr>
              <w:textAlignment w:val="bottom"/>
            </w:pPr>
            <w:r>
              <w:rPr>
                <w:rFonts w:ascii="Arial" w:eastAsia="宋体" w:hAnsi="Arial" w:cs="Arial"/>
                <w:i/>
                <w:iCs/>
                <w:color w:val="000000"/>
                <w:sz w:val="18"/>
                <w:szCs w:val="18"/>
              </w:rPr>
              <w:t>% change from prior quarter</w:t>
            </w:r>
          </w:p>
        </w:tc>
        <w:tc>
          <w:tcPr>
            <w:tcW w:w="0" w:type="auto"/>
            <w:gridSpan w:val="3"/>
            <w:shd w:val="clear" w:color="auto" w:fill="FFFFFF"/>
            <w:tcMar>
              <w:top w:w="40" w:type="dxa"/>
              <w:left w:w="20" w:type="dxa"/>
              <w:bottom w:w="40" w:type="dxa"/>
              <w:right w:w="20" w:type="dxa"/>
            </w:tcMar>
            <w:vAlign w:val="bottom"/>
          </w:tcPr>
          <w:p w14:paraId="22CFA478"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479"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47A" w14:textId="77777777" w:rsidR="002661BA" w:rsidRDefault="00D972BC">
            <w:pPr>
              <w:jc w:val="right"/>
              <w:textAlignment w:val="bottom"/>
            </w:pPr>
            <w:r>
              <w:rPr>
                <w:rFonts w:ascii="Arial" w:eastAsia="宋体" w:hAnsi="Arial" w:cs="Arial"/>
                <w:i/>
                <w:iCs/>
                <w:color w:val="000000"/>
                <w:sz w:val="18"/>
                <w:szCs w:val="18"/>
              </w:rPr>
              <w:t>— </w:t>
            </w:r>
          </w:p>
        </w:tc>
        <w:tc>
          <w:tcPr>
            <w:tcW w:w="0" w:type="auto"/>
            <w:shd w:val="clear" w:color="auto" w:fill="FFFFFF"/>
            <w:tcMar>
              <w:top w:w="40" w:type="dxa"/>
              <w:left w:w="0" w:type="dxa"/>
              <w:bottom w:w="40" w:type="dxa"/>
              <w:right w:w="20" w:type="dxa"/>
            </w:tcMar>
            <w:vAlign w:val="bottom"/>
          </w:tcPr>
          <w:p w14:paraId="22CFA47B"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47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47D" w14:textId="77777777" w:rsidR="002661BA" w:rsidRDefault="00D972BC">
            <w:pPr>
              <w:jc w:val="right"/>
              <w:textAlignment w:val="bottom"/>
            </w:pPr>
            <w:r>
              <w:rPr>
                <w:rFonts w:ascii="Arial" w:eastAsia="宋体" w:hAnsi="Arial" w:cs="Arial"/>
                <w:i/>
                <w:iCs/>
                <w:color w:val="000000"/>
                <w:sz w:val="18"/>
                <w:szCs w:val="18"/>
              </w:rPr>
              <w:t>(3)</w:t>
            </w:r>
          </w:p>
        </w:tc>
        <w:tc>
          <w:tcPr>
            <w:tcW w:w="0" w:type="auto"/>
            <w:shd w:val="clear" w:color="auto" w:fill="FFFFFF"/>
            <w:tcMar>
              <w:top w:w="40" w:type="dxa"/>
              <w:left w:w="0" w:type="dxa"/>
              <w:bottom w:w="40" w:type="dxa"/>
              <w:right w:w="20" w:type="dxa"/>
            </w:tcMar>
            <w:vAlign w:val="bottom"/>
          </w:tcPr>
          <w:p w14:paraId="22CFA47E"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47F"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480" w14:textId="77777777" w:rsidR="002661BA" w:rsidRDefault="00D972BC">
            <w:pPr>
              <w:jc w:val="right"/>
              <w:textAlignment w:val="bottom"/>
            </w:pPr>
            <w:r>
              <w:rPr>
                <w:rFonts w:ascii="Arial" w:eastAsia="宋体" w:hAnsi="Arial" w:cs="Arial"/>
                <w:i/>
                <w:iCs/>
                <w:color w:val="000000"/>
                <w:sz w:val="18"/>
                <w:szCs w:val="18"/>
              </w:rPr>
              <w:t>6 </w:t>
            </w:r>
          </w:p>
        </w:tc>
        <w:tc>
          <w:tcPr>
            <w:tcW w:w="0" w:type="auto"/>
            <w:shd w:val="clear" w:color="auto" w:fill="FFFFFF"/>
            <w:tcMar>
              <w:top w:w="40" w:type="dxa"/>
              <w:left w:w="0" w:type="dxa"/>
              <w:bottom w:w="40" w:type="dxa"/>
              <w:right w:w="20" w:type="dxa"/>
            </w:tcMar>
            <w:vAlign w:val="bottom"/>
          </w:tcPr>
          <w:p w14:paraId="22CFA481" w14:textId="77777777" w:rsidR="002661BA" w:rsidRDefault="00D972BC">
            <w:pPr>
              <w:jc w:val="right"/>
              <w:textAlignment w:val="bottom"/>
            </w:pPr>
            <w:r>
              <w:rPr>
                <w:rFonts w:ascii="Arial" w:eastAsia="宋体" w:hAnsi="Arial" w:cs="Arial"/>
                <w:i/>
                <w:iCs/>
                <w:color w:val="000000"/>
                <w:sz w:val="18"/>
                <w:szCs w:val="18"/>
              </w:rPr>
              <w:t>%</w:t>
            </w:r>
          </w:p>
        </w:tc>
      </w:tr>
      <w:tr w:rsidR="002661BA" w14:paraId="22CFA48B" w14:textId="77777777">
        <w:tc>
          <w:tcPr>
            <w:tcW w:w="0" w:type="auto"/>
            <w:gridSpan w:val="3"/>
            <w:shd w:val="clear" w:color="auto" w:fill="E2E2E2"/>
            <w:tcMar>
              <w:top w:w="40" w:type="dxa"/>
              <w:left w:w="20" w:type="dxa"/>
              <w:bottom w:w="40" w:type="dxa"/>
              <w:right w:w="20" w:type="dxa"/>
            </w:tcMar>
            <w:vAlign w:val="bottom"/>
          </w:tcPr>
          <w:p w14:paraId="22CFA483" w14:textId="77777777" w:rsidR="002661BA" w:rsidRDefault="00D972BC">
            <w:pPr>
              <w:textAlignment w:val="bottom"/>
            </w:pPr>
            <w:r>
              <w:rPr>
                <w:rFonts w:ascii="Arial" w:eastAsia="宋体" w:hAnsi="Arial" w:cs="Arial"/>
                <w:b/>
                <w:bCs/>
                <w:color w:val="000000"/>
                <w:sz w:val="18"/>
                <w:szCs w:val="18"/>
              </w:rPr>
              <w:t>2020</w:t>
            </w:r>
          </w:p>
        </w:tc>
        <w:tc>
          <w:tcPr>
            <w:tcW w:w="0" w:type="auto"/>
            <w:gridSpan w:val="3"/>
            <w:shd w:val="clear" w:color="auto" w:fill="E2E2E2"/>
            <w:tcMar>
              <w:top w:w="0" w:type="dxa"/>
              <w:left w:w="20" w:type="dxa"/>
              <w:bottom w:w="0" w:type="dxa"/>
              <w:right w:w="20" w:type="dxa"/>
            </w:tcMar>
            <w:vAlign w:val="bottom"/>
          </w:tcPr>
          <w:p w14:paraId="22CFA484"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485"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486"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487"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488"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489"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48A" w14:textId="77777777" w:rsidR="002661BA" w:rsidRDefault="002661BA">
            <w:pPr>
              <w:rPr>
                <w:rFonts w:ascii="宋体"/>
              </w:rPr>
            </w:pPr>
          </w:p>
        </w:tc>
      </w:tr>
      <w:tr w:rsidR="002661BA" w14:paraId="22CFA49C" w14:textId="77777777">
        <w:tc>
          <w:tcPr>
            <w:tcW w:w="0" w:type="auto"/>
            <w:gridSpan w:val="3"/>
            <w:shd w:val="clear" w:color="auto" w:fill="FFFFFF"/>
            <w:tcMar>
              <w:top w:w="40" w:type="dxa"/>
              <w:left w:w="35" w:type="dxa"/>
              <w:bottom w:w="40" w:type="dxa"/>
              <w:right w:w="20" w:type="dxa"/>
            </w:tcMar>
            <w:vAlign w:val="bottom"/>
          </w:tcPr>
          <w:p w14:paraId="22CFA48C" w14:textId="77777777" w:rsidR="002661BA" w:rsidRDefault="00D972BC">
            <w:pPr>
              <w:textAlignment w:val="bottom"/>
            </w:pPr>
            <w:r>
              <w:rPr>
                <w:rFonts w:ascii="Arial" w:eastAsia="宋体" w:hAnsi="Arial" w:cs="Arial"/>
                <w:color w:val="000000"/>
                <w:sz w:val="18"/>
                <w:szCs w:val="18"/>
              </w:rPr>
              <w:t>Net revenues</w:t>
            </w:r>
          </w:p>
        </w:tc>
        <w:tc>
          <w:tcPr>
            <w:tcW w:w="0" w:type="auto"/>
            <w:shd w:val="clear" w:color="auto" w:fill="FFFFFF"/>
            <w:tcMar>
              <w:top w:w="40" w:type="dxa"/>
              <w:left w:w="20" w:type="dxa"/>
              <w:bottom w:w="40" w:type="dxa"/>
              <w:right w:w="0" w:type="dxa"/>
            </w:tcMar>
            <w:vAlign w:val="bottom"/>
          </w:tcPr>
          <w:p w14:paraId="22CFA48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48E" w14:textId="77777777" w:rsidR="002661BA" w:rsidRDefault="00D972BC">
            <w:pPr>
              <w:jc w:val="right"/>
              <w:textAlignment w:val="bottom"/>
            </w:pPr>
            <w:r>
              <w:rPr>
                <w:rFonts w:ascii="Arial" w:eastAsia="宋体" w:hAnsi="Arial" w:cs="Arial"/>
                <w:color w:val="000000"/>
                <w:sz w:val="18"/>
                <w:szCs w:val="18"/>
              </w:rPr>
              <w:t>1,821 </w:t>
            </w:r>
          </w:p>
        </w:tc>
        <w:tc>
          <w:tcPr>
            <w:tcW w:w="0" w:type="auto"/>
            <w:shd w:val="clear" w:color="auto" w:fill="FFFFFF"/>
            <w:tcMar>
              <w:top w:w="40" w:type="dxa"/>
              <w:left w:w="0" w:type="dxa"/>
              <w:bottom w:w="40" w:type="dxa"/>
              <w:right w:w="20" w:type="dxa"/>
            </w:tcMar>
            <w:vAlign w:val="bottom"/>
          </w:tcPr>
          <w:p w14:paraId="22CFA48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490"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A491"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492" w14:textId="77777777" w:rsidR="002661BA" w:rsidRDefault="00D972BC">
            <w:pPr>
              <w:jc w:val="right"/>
              <w:textAlignment w:val="bottom"/>
            </w:pPr>
            <w:r>
              <w:rPr>
                <w:rFonts w:ascii="Arial" w:eastAsia="宋体" w:hAnsi="Arial" w:cs="Arial"/>
                <w:color w:val="000000"/>
                <w:sz w:val="18"/>
                <w:szCs w:val="18"/>
              </w:rPr>
              <w:t>2,337 </w:t>
            </w:r>
          </w:p>
        </w:tc>
        <w:tc>
          <w:tcPr>
            <w:tcW w:w="0" w:type="auto"/>
            <w:shd w:val="clear" w:color="auto" w:fill="FFFFFF"/>
            <w:tcMar>
              <w:top w:w="40" w:type="dxa"/>
              <w:left w:w="0" w:type="dxa"/>
              <w:bottom w:w="40" w:type="dxa"/>
              <w:right w:w="20" w:type="dxa"/>
            </w:tcMar>
            <w:vAlign w:val="bottom"/>
          </w:tcPr>
          <w:p w14:paraId="22CFA49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494"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A495"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496" w14:textId="77777777" w:rsidR="002661BA" w:rsidRDefault="00D972BC">
            <w:pPr>
              <w:jc w:val="right"/>
              <w:textAlignment w:val="bottom"/>
            </w:pPr>
            <w:r>
              <w:rPr>
                <w:rFonts w:ascii="Arial" w:eastAsia="宋体" w:hAnsi="Arial" w:cs="Arial"/>
                <w:color w:val="000000"/>
                <w:sz w:val="18"/>
                <w:szCs w:val="18"/>
              </w:rPr>
              <w:t>2,258 </w:t>
            </w:r>
          </w:p>
        </w:tc>
        <w:tc>
          <w:tcPr>
            <w:tcW w:w="0" w:type="auto"/>
            <w:shd w:val="clear" w:color="auto" w:fill="FFFFFF"/>
            <w:tcMar>
              <w:top w:w="40" w:type="dxa"/>
              <w:left w:w="0" w:type="dxa"/>
              <w:bottom w:w="40" w:type="dxa"/>
              <w:right w:w="20" w:type="dxa"/>
            </w:tcMar>
            <w:vAlign w:val="bottom"/>
          </w:tcPr>
          <w:p w14:paraId="22CFA49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498"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A49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49A" w14:textId="77777777" w:rsidR="002661BA" w:rsidRDefault="00D972BC">
            <w:pPr>
              <w:jc w:val="right"/>
              <w:textAlignment w:val="bottom"/>
            </w:pPr>
            <w:r>
              <w:rPr>
                <w:rFonts w:ascii="Arial" w:eastAsia="宋体" w:hAnsi="Arial" w:cs="Arial"/>
                <w:color w:val="000000"/>
                <w:sz w:val="18"/>
                <w:szCs w:val="18"/>
              </w:rPr>
              <w:t>2,478 </w:t>
            </w:r>
          </w:p>
        </w:tc>
        <w:tc>
          <w:tcPr>
            <w:tcW w:w="0" w:type="auto"/>
            <w:shd w:val="clear" w:color="auto" w:fill="FFFFFF"/>
            <w:tcMar>
              <w:top w:w="40" w:type="dxa"/>
              <w:left w:w="0" w:type="dxa"/>
              <w:bottom w:w="40" w:type="dxa"/>
              <w:right w:w="20" w:type="dxa"/>
            </w:tcMar>
            <w:vAlign w:val="bottom"/>
          </w:tcPr>
          <w:p w14:paraId="22CFA49B" w14:textId="77777777" w:rsidR="002661BA" w:rsidRDefault="002661BA">
            <w:pPr>
              <w:jc w:val="right"/>
              <w:rPr>
                <w:rFonts w:ascii="宋体"/>
              </w:rPr>
            </w:pPr>
          </w:p>
        </w:tc>
      </w:tr>
      <w:tr w:rsidR="002661BA" w14:paraId="22CFA4A9" w14:textId="77777777">
        <w:tc>
          <w:tcPr>
            <w:tcW w:w="0" w:type="auto"/>
            <w:gridSpan w:val="3"/>
            <w:shd w:val="clear" w:color="auto" w:fill="E2E2E2"/>
            <w:tcMar>
              <w:top w:w="40" w:type="dxa"/>
              <w:left w:w="155" w:type="dxa"/>
              <w:bottom w:w="40" w:type="dxa"/>
              <w:right w:w="20" w:type="dxa"/>
            </w:tcMar>
            <w:vAlign w:val="bottom"/>
          </w:tcPr>
          <w:p w14:paraId="22CFA49D" w14:textId="77777777" w:rsidR="002661BA" w:rsidRDefault="00D972BC">
            <w:pPr>
              <w:textAlignment w:val="bottom"/>
            </w:pPr>
            <w:r>
              <w:rPr>
                <w:rFonts w:ascii="Arial" w:eastAsia="宋体" w:hAnsi="Arial" w:cs="Arial"/>
                <w:i/>
                <w:iCs/>
                <w:color w:val="000000"/>
                <w:sz w:val="18"/>
                <w:szCs w:val="18"/>
              </w:rPr>
              <w:t>% change from prior quarter</w:t>
            </w:r>
          </w:p>
        </w:tc>
        <w:tc>
          <w:tcPr>
            <w:tcW w:w="0" w:type="auto"/>
            <w:gridSpan w:val="2"/>
            <w:shd w:val="clear" w:color="auto" w:fill="E2E2E2"/>
            <w:tcMar>
              <w:top w:w="40" w:type="dxa"/>
              <w:left w:w="20" w:type="dxa"/>
              <w:bottom w:w="40" w:type="dxa"/>
              <w:right w:w="0" w:type="dxa"/>
            </w:tcMar>
            <w:vAlign w:val="bottom"/>
          </w:tcPr>
          <w:p w14:paraId="22CFA49E" w14:textId="77777777" w:rsidR="002661BA" w:rsidRDefault="00D972BC">
            <w:pPr>
              <w:jc w:val="right"/>
              <w:textAlignment w:val="bottom"/>
            </w:pPr>
            <w:r>
              <w:rPr>
                <w:rFonts w:ascii="Arial" w:eastAsia="宋体" w:hAnsi="Arial" w:cs="Arial"/>
                <w:i/>
                <w:iCs/>
                <w:color w:val="000000"/>
                <w:sz w:val="18"/>
                <w:szCs w:val="18"/>
              </w:rPr>
              <w:t>(4)</w:t>
            </w:r>
          </w:p>
        </w:tc>
        <w:tc>
          <w:tcPr>
            <w:tcW w:w="0" w:type="auto"/>
            <w:shd w:val="clear" w:color="auto" w:fill="E2E2E2"/>
            <w:tcMar>
              <w:top w:w="40" w:type="dxa"/>
              <w:left w:w="0" w:type="dxa"/>
              <w:bottom w:w="40" w:type="dxa"/>
              <w:right w:w="20" w:type="dxa"/>
            </w:tcMar>
            <w:vAlign w:val="bottom"/>
          </w:tcPr>
          <w:p w14:paraId="22CFA49F"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4A0"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4A1" w14:textId="77777777" w:rsidR="002661BA" w:rsidRDefault="00D972BC">
            <w:pPr>
              <w:jc w:val="right"/>
              <w:textAlignment w:val="bottom"/>
            </w:pPr>
            <w:r>
              <w:rPr>
                <w:rFonts w:ascii="Arial" w:eastAsia="宋体" w:hAnsi="Arial" w:cs="Arial"/>
                <w:i/>
                <w:iCs/>
                <w:color w:val="000000"/>
                <w:sz w:val="18"/>
                <w:szCs w:val="18"/>
              </w:rPr>
              <w:t>28 </w:t>
            </w:r>
          </w:p>
        </w:tc>
        <w:tc>
          <w:tcPr>
            <w:tcW w:w="0" w:type="auto"/>
            <w:shd w:val="clear" w:color="auto" w:fill="E2E2E2"/>
            <w:tcMar>
              <w:top w:w="40" w:type="dxa"/>
              <w:left w:w="0" w:type="dxa"/>
              <w:bottom w:w="40" w:type="dxa"/>
              <w:right w:w="20" w:type="dxa"/>
            </w:tcMar>
            <w:vAlign w:val="bottom"/>
          </w:tcPr>
          <w:p w14:paraId="22CFA4A2"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4A3"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4A4" w14:textId="77777777" w:rsidR="002661BA" w:rsidRDefault="00D972BC">
            <w:pPr>
              <w:jc w:val="right"/>
              <w:textAlignment w:val="bottom"/>
            </w:pPr>
            <w:r>
              <w:rPr>
                <w:rFonts w:ascii="Arial" w:eastAsia="宋体" w:hAnsi="Arial" w:cs="Arial"/>
                <w:i/>
                <w:iCs/>
                <w:color w:val="000000"/>
                <w:sz w:val="18"/>
                <w:szCs w:val="18"/>
              </w:rPr>
              <w:t>(3)</w:t>
            </w:r>
          </w:p>
        </w:tc>
        <w:tc>
          <w:tcPr>
            <w:tcW w:w="0" w:type="auto"/>
            <w:shd w:val="clear" w:color="auto" w:fill="E2E2E2"/>
            <w:tcMar>
              <w:top w:w="40" w:type="dxa"/>
              <w:left w:w="0" w:type="dxa"/>
              <w:bottom w:w="40" w:type="dxa"/>
              <w:right w:w="20" w:type="dxa"/>
            </w:tcMar>
            <w:vAlign w:val="bottom"/>
          </w:tcPr>
          <w:p w14:paraId="22CFA4A5"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4A6"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4A7" w14:textId="77777777" w:rsidR="002661BA" w:rsidRDefault="00D972BC">
            <w:pPr>
              <w:jc w:val="right"/>
              <w:textAlignment w:val="bottom"/>
            </w:pPr>
            <w:r>
              <w:rPr>
                <w:rFonts w:ascii="Arial" w:eastAsia="宋体" w:hAnsi="Arial" w:cs="Arial"/>
                <w:i/>
                <w:iCs/>
                <w:color w:val="000000"/>
                <w:sz w:val="18"/>
                <w:szCs w:val="18"/>
              </w:rPr>
              <w:t>10 </w:t>
            </w:r>
          </w:p>
        </w:tc>
        <w:tc>
          <w:tcPr>
            <w:tcW w:w="0" w:type="auto"/>
            <w:shd w:val="clear" w:color="auto" w:fill="E2E2E2"/>
            <w:tcMar>
              <w:top w:w="40" w:type="dxa"/>
              <w:left w:w="0" w:type="dxa"/>
              <w:bottom w:w="40" w:type="dxa"/>
              <w:right w:w="20" w:type="dxa"/>
            </w:tcMar>
            <w:vAlign w:val="bottom"/>
          </w:tcPr>
          <w:p w14:paraId="22CFA4A8" w14:textId="77777777" w:rsidR="002661BA" w:rsidRDefault="00D972BC">
            <w:pPr>
              <w:jc w:val="right"/>
              <w:textAlignment w:val="bottom"/>
            </w:pPr>
            <w:r>
              <w:rPr>
                <w:rFonts w:ascii="Arial" w:eastAsia="宋体" w:hAnsi="Arial" w:cs="Arial"/>
                <w:i/>
                <w:iCs/>
                <w:color w:val="000000"/>
                <w:sz w:val="18"/>
                <w:szCs w:val="18"/>
              </w:rPr>
              <w:t>%</w:t>
            </w:r>
          </w:p>
        </w:tc>
      </w:tr>
      <w:tr w:rsidR="002661BA" w14:paraId="22CFA4B2" w14:textId="77777777">
        <w:tc>
          <w:tcPr>
            <w:tcW w:w="0" w:type="auto"/>
            <w:gridSpan w:val="3"/>
            <w:shd w:val="clear" w:color="auto" w:fill="FFFFFF"/>
            <w:tcMar>
              <w:top w:w="40" w:type="dxa"/>
              <w:left w:w="20" w:type="dxa"/>
              <w:bottom w:w="40" w:type="dxa"/>
              <w:right w:w="20" w:type="dxa"/>
            </w:tcMar>
            <w:vAlign w:val="bottom"/>
          </w:tcPr>
          <w:p w14:paraId="22CFA4AA" w14:textId="77777777" w:rsidR="002661BA" w:rsidRDefault="00D972BC">
            <w:pPr>
              <w:textAlignment w:val="bottom"/>
            </w:pPr>
            <w:r>
              <w:rPr>
                <w:rFonts w:ascii="Arial" w:eastAsia="宋体" w:hAnsi="Arial" w:cs="Arial"/>
                <w:b/>
                <w:bCs/>
                <w:color w:val="000000"/>
                <w:sz w:val="18"/>
                <w:szCs w:val="18"/>
              </w:rPr>
              <w:t>2021</w:t>
            </w:r>
          </w:p>
        </w:tc>
        <w:tc>
          <w:tcPr>
            <w:tcW w:w="0" w:type="auto"/>
            <w:gridSpan w:val="3"/>
            <w:shd w:val="clear" w:color="auto" w:fill="FFFFFF"/>
            <w:tcMar>
              <w:top w:w="0" w:type="dxa"/>
              <w:left w:w="20" w:type="dxa"/>
              <w:bottom w:w="0" w:type="dxa"/>
              <w:right w:w="20" w:type="dxa"/>
            </w:tcMar>
            <w:vAlign w:val="bottom"/>
          </w:tcPr>
          <w:p w14:paraId="22CFA4AB"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4A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4AD"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4AE"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4AF"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4B0"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4B1" w14:textId="77777777" w:rsidR="002661BA" w:rsidRDefault="002661BA">
            <w:pPr>
              <w:rPr>
                <w:rFonts w:ascii="宋体"/>
              </w:rPr>
            </w:pPr>
          </w:p>
        </w:tc>
      </w:tr>
      <w:tr w:rsidR="002661BA" w14:paraId="22CFA4C3" w14:textId="77777777">
        <w:tc>
          <w:tcPr>
            <w:tcW w:w="0" w:type="auto"/>
            <w:gridSpan w:val="3"/>
            <w:shd w:val="clear" w:color="auto" w:fill="E2E2E2"/>
            <w:tcMar>
              <w:top w:w="40" w:type="dxa"/>
              <w:left w:w="35" w:type="dxa"/>
              <w:bottom w:w="40" w:type="dxa"/>
              <w:right w:w="20" w:type="dxa"/>
            </w:tcMar>
            <w:vAlign w:val="bottom"/>
          </w:tcPr>
          <w:p w14:paraId="22CFA4B3" w14:textId="77777777" w:rsidR="002661BA" w:rsidRDefault="00D972BC">
            <w:pPr>
              <w:textAlignment w:val="bottom"/>
            </w:pPr>
            <w:r>
              <w:rPr>
                <w:rFonts w:ascii="Arial" w:eastAsia="宋体" w:hAnsi="Arial" w:cs="Arial"/>
                <w:color w:val="000000"/>
                <w:sz w:val="18"/>
                <w:szCs w:val="18"/>
              </w:rPr>
              <w:t>Net revenues</w:t>
            </w:r>
          </w:p>
        </w:tc>
        <w:tc>
          <w:tcPr>
            <w:tcW w:w="0" w:type="auto"/>
            <w:shd w:val="clear" w:color="auto" w:fill="E2E2E2"/>
            <w:tcMar>
              <w:top w:w="40" w:type="dxa"/>
              <w:left w:w="20" w:type="dxa"/>
              <w:bottom w:w="40" w:type="dxa"/>
              <w:right w:w="0" w:type="dxa"/>
            </w:tcMar>
            <w:vAlign w:val="bottom"/>
          </w:tcPr>
          <w:p w14:paraId="22CFA4B4"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A4B5" w14:textId="77777777" w:rsidR="002661BA" w:rsidRDefault="00D972BC">
            <w:pPr>
              <w:jc w:val="right"/>
              <w:textAlignment w:val="bottom"/>
            </w:pPr>
            <w:r>
              <w:rPr>
                <w:rFonts w:ascii="Arial" w:eastAsia="宋体" w:hAnsi="Arial" w:cs="Arial"/>
                <w:color w:val="000000"/>
                <w:sz w:val="18"/>
                <w:szCs w:val="18"/>
              </w:rPr>
              <w:t>2,638 </w:t>
            </w:r>
          </w:p>
        </w:tc>
        <w:tc>
          <w:tcPr>
            <w:tcW w:w="0" w:type="auto"/>
            <w:shd w:val="clear" w:color="auto" w:fill="E2E2E2"/>
            <w:tcMar>
              <w:top w:w="40" w:type="dxa"/>
              <w:left w:w="0" w:type="dxa"/>
              <w:bottom w:w="40" w:type="dxa"/>
              <w:right w:w="20" w:type="dxa"/>
            </w:tcMar>
            <w:vAlign w:val="bottom"/>
          </w:tcPr>
          <w:p w14:paraId="22CFA4B6"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4B7"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A4B8"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A4B9" w14:textId="77777777" w:rsidR="002661BA" w:rsidRDefault="00D972BC">
            <w:pPr>
              <w:jc w:val="right"/>
              <w:textAlignment w:val="bottom"/>
            </w:pPr>
            <w:r>
              <w:rPr>
                <w:rFonts w:ascii="Arial" w:eastAsia="宋体" w:hAnsi="Arial" w:cs="Arial"/>
                <w:color w:val="000000"/>
                <w:sz w:val="18"/>
                <w:szCs w:val="18"/>
              </w:rPr>
              <w:t>2,668 </w:t>
            </w:r>
          </w:p>
        </w:tc>
        <w:tc>
          <w:tcPr>
            <w:tcW w:w="0" w:type="auto"/>
            <w:shd w:val="clear" w:color="auto" w:fill="E2E2E2"/>
            <w:tcMar>
              <w:top w:w="40" w:type="dxa"/>
              <w:left w:w="0" w:type="dxa"/>
              <w:bottom w:w="40" w:type="dxa"/>
              <w:right w:w="20" w:type="dxa"/>
            </w:tcMar>
            <w:vAlign w:val="bottom"/>
          </w:tcPr>
          <w:p w14:paraId="22CFA4B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4BB"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A4B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A4BD" w14:textId="77777777" w:rsidR="002661BA" w:rsidRDefault="00D972BC">
            <w:pPr>
              <w:jc w:val="right"/>
              <w:textAlignment w:val="bottom"/>
            </w:pPr>
            <w:r>
              <w:rPr>
                <w:rFonts w:ascii="Arial" w:eastAsia="宋体" w:hAnsi="Arial" w:cs="Arial"/>
                <w:color w:val="000000"/>
                <w:sz w:val="18"/>
                <w:szCs w:val="18"/>
              </w:rPr>
              <w:t>2,501 </w:t>
            </w:r>
          </w:p>
        </w:tc>
        <w:tc>
          <w:tcPr>
            <w:tcW w:w="0" w:type="auto"/>
            <w:shd w:val="clear" w:color="auto" w:fill="E2E2E2"/>
            <w:tcMar>
              <w:top w:w="40" w:type="dxa"/>
              <w:left w:w="0" w:type="dxa"/>
              <w:bottom w:w="40" w:type="dxa"/>
              <w:right w:w="20" w:type="dxa"/>
            </w:tcMar>
            <w:vAlign w:val="bottom"/>
          </w:tcPr>
          <w:p w14:paraId="22CFA4B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4BF"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A4C0"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A4C1" w14:textId="77777777" w:rsidR="002661BA" w:rsidRDefault="00D972BC">
            <w:pPr>
              <w:jc w:val="right"/>
              <w:textAlignment w:val="bottom"/>
            </w:pPr>
            <w:r>
              <w:rPr>
                <w:rFonts w:ascii="Arial" w:eastAsia="宋体" w:hAnsi="Arial" w:cs="Arial"/>
                <w:color w:val="000000"/>
                <w:sz w:val="18"/>
                <w:szCs w:val="18"/>
              </w:rPr>
              <w:t>2,613 </w:t>
            </w:r>
          </w:p>
        </w:tc>
        <w:tc>
          <w:tcPr>
            <w:tcW w:w="0" w:type="auto"/>
            <w:shd w:val="clear" w:color="auto" w:fill="E2E2E2"/>
            <w:tcMar>
              <w:top w:w="40" w:type="dxa"/>
              <w:left w:w="0" w:type="dxa"/>
              <w:bottom w:w="40" w:type="dxa"/>
              <w:right w:w="20" w:type="dxa"/>
            </w:tcMar>
            <w:vAlign w:val="bottom"/>
          </w:tcPr>
          <w:p w14:paraId="22CFA4C2" w14:textId="77777777" w:rsidR="002661BA" w:rsidRDefault="002661BA">
            <w:pPr>
              <w:jc w:val="right"/>
              <w:rPr>
                <w:rFonts w:ascii="宋体"/>
              </w:rPr>
            </w:pPr>
          </w:p>
        </w:tc>
      </w:tr>
      <w:tr w:rsidR="002661BA" w14:paraId="22CFA4D0" w14:textId="77777777">
        <w:tc>
          <w:tcPr>
            <w:tcW w:w="0" w:type="auto"/>
            <w:gridSpan w:val="3"/>
            <w:shd w:val="clear" w:color="auto" w:fill="FFFFFF"/>
            <w:tcMar>
              <w:top w:w="40" w:type="dxa"/>
              <w:left w:w="155" w:type="dxa"/>
              <w:bottom w:w="40" w:type="dxa"/>
              <w:right w:w="20" w:type="dxa"/>
            </w:tcMar>
            <w:vAlign w:val="bottom"/>
          </w:tcPr>
          <w:p w14:paraId="22CFA4C4" w14:textId="77777777" w:rsidR="002661BA" w:rsidRDefault="00D972BC">
            <w:pPr>
              <w:textAlignment w:val="bottom"/>
            </w:pPr>
            <w:r>
              <w:rPr>
                <w:rFonts w:ascii="Arial" w:eastAsia="宋体" w:hAnsi="Arial" w:cs="Arial"/>
                <w:i/>
                <w:iCs/>
                <w:color w:val="000000"/>
                <w:sz w:val="18"/>
                <w:szCs w:val="18"/>
              </w:rPr>
              <w:t>% change from prior quarter</w:t>
            </w:r>
          </w:p>
        </w:tc>
        <w:tc>
          <w:tcPr>
            <w:tcW w:w="0" w:type="auto"/>
            <w:gridSpan w:val="2"/>
            <w:shd w:val="clear" w:color="auto" w:fill="FFFFFF"/>
            <w:tcMar>
              <w:top w:w="40" w:type="dxa"/>
              <w:left w:w="20" w:type="dxa"/>
              <w:bottom w:w="40" w:type="dxa"/>
              <w:right w:w="0" w:type="dxa"/>
            </w:tcMar>
            <w:vAlign w:val="bottom"/>
          </w:tcPr>
          <w:p w14:paraId="22CFA4C5" w14:textId="77777777" w:rsidR="002661BA" w:rsidRDefault="00D972BC">
            <w:pPr>
              <w:jc w:val="right"/>
              <w:textAlignment w:val="bottom"/>
            </w:pPr>
            <w:r>
              <w:rPr>
                <w:rFonts w:ascii="Arial" w:eastAsia="宋体" w:hAnsi="Arial" w:cs="Arial"/>
                <w:i/>
                <w:iCs/>
                <w:color w:val="000000"/>
                <w:sz w:val="18"/>
                <w:szCs w:val="18"/>
              </w:rPr>
              <w:t>6 </w:t>
            </w:r>
          </w:p>
        </w:tc>
        <w:tc>
          <w:tcPr>
            <w:tcW w:w="0" w:type="auto"/>
            <w:shd w:val="clear" w:color="auto" w:fill="FFFFFF"/>
            <w:tcMar>
              <w:top w:w="40" w:type="dxa"/>
              <w:left w:w="0" w:type="dxa"/>
              <w:bottom w:w="40" w:type="dxa"/>
              <w:right w:w="20" w:type="dxa"/>
            </w:tcMar>
            <w:vAlign w:val="bottom"/>
          </w:tcPr>
          <w:p w14:paraId="22CFA4C6"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4C7"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4C8" w14:textId="77777777" w:rsidR="002661BA" w:rsidRDefault="00D972BC">
            <w:pPr>
              <w:jc w:val="right"/>
              <w:textAlignment w:val="bottom"/>
            </w:pPr>
            <w:r>
              <w:rPr>
                <w:rFonts w:ascii="Arial" w:eastAsia="宋体" w:hAnsi="Arial" w:cs="Arial"/>
                <w:i/>
                <w:iCs/>
                <w:color w:val="000000"/>
                <w:sz w:val="18"/>
                <w:szCs w:val="18"/>
              </w:rPr>
              <w:t>1 </w:t>
            </w:r>
          </w:p>
        </w:tc>
        <w:tc>
          <w:tcPr>
            <w:tcW w:w="0" w:type="auto"/>
            <w:shd w:val="clear" w:color="auto" w:fill="FFFFFF"/>
            <w:tcMar>
              <w:top w:w="40" w:type="dxa"/>
              <w:left w:w="0" w:type="dxa"/>
              <w:bottom w:w="40" w:type="dxa"/>
              <w:right w:w="20" w:type="dxa"/>
            </w:tcMar>
            <w:vAlign w:val="bottom"/>
          </w:tcPr>
          <w:p w14:paraId="22CFA4C9"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4C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4CB" w14:textId="77777777" w:rsidR="002661BA" w:rsidRDefault="00D972BC">
            <w:pPr>
              <w:jc w:val="right"/>
              <w:textAlignment w:val="bottom"/>
            </w:pPr>
            <w:r>
              <w:rPr>
                <w:rFonts w:ascii="Arial" w:eastAsia="宋体" w:hAnsi="Arial" w:cs="Arial"/>
                <w:i/>
                <w:iCs/>
                <w:color w:val="000000"/>
                <w:sz w:val="18"/>
                <w:szCs w:val="18"/>
              </w:rPr>
              <w:t>(6)</w:t>
            </w:r>
          </w:p>
        </w:tc>
        <w:tc>
          <w:tcPr>
            <w:tcW w:w="0" w:type="auto"/>
            <w:shd w:val="clear" w:color="auto" w:fill="FFFFFF"/>
            <w:tcMar>
              <w:top w:w="40" w:type="dxa"/>
              <w:left w:w="0" w:type="dxa"/>
              <w:bottom w:w="40" w:type="dxa"/>
              <w:right w:w="20" w:type="dxa"/>
            </w:tcMar>
            <w:vAlign w:val="bottom"/>
          </w:tcPr>
          <w:p w14:paraId="22CFA4CC"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4C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4CE" w14:textId="77777777" w:rsidR="002661BA" w:rsidRDefault="00D972BC">
            <w:pPr>
              <w:jc w:val="right"/>
              <w:textAlignment w:val="bottom"/>
            </w:pPr>
            <w:r>
              <w:rPr>
                <w:rFonts w:ascii="Arial" w:eastAsia="宋体" w:hAnsi="Arial" w:cs="Arial"/>
                <w:i/>
                <w:iCs/>
                <w:color w:val="000000"/>
                <w:sz w:val="18"/>
                <w:szCs w:val="18"/>
              </w:rPr>
              <w:t>4 </w:t>
            </w:r>
          </w:p>
        </w:tc>
        <w:tc>
          <w:tcPr>
            <w:tcW w:w="0" w:type="auto"/>
            <w:shd w:val="clear" w:color="auto" w:fill="FFFFFF"/>
            <w:tcMar>
              <w:top w:w="40" w:type="dxa"/>
              <w:left w:w="0" w:type="dxa"/>
              <w:bottom w:w="40" w:type="dxa"/>
              <w:right w:w="20" w:type="dxa"/>
            </w:tcMar>
            <w:vAlign w:val="bottom"/>
          </w:tcPr>
          <w:p w14:paraId="22CFA4CF" w14:textId="77777777" w:rsidR="002661BA" w:rsidRDefault="00D972BC">
            <w:pPr>
              <w:jc w:val="right"/>
              <w:textAlignment w:val="bottom"/>
            </w:pPr>
            <w:r>
              <w:rPr>
                <w:rFonts w:ascii="Arial" w:eastAsia="宋体" w:hAnsi="Arial" w:cs="Arial"/>
                <w:i/>
                <w:iCs/>
                <w:color w:val="000000"/>
                <w:sz w:val="18"/>
                <w:szCs w:val="18"/>
              </w:rPr>
              <w:t>%</w:t>
            </w:r>
          </w:p>
        </w:tc>
      </w:tr>
    </w:tbl>
    <w:p w14:paraId="22CFA4D1" w14:textId="77777777" w:rsidR="002661BA" w:rsidRDefault="00D972BC">
      <w:pPr>
        <w:jc w:val="both"/>
      </w:pPr>
      <w:r>
        <w:rPr>
          <w:rFonts w:ascii="Arial" w:eastAsia="宋体" w:hAnsi="Arial" w:cs="Arial"/>
          <w:color w:val="000000"/>
          <w:sz w:val="16"/>
          <w:szCs w:val="16"/>
        </w:rPr>
        <w:t>** Growth for the period excluded as 2018 revenue numbers have not been recast and provided.</w:t>
      </w:r>
    </w:p>
    <w:p w14:paraId="22CFA4D2" w14:textId="77777777" w:rsidR="002661BA" w:rsidRDefault="002661BA">
      <w:pPr>
        <w:ind w:firstLine="270"/>
        <w:jc w:val="both"/>
      </w:pPr>
    </w:p>
    <w:p w14:paraId="22CFA4D3" w14:textId="77777777" w:rsidR="002661BA" w:rsidRDefault="00D972BC">
      <w:pPr>
        <w:ind w:firstLine="270"/>
        <w:jc w:val="both"/>
      </w:pPr>
      <w:r>
        <w:rPr>
          <w:rFonts w:ascii="Arial" w:eastAsia="宋体" w:hAnsi="Arial" w:cs="Arial"/>
          <w:b/>
          <w:bCs/>
          <w:i/>
          <w:iCs/>
          <w:color w:val="000000"/>
          <w:sz w:val="20"/>
          <w:szCs w:val="20"/>
        </w:rPr>
        <w:t>Net Revenues by Geography</w:t>
      </w:r>
    </w:p>
    <w:p w14:paraId="22CFA4D4" w14:textId="77777777" w:rsidR="002661BA" w:rsidRDefault="002661BA">
      <w:pPr>
        <w:ind w:firstLine="540"/>
        <w:jc w:val="both"/>
      </w:pPr>
    </w:p>
    <w:p w14:paraId="22CFA4D5" w14:textId="77777777" w:rsidR="002661BA" w:rsidRDefault="00D972BC">
      <w:pPr>
        <w:spacing w:after="120"/>
        <w:ind w:firstLine="540"/>
        <w:jc w:val="both"/>
      </w:pPr>
      <w:r>
        <w:rPr>
          <w:rFonts w:ascii="Arial" w:eastAsia="宋体" w:hAnsi="Arial" w:cs="Arial"/>
          <w:color w:val="000000"/>
          <w:sz w:val="20"/>
          <w:szCs w:val="20"/>
        </w:rPr>
        <w:t>Revenues are attributed to U.S. and international geographies primarily based upon the country in which the s</w:t>
      </w:r>
      <w:r>
        <w:rPr>
          <w:rFonts w:ascii="Arial" w:eastAsia="宋体" w:hAnsi="Arial" w:cs="Arial"/>
          <w:color w:val="000000"/>
          <w:sz w:val="20"/>
          <w:szCs w:val="20"/>
        </w:rPr>
        <w:t>eller, platform that displays advertising, other service provider or customer, as the case may be, is located. The following table presents net revenues by geography for the periods 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9"/>
        <w:gridCol w:w="3527"/>
        <w:gridCol w:w="37"/>
        <w:gridCol w:w="121"/>
        <w:gridCol w:w="601"/>
        <w:gridCol w:w="181"/>
        <w:gridCol w:w="37"/>
        <w:gridCol w:w="92"/>
        <w:gridCol w:w="36"/>
        <w:gridCol w:w="68"/>
        <w:gridCol w:w="590"/>
        <w:gridCol w:w="181"/>
        <w:gridCol w:w="36"/>
        <w:gridCol w:w="36"/>
        <w:gridCol w:w="36"/>
        <w:gridCol w:w="121"/>
        <w:gridCol w:w="501"/>
        <w:gridCol w:w="181"/>
        <w:gridCol w:w="37"/>
        <w:gridCol w:w="92"/>
        <w:gridCol w:w="36"/>
        <w:gridCol w:w="68"/>
        <w:gridCol w:w="590"/>
        <w:gridCol w:w="181"/>
        <w:gridCol w:w="36"/>
        <w:gridCol w:w="36"/>
        <w:gridCol w:w="36"/>
        <w:gridCol w:w="121"/>
        <w:gridCol w:w="501"/>
        <w:gridCol w:w="181"/>
      </w:tblGrid>
      <w:tr w:rsidR="002661BA" w14:paraId="22CFA4F4" w14:textId="77777777">
        <w:tc>
          <w:tcPr>
            <w:tcW w:w="50" w:type="pct"/>
            <w:shd w:val="clear" w:color="auto" w:fill="auto"/>
            <w:vAlign w:val="bottom"/>
          </w:tcPr>
          <w:p w14:paraId="22CFA4D6" w14:textId="77777777" w:rsidR="002661BA" w:rsidRDefault="002661BA">
            <w:pPr>
              <w:rPr>
                <w:rFonts w:ascii="宋体"/>
              </w:rPr>
            </w:pPr>
          </w:p>
        </w:tc>
        <w:tc>
          <w:tcPr>
            <w:tcW w:w="2379" w:type="pct"/>
            <w:shd w:val="clear" w:color="auto" w:fill="auto"/>
            <w:vAlign w:val="bottom"/>
          </w:tcPr>
          <w:p w14:paraId="22CFA4D7" w14:textId="77777777" w:rsidR="002661BA" w:rsidRDefault="002661BA">
            <w:pPr>
              <w:rPr>
                <w:rFonts w:ascii="宋体"/>
              </w:rPr>
            </w:pPr>
          </w:p>
        </w:tc>
        <w:tc>
          <w:tcPr>
            <w:tcW w:w="5" w:type="pct"/>
            <w:shd w:val="clear" w:color="auto" w:fill="auto"/>
            <w:vAlign w:val="bottom"/>
          </w:tcPr>
          <w:p w14:paraId="22CFA4D8" w14:textId="77777777" w:rsidR="002661BA" w:rsidRDefault="002661BA">
            <w:pPr>
              <w:rPr>
                <w:rFonts w:ascii="宋体"/>
              </w:rPr>
            </w:pPr>
          </w:p>
        </w:tc>
        <w:tc>
          <w:tcPr>
            <w:tcW w:w="50" w:type="pct"/>
            <w:shd w:val="clear" w:color="auto" w:fill="auto"/>
            <w:vAlign w:val="bottom"/>
          </w:tcPr>
          <w:p w14:paraId="22CFA4D9" w14:textId="77777777" w:rsidR="002661BA" w:rsidRDefault="002661BA">
            <w:pPr>
              <w:rPr>
                <w:rFonts w:ascii="宋体"/>
              </w:rPr>
            </w:pPr>
          </w:p>
        </w:tc>
        <w:tc>
          <w:tcPr>
            <w:tcW w:w="434" w:type="pct"/>
            <w:shd w:val="clear" w:color="auto" w:fill="auto"/>
            <w:vAlign w:val="bottom"/>
          </w:tcPr>
          <w:p w14:paraId="22CFA4DA" w14:textId="77777777" w:rsidR="002661BA" w:rsidRDefault="002661BA">
            <w:pPr>
              <w:rPr>
                <w:rFonts w:ascii="宋体"/>
              </w:rPr>
            </w:pPr>
          </w:p>
        </w:tc>
        <w:tc>
          <w:tcPr>
            <w:tcW w:w="5" w:type="pct"/>
            <w:shd w:val="clear" w:color="auto" w:fill="auto"/>
            <w:vAlign w:val="bottom"/>
          </w:tcPr>
          <w:p w14:paraId="22CFA4DB" w14:textId="77777777" w:rsidR="002661BA" w:rsidRDefault="002661BA">
            <w:pPr>
              <w:rPr>
                <w:rFonts w:ascii="宋体"/>
              </w:rPr>
            </w:pPr>
          </w:p>
        </w:tc>
        <w:tc>
          <w:tcPr>
            <w:tcW w:w="5" w:type="pct"/>
            <w:shd w:val="clear" w:color="auto" w:fill="auto"/>
            <w:vAlign w:val="bottom"/>
          </w:tcPr>
          <w:p w14:paraId="22CFA4DC" w14:textId="77777777" w:rsidR="002661BA" w:rsidRDefault="002661BA">
            <w:pPr>
              <w:rPr>
                <w:rFonts w:ascii="宋体"/>
              </w:rPr>
            </w:pPr>
          </w:p>
        </w:tc>
        <w:tc>
          <w:tcPr>
            <w:tcW w:w="19" w:type="pct"/>
            <w:shd w:val="clear" w:color="auto" w:fill="auto"/>
            <w:vAlign w:val="bottom"/>
          </w:tcPr>
          <w:p w14:paraId="22CFA4DD" w14:textId="77777777" w:rsidR="002661BA" w:rsidRDefault="002661BA">
            <w:pPr>
              <w:rPr>
                <w:rFonts w:ascii="宋体"/>
              </w:rPr>
            </w:pPr>
          </w:p>
        </w:tc>
        <w:tc>
          <w:tcPr>
            <w:tcW w:w="5" w:type="pct"/>
            <w:shd w:val="clear" w:color="auto" w:fill="auto"/>
            <w:vAlign w:val="bottom"/>
          </w:tcPr>
          <w:p w14:paraId="22CFA4DE" w14:textId="77777777" w:rsidR="002661BA" w:rsidRDefault="002661BA">
            <w:pPr>
              <w:rPr>
                <w:rFonts w:ascii="宋体"/>
              </w:rPr>
            </w:pPr>
          </w:p>
        </w:tc>
        <w:tc>
          <w:tcPr>
            <w:tcW w:w="50" w:type="pct"/>
            <w:shd w:val="clear" w:color="auto" w:fill="auto"/>
            <w:vAlign w:val="bottom"/>
          </w:tcPr>
          <w:p w14:paraId="22CFA4DF" w14:textId="77777777" w:rsidR="002661BA" w:rsidRDefault="002661BA">
            <w:pPr>
              <w:rPr>
                <w:rFonts w:ascii="宋体"/>
              </w:rPr>
            </w:pPr>
          </w:p>
        </w:tc>
        <w:tc>
          <w:tcPr>
            <w:tcW w:w="434" w:type="pct"/>
            <w:shd w:val="clear" w:color="auto" w:fill="auto"/>
            <w:vAlign w:val="bottom"/>
          </w:tcPr>
          <w:p w14:paraId="22CFA4E0" w14:textId="77777777" w:rsidR="002661BA" w:rsidRDefault="002661BA">
            <w:pPr>
              <w:rPr>
                <w:rFonts w:ascii="宋体"/>
              </w:rPr>
            </w:pPr>
          </w:p>
        </w:tc>
        <w:tc>
          <w:tcPr>
            <w:tcW w:w="5" w:type="pct"/>
            <w:shd w:val="clear" w:color="auto" w:fill="auto"/>
            <w:vAlign w:val="bottom"/>
          </w:tcPr>
          <w:p w14:paraId="22CFA4E1" w14:textId="77777777" w:rsidR="002661BA" w:rsidRDefault="002661BA">
            <w:pPr>
              <w:rPr>
                <w:rFonts w:ascii="宋体"/>
              </w:rPr>
            </w:pPr>
          </w:p>
        </w:tc>
        <w:tc>
          <w:tcPr>
            <w:tcW w:w="5" w:type="pct"/>
            <w:shd w:val="clear" w:color="auto" w:fill="auto"/>
            <w:vAlign w:val="bottom"/>
          </w:tcPr>
          <w:p w14:paraId="22CFA4E2" w14:textId="77777777" w:rsidR="002661BA" w:rsidRDefault="002661BA">
            <w:pPr>
              <w:rPr>
                <w:rFonts w:ascii="宋体"/>
              </w:rPr>
            </w:pPr>
          </w:p>
        </w:tc>
        <w:tc>
          <w:tcPr>
            <w:tcW w:w="19" w:type="pct"/>
            <w:shd w:val="clear" w:color="auto" w:fill="auto"/>
            <w:vAlign w:val="bottom"/>
          </w:tcPr>
          <w:p w14:paraId="22CFA4E3" w14:textId="77777777" w:rsidR="002661BA" w:rsidRDefault="002661BA">
            <w:pPr>
              <w:rPr>
                <w:rFonts w:ascii="宋体"/>
              </w:rPr>
            </w:pPr>
          </w:p>
        </w:tc>
        <w:tc>
          <w:tcPr>
            <w:tcW w:w="5" w:type="pct"/>
            <w:shd w:val="clear" w:color="auto" w:fill="auto"/>
            <w:vAlign w:val="bottom"/>
          </w:tcPr>
          <w:p w14:paraId="22CFA4E4" w14:textId="77777777" w:rsidR="002661BA" w:rsidRDefault="002661BA">
            <w:pPr>
              <w:rPr>
                <w:rFonts w:ascii="宋体"/>
              </w:rPr>
            </w:pPr>
          </w:p>
        </w:tc>
        <w:tc>
          <w:tcPr>
            <w:tcW w:w="50" w:type="pct"/>
            <w:shd w:val="clear" w:color="auto" w:fill="auto"/>
            <w:vAlign w:val="bottom"/>
          </w:tcPr>
          <w:p w14:paraId="22CFA4E5" w14:textId="77777777" w:rsidR="002661BA" w:rsidRDefault="002661BA">
            <w:pPr>
              <w:rPr>
                <w:rFonts w:ascii="宋体"/>
              </w:rPr>
            </w:pPr>
          </w:p>
        </w:tc>
        <w:tc>
          <w:tcPr>
            <w:tcW w:w="434" w:type="pct"/>
            <w:shd w:val="clear" w:color="auto" w:fill="auto"/>
            <w:vAlign w:val="bottom"/>
          </w:tcPr>
          <w:p w14:paraId="22CFA4E6" w14:textId="77777777" w:rsidR="002661BA" w:rsidRDefault="002661BA">
            <w:pPr>
              <w:rPr>
                <w:rFonts w:ascii="宋体"/>
              </w:rPr>
            </w:pPr>
          </w:p>
        </w:tc>
        <w:tc>
          <w:tcPr>
            <w:tcW w:w="5" w:type="pct"/>
            <w:shd w:val="clear" w:color="auto" w:fill="auto"/>
            <w:vAlign w:val="bottom"/>
          </w:tcPr>
          <w:p w14:paraId="22CFA4E7" w14:textId="77777777" w:rsidR="002661BA" w:rsidRDefault="002661BA">
            <w:pPr>
              <w:rPr>
                <w:rFonts w:ascii="宋体"/>
              </w:rPr>
            </w:pPr>
          </w:p>
        </w:tc>
        <w:tc>
          <w:tcPr>
            <w:tcW w:w="5" w:type="pct"/>
            <w:shd w:val="clear" w:color="auto" w:fill="auto"/>
            <w:vAlign w:val="bottom"/>
          </w:tcPr>
          <w:p w14:paraId="22CFA4E8" w14:textId="77777777" w:rsidR="002661BA" w:rsidRDefault="002661BA">
            <w:pPr>
              <w:rPr>
                <w:rFonts w:ascii="宋体"/>
              </w:rPr>
            </w:pPr>
          </w:p>
        </w:tc>
        <w:tc>
          <w:tcPr>
            <w:tcW w:w="19" w:type="pct"/>
            <w:shd w:val="clear" w:color="auto" w:fill="auto"/>
            <w:vAlign w:val="bottom"/>
          </w:tcPr>
          <w:p w14:paraId="22CFA4E9" w14:textId="77777777" w:rsidR="002661BA" w:rsidRDefault="002661BA">
            <w:pPr>
              <w:rPr>
                <w:rFonts w:ascii="宋体"/>
              </w:rPr>
            </w:pPr>
          </w:p>
        </w:tc>
        <w:tc>
          <w:tcPr>
            <w:tcW w:w="5" w:type="pct"/>
            <w:shd w:val="clear" w:color="auto" w:fill="auto"/>
            <w:vAlign w:val="bottom"/>
          </w:tcPr>
          <w:p w14:paraId="22CFA4EA" w14:textId="77777777" w:rsidR="002661BA" w:rsidRDefault="002661BA">
            <w:pPr>
              <w:rPr>
                <w:rFonts w:ascii="宋体"/>
              </w:rPr>
            </w:pPr>
          </w:p>
        </w:tc>
        <w:tc>
          <w:tcPr>
            <w:tcW w:w="50" w:type="pct"/>
            <w:shd w:val="clear" w:color="auto" w:fill="auto"/>
            <w:vAlign w:val="bottom"/>
          </w:tcPr>
          <w:p w14:paraId="22CFA4EB" w14:textId="77777777" w:rsidR="002661BA" w:rsidRDefault="002661BA">
            <w:pPr>
              <w:rPr>
                <w:rFonts w:ascii="宋体"/>
              </w:rPr>
            </w:pPr>
          </w:p>
        </w:tc>
        <w:tc>
          <w:tcPr>
            <w:tcW w:w="434" w:type="pct"/>
            <w:shd w:val="clear" w:color="auto" w:fill="auto"/>
            <w:vAlign w:val="bottom"/>
          </w:tcPr>
          <w:p w14:paraId="22CFA4EC" w14:textId="77777777" w:rsidR="002661BA" w:rsidRDefault="002661BA">
            <w:pPr>
              <w:rPr>
                <w:rFonts w:ascii="宋体"/>
              </w:rPr>
            </w:pPr>
          </w:p>
        </w:tc>
        <w:tc>
          <w:tcPr>
            <w:tcW w:w="5" w:type="pct"/>
            <w:shd w:val="clear" w:color="auto" w:fill="auto"/>
            <w:vAlign w:val="bottom"/>
          </w:tcPr>
          <w:p w14:paraId="22CFA4ED" w14:textId="77777777" w:rsidR="002661BA" w:rsidRDefault="002661BA">
            <w:pPr>
              <w:rPr>
                <w:rFonts w:ascii="宋体"/>
              </w:rPr>
            </w:pPr>
          </w:p>
        </w:tc>
        <w:tc>
          <w:tcPr>
            <w:tcW w:w="5" w:type="pct"/>
            <w:shd w:val="clear" w:color="auto" w:fill="auto"/>
            <w:vAlign w:val="bottom"/>
          </w:tcPr>
          <w:p w14:paraId="22CFA4EE" w14:textId="77777777" w:rsidR="002661BA" w:rsidRDefault="002661BA">
            <w:pPr>
              <w:rPr>
                <w:rFonts w:ascii="宋体"/>
              </w:rPr>
            </w:pPr>
          </w:p>
        </w:tc>
        <w:tc>
          <w:tcPr>
            <w:tcW w:w="19" w:type="pct"/>
            <w:shd w:val="clear" w:color="auto" w:fill="auto"/>
            <w:vAlign w:val="bottom"/>
          </w:tcPr>
          <w:p w14:paraId="22CFA4EF" w14:textId="77777777" w:rsidR="002661BA" w:rsidRDefault="002661BA">
            <w:pPr>
              <w:rPr>
                <w:rFonts w:ascii="宋体"/>
              </w:rPr>
            </w:pPr>
          </w:p>
        </w:tc>
        <w:tc>
          <w:tcPr>
            <w:tcW w:w="5" w:type="pct"/>
            <w:shd w:val="clear" w:color="auto" w:fill="auto"/>
            <w:vAlign w:val="bottom"/>
          </w:tcPr>
          <w:p w14:paraId="22CFA4F0" w14:textId="77777777" w:rsidR="002661BA" w:rsidRDefault="002661BA">
            <w:pPr>
              <w:rPr>
                <w:rFonts w:ascii="宋体"/>
              </w:rPr>
            </w:pPr>
          </w:p>
        </w:tc>
        <w:tc>
          <w:tcPr>
            <w:tcW w:w="50" w:type="pct"/>
            <w:shd w:val="clear" w:color="auto" w:fill="auto"/>
            <w:vAlign w:val="bottom"/>
          </w:tcPr>
          <w:p w14:paraId="22CFA4F1" w14:textId="77777777" w:rsidR="002661BA" w:rsidRDefault="002661BA">
            <w:pPr>
              <w:rPr>
                <w:rFonts w:ascii="宋体"/>
              </w:rPr>
            </w:pPr>
          </w:p>
        </w:tc>
        <w:tc>
          <w:tcPr>
            <w:tcW w:w="434" w:type="pct"/>
            <w:shd w:val="clear" w:color="auto" w:fill="auto"/>
            <w:vAlign w:val="bottom"/>
          </w:tcPr>
          <w:p w14:paraId="22CFA4F2" w14:textId="77777777" w:rsidR="002661BA" w:rsidRDefault="002661BA">
            <w:pPr>
              <w:rPr>
                <w:rFonts w:ascii="宋体"/>
              </w:rPr>
            </w:pPr>
          </w:p>
        </w:tc>
        <w:tc>
          <w:tcPr>
            <w:tcW w:w="5" w:type="pct"/>
            <w:shd w:val="clear" w:color="auto" w:fill="auto"/>
            <w:vAlign w:val="bottom"/>
          </w:tcPr>
          <w:p w14:paraId="22CFA4F3" w14:textId="77777777" w:rsidR="002661BA" w:rsidRDefault="002661BA">
            <w:pPr>
              <w:rPr>
                <w:rFonts w:ascii="宋体"/>
              </w:rPr>
            </w:pPr>
          </w:p>
        </w:tc>
      </w:tr>
      <w:tr w:rsidR="002661BA" w14:paraId="22CFA4F7" w14:textId="77777777">
        <w:tc>
          <w:tcPr>
            <w:tcW w:w="0" w:type="auto"/>
            <w:gridSpan w:val="3"/>
            <w:shd w:val="clear" w:color="auto" w:fill="auto"/>
            <w:tcMar>
              <w:top w:w="40" w:type="dxa"/>
              <w:left w:w="380" w:type="dxa"/>
              <w:bottom w:w="40" w:type="dxa"/>
              <w:right w:w="20" w:type="dxa"/>
            </w:tcMar>
            <w:vAlign w:val="bottom"/>
          </w:tcPr>
          <w:p w14:paraId="22CFA4F5" w14:textId="77777777" w:rsidR="002661BA" w:rsidRDefault="00D972BC">
            <w:pPr>
              <w:textAlignment w:val="bottom"/>
            </w:pPr>
            <w:r>
              <w:rPr>
                <w:rFonts w:ascii="Arial" w:eastAsia="宋体" w:hAnsi="Arial" w:cs="Arial"/>
                <w:color w:val="000000"/>
                <w:sz w:val="16"/>
                <w:szCs w:val="16"/>
              </w:rPr>
              <w:t> </w:t>
            </w:r>
          </w:p>
        </w:tc>
        <w:tc>
          <w:tcPr>
            <w:tcW w:w="0" w:type="auto"/>
            <w:gridSpan w:val="27"/>
            <w:shd w:val="clear" w:color="auto" w:fill="auto"/>
            <w:tcMar>
              <w:top w:w="40" w:type="dxa"/>
              <w:left w:w="20" w:type="dxa"/>
              <w:bottom w:w="40" w:type="dxa"/>
              <w:right w:w="20" w:type="dxa"/>
            </w:tcMar>
            <w:vAlign w:val="bottom"/>
          </w:tcPr>
          <w:p w14:paraId="22CFA4F6"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A502" w14:textId="77777777">
        <w:tc>
          <w:tcPr>
            <w:tcW w:w="0" w:type="auto"/>
            <w:gridSpan w:val="3"/>
            <w:shd w:val="clear" w:color="auto" w:fill="auto"/>
            <w:tcMar>
              <w:top w:w="40" w:type="dxa"/>
              <w:left w:w="20" w:type="dxa"/>
              <w:bottom w:w="40" w:type="dxa"/>
              <w:right w:w="20" w:type="dxa"/>
            </w:tcMar>
            <w:vAlign w:val="bottom"/>
          </w:tcPr>
          <w:p w14:paraId="22CFA4F8" w14:textId="77777777" w:rsidR="002661BA" w:rsidRDefault="00D972BC">
            <w:pPr>
              <w:jc w:val="cente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4F9"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4FA"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4FB" w14:textId="77777777" w:rsidR="002661BA" w:rsidRDefault="00D972BC">
            <w:pPr>
              <w:jc w:val="center"/>
              <w:textAlignment w:val="bottom"/>
            </w:pPr>
            <w:r>
              <w:rPr>
                <w:rFonts w:ascii="Arial" w:eastAsia="宋体" w:hAnsi="Arial" w:cs="Arial"/>
                <w:b/>
                <w:bCs/>
                <w:color w:val="000000"/>
                <w:sz w:val="17"/>
                <w:szCs w:val="17"/>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4FC"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4FD"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4FE"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4FF" w14:textId="77777777" w:rsidR="002661BA" w:rsidRDefault="00D972BC">
            <w:pPr>
              <w:jc w:val="center"/>
              <w:textAlignment w:val="bottom"/>
            </w:pPr>
            <w:r>
              <w:rPr>
                <w:rFonts w:ascii="Arial" w:eastAsia="宋体" w:hAnsi="Arial" w:cs="Arial"/>
                <w:b/>
                <w:bCs/>
                <w:color w:val="000000"/>
                <w:sz w:val="17"/>
                <w:szCs w:val="17"/>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500"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501"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A514" w14:textId="77777777">
        <w:tc>
          <w:tcPr>
            <w:tcW w:w="0" w:type="auto"/>
            <w:gridSpan w:val="3"/>
            <w:shd w:val="clear" w:color="auto" w:fill="E2E2E2"/>
            <w:tcMar>
              <w:top w:w="40" w:type="dxa"/>
              <w:left w:w="20" w:type="dxa"/>
              <w:bottom w:w="40" w:type="dxa"/>
              <w:right w:w="20" w:type="dxa"/>
            </w:tcMar>
            <w:vAlign w:val="bottom"/>
          </w:tcPr>
          <w:p w14:paraId="22CFA503" w14:textId="77777777" w:rsidR="002661BA" w:rsidRDefault="00D972BC">
            <w:pPr>
              <w:textAlignment w:val="bottom"/>
            </w:pPr>
            <w:r>
              <w:rPr>
                <w:rFonts w:ascii="Arial" w:eastAsia="宋体" w:hAnsi="Arial" w:cs="Arial"/>
                <w:color w:val="000000"/>
                <w:sz w:val="18"/>
                <w:szCs w:val="18"/>
              </w:rPr>
              <w:t>U.S.</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A50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505" w14:textId="77777777" w:rsidR="002661BA" w:rsidRDefault="00D972BC">
            <w:pPr>
              <w:jc w:val="right"/>
              <w:textAlignment w:val="bottom"/>
            </w:pPr>
            <w:r>
              <w:rPr>
                <w:rFonts w:ascii="Arial" w:eastAsia="宋体" w:hAnsi="Arial" w:cs="Arial"/>
                <w:color w:val="000000"/>
                <w:sz w:val="18"/>
                <w:szCs w:val="18"/>
              </w:rPr>
              <w:t>5,048 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506"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A507" w14:textId="77777777" w:rsidR="002661BA" w:rsidRDefault="00D972BC">
            <w:pPr>
              <w:jc w:val="right"/>
              <w:textAlignment w:val="bottom"/>
            </w:pPr>
            <w:r>
              <w:rPr>
                <w:rFonts w:ascii="Arial" w:eastAsia="宋体" w:hAnsi="Arial" w:cs="Arial"/>
                <w:color w:val="000000"/>
                <w:sz w:val="18"/>
                <w:szCs w:val="18"/>
              </w:rPr>
              <w:t>  </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508" w14:textId="77777777" w:rsidR="002661BA" w:rsidRDefault="00D972BC">
            <w:pPr>
              <w:jc w:val="right"/>
              <w:textAlignment w:val="bottom"/>
            </w:pPr>
            <w:r>
              <w:rPr>
                <w:rFonts w:ascii="Arial" w:eastAsia="宋体" w:hAnsi="Arial" w:cs="Arial"/>
                <w:color w:val="000000"/>
                <w:sz w:val="18"/>
                <w:szCs w:val="18"/>
              </w:rPr>
              <w:t>22 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509"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50A"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50B" w14:textId="77777777" w:rsidR="002661BA" w:rsidRDefault="00D972BC">
            <w:pPr>
              <w:jc w:val="right"/>
              <w:textAlignment w:val="bottom"/>
            </w:pPr>
            <w:r>
              <w:rPr>
                <w:rFonts w:ascii="Arial" w:eastAsia="宋体" w:hAnsi="Arial" w:cs="Arial"/>
                <w:color w:val="000000"/>
                <w:sz w:val="18"/>
                <w:szCs w:val="18"/>
              </w:rPr>
              <w:t>4,151 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50C"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A50D" w14:textId="77777777" w:rsidR="002661BA" w:rsidRDefault="00D972BC">
            <w:pPr>
              <w:jc w:val="right"/>
              <w:textAlignment w:val="bottom"/>
            </w:pPr>
            <w:r>
              <w:rPr>
                <w:rFonts w:ascii="Arial" w:eastAsia="宋体" w:hAnsi="Arial" w:cs="Arial"/>
                <w:color w:val="000000"/>
                <w:sz w:val="18"/>
                <w:szCs w:val="18"/>
              </w:rPr>
              <w:t>  </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50E" w14:textId="77777777" w:rsidR="002661BA" w:rsidRDefault="00D972BC">
            <w:pPr>
              <w:jc w:val="right"/>
              <w:textAlignment w:val="bottom"/>
            </w:pPr>
            <w:r>
              <w:rPr>
                <w:rFonts w:ascii="Arial" w:eastAsia="宋体" w:hAnsi="Arial" w:cs="Arial"/>
                <w:color w:val="000000"/>
                <w:sz w:val="18"/>
                <w:szCs w:val="18"/>
              </w:rPr>
              <w:t>26 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50F"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510"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A51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512" w14:textId="77777777" w:rsidR="002661BA" w:rsidRDefault="00D972BC">
            <w:pPr>
              <w:jc w:val="right"/>
              <w:textAlignment w:val="bottom"/>
            </w:pPr>
            <w:r>
              <w:rPr>
                <w:rFonts w:ascii="Arial" w:eastAsia="宋体" w:hAnsi="Arial" w:cs="Arial"/>
                <w:color w:val="000000"/>
                <w:sz w:val="18"/>
                <w:szCs w:val="18"/>
              </w:rPr>
              <w:t>3,303 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513" w14:textId="77777777" w:rsidR="002661BA" w:rsidRDefault="002661BA">
            <w:pPr>
              <w:jc w:val="right"/>
              <w:rPr>
                <w:rFonts w:ascii="宋体"/>
              </w:rPr>
            </w:pPr>
          </w:p>
        </w:tc>
      </w:tr>
      <w:tr w:rsidR="002661BA" w14:paraId="22CFA522" w14:textId="77777777">
        <w:tc>
          <w:tcPr>
            <w:tcW w:w="0" w:type="auto"/>
            <w:gridSpan w:val="3"/>
            <w:shd w:val="clear" w:color="auto" w:fill="FFFFFF"/>
            <w:tcMar>
              <w:top w:w="40" w:type="dxa"/>
              <w:left w:w="140" w:type="dxa"/>
              <w:bottom w:w="40" w:type="dxa"/>
              <w:right w:w="20" w:type="dxa"/>
            </w:tcMar>
            <w:vAlign w:val="bottom"/>
          </w:tcPr>
          <w:p w14:paraId="22CFA515" w14:textId="77777777" w:rsidR="002661BA" w:rsidRDefault="00D972BC">
            <w:pPr>
              <w:textAlignment w:val="bottom"/>
            </w:pPr>
            <w:r>
              <w:rPr>
                <w:rFonts w:ascii="Arial" w:eastAsia="宋体" w:hAnsi="Arial" w:cs="Arial"/>
                <w:i/>
                <w:iCs/>
                <w:color w:val="000000"/>
                <w:sz w:val="18"/>
                <w:szCs w:val="18"/>
              </w:rPr>
              <w:t>% of net revenues</w:t>
            </w:r>
          </w:p>
        </w:tc>
        <w:tc>
          <w:tcPr>
            <w:tcW w:w="0" w:type="auto"/>
            <w:gridSpan w:val="2"/>
            <w:shd w:val="clear" w:color="auto" w:fill="FFFFFF"/>
            <w:tcMar>
              <w:top w:w="40" w:type="dxa"/>
              <w:left w:w="20" w:type="dxa"/>
              <w:bottom w:w="40" w:type="dxa"/>
              <w:right w:w="0" w:type="dxa"/>
            </w:tcMar>
            <w:vAlign w:val="bottom"/>
          </w:tcPr>
          <w:p w14:paraId="22CFA516" w14:textId="77777777" w:rsidR="002661BA" w:rsidRDefault="00D972BC">
            <w:pPr>
              <w:jc w:val="right"/>
              <w:textAlignment w:val="bottom"/>
            </w:pPr>
            <w:r>
              <w:rPr>
                <w:rFonts w:ascii="Arial" w:eastAsia="宋体" w:hAnsi="Arial" w:cs="Arial"/>
                <w:i/>
                <w:iCs/>
                <w:color w:val="000000"/>
                <w:sz w:val="18"/>
                <w:szCs w:val="18"/>
              </w:rPr>
              <w:t>48 </w:t>
            </w:r>
          </w:p>
        </w:tc>
        <w:tc>
          <w:tcPr>
            <w:tcW w:w="0" w:type="auto"/>
            <w:shd w:val="clear" w:color="auto" w:fill="FFFFFF"/>
            <w:tcMar>
              <w:top w:w="40" w:type="dxa"/>
              <w:left w:w="0" w:type="dxa"/>
              <w:bottom w:w="40" w:type="dxa"/>
              <w:right w:w="20" w:type="dxa"/>
            </w:tcMar>
            <w:vAlign w:val="bottom"/>
          </w:tcPr>
          <w:p w14:paraId="22CFA517"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518"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519"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51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51B" w14:textId="77777777" w:rsidR="002661BA" w:rsidRDefault="00D972BC">
            <w:pPr>
              <w:jc w:val="right"/>
              <w:textAlignment w:val="bottom"/>
            </w:pPr>
            <w:r>
              <w:rPr>
                <w:rFonts w:ascii="Arial" w:eastAsia="宋体" w:hAnsi="Arial" w:cs="Arial"/>
                <w:i/>
                <w:iCs/>
                <w:color w:val="000000"/>
                <w:sz w:val="18"/>
                <w:szCs w:val="18"/>
              </w:rPr>
              <w:t>47 </w:t>
            </w:r>
          </w:p>
        </w:tc>
        <w:tc>
          <w:tcPr>
            <w:tcW w:w="0" w:type="auto"/>
            <w:shd w:val="clear" w:color="auto" w:fill="FFFFFF"/>
            <w:tcMar>
              <w:top w:w="40" w:type="dxa"/>
              <w:left w:w="0" w:type="dxa"/>
              <w:bottom w:w="40" w:type="dxa"/>
              <w:right w:w="20" w:type="dxa"/>
            </w:tcMar>
            <w:vAlign w:val="bottom"/>
          </w:tcPr>
          <w:p w14:paraId="22CFA51C"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51D"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51E"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51F"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520" w14:textId="77777777" w:rsidR="002661BA" w:rsidRDefault="00D972BC">
            <w:pPr>
              <w:jc w:val="right"/>
              <w:textAlignment w:val="bottom"/>
            </w:pPr>
            <w:r>
              <w:rPr>
                <w:rFonts w:ascii="Arial" w:eastAsia="宋体" w:hAnsi="Arial" w:cs="Arial"/>
                <w:i/>
                <w:iCs/>
                <w:color w:val="000000"/>
                <w:sz w:val="18"/>
                <w:szCs w:val="18"/>
              </w:rPr>
              <w:t>44 </w:t>
            </w:r>
          </w:p>
        </w:tc>
        <w:tc>
          <w:tcPr>
            <w:tcW w:w="0" w:type="auto"/>
            <w:shd w:val="clear" w:color="auto" w:fill="FFFFFF"/>
            <w:tcMar>
              <w:top w:w="40" w:type="dxa"/>
              <w:left w:w="0" w:type="dxa"/>
              <w:bottom w:w="40" w:type="dxa"/>
              <w:right w:w="20" w:type="dxa"/>
            </w:tcMar>
            <w:vAlign w:val="bottom"/>
          </w:tcPr>
          <w:p w14:paraId="22CFA521" w14:textId="77777777" w:rsidR="002661BA" w:rsidRDefault="00D972BC">
            <w:pPr>
              <w:jc w:val="right"/>
              <w:textAlignment w:val="bottom"/>
            </w:pPr>
            <w:r>
              <w:rPr>
                <w:rFonts w:ascii="Arial" w:eastAsia="宋体" w:hAnsi="Arial" w:cs="Arial"/>
                <w:i/>
                <w:iCs/>
                <w:color w:val="000000"/>
                <w:sz w:val="18"/>
                <w:szCs w:val="18"/>
              </w:rPr>
              <w:t>%</w:t>
            </w:r>
          </w:p>
        </w:tc>
      </w:tr>
      <w:tr w:rsidR="002661BA" w14:paraId="22CFA52D" w14:textId="77777777">
        <w:trPr>
          <w:trHeight w:val="280"/>
        </w:trPr>
        <w:tc>
          <w:tcPr>
            <w:tcW w:w="0" w:type="auto"/>
            <w:gridSpan w:val="3"/>
            <w:shd w:val="clear" w:color="auto" w:fill="E2E2E2"/>
            <w:tcMar>
              <w:top w:w="0" w:type="dxa"/>
              <w:left w:w="20" w:type="dxa"/>
              <w:bottom w:w="0" w:type="dxa"/>
              <w:right w:w="20" w:type="dxa"/>
            </w:tcMar>
            <w:vAlign w:val="bottom"/>
          </w:tcPr>
          <w:p w14:paraId="22CFA523"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524"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525"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526"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527"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528"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529"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52A"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52B"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52C" w14:textId="77777777" w:rsidR="002661BA" w:rsidRDefault="002661BA">
            <w:pPr>
              <w:rPr>
                <w:rFonts w:ascii="宋体"/>
              </w:rPr>
            </w:pPr>
          </w:p>
        </w:tc>
      </w:tr>
      <w:tr w:rsidR="002661BA" w14:paraId="22CFA53D" w14:textId="77777777">
        <w:tc>
          <w:tcPr>
            <w:tcW w:w="0" w:type="auto"/>
            <w:gridSpan w:val="3"/>
            <w:shd w:val="clear" w:color="auto" w:fill="FFFFFF"/>
            <w:tcMar>
              <w:top w:w="40" w:type="dxa"/>
              <w:left w:w="20" w:type="dxa"/>
              <w:bottom w:w="40" w:type="dxa"/>
              <w:right w:w="20" w:type="dxa"/>
            </w:tcMar>
            <w:vAlign w:val="bottom"/>
          </w:tcPr>
          <w:p w14:paraId="22CFA52E" w14:textId="77777777" w:rsidR="002661BA" w:rsidRDefault="00D972BC">
            <w:pPr>
              <w:textAlignment w:val="bottom"/>
            </w:pPr>
            <w:r>
              <w:rPr>
                <w:rFonts w:ascii="Arial" w:eastAsia="宋体" w:hAnsi="Arial" w:cs="Arial"/>
                <w:color w:val="000000"/>
                <w:sz w:val="18"/>
                <w:szCs w:val="18"/>
              </w:rPr>
              <w:t>International</w:t>
            </w:r>
          </w:p>
        </w:tc>
        <w:tc>
          <w:tcPr>
            <w:tcW w:w="0" w:type="auto"/>
            <w:gridSpan w:val="2"/>
            <w:shd w:val="clear" w:color="auto" w:fill="FFFFFF"/>
            <w:tcMar>
              <w:top w:w="40" w:type="dxa"/>
              <w:left w:w="20" w:type="dxa"/>
              <w:bottom w:w="40" w:type="dxa"/>
              <w:right w:w="0" w:type="dxa"/>
            </w:tcMar>
            <w:vAlign w:val="bottom"/>
          </w:tcPr>
          <w:p w14:paraId="22CFA52F" w14:textId="77777777" w:rsidR="002661BA" w:rsidRDefault="00D972BC">
            <w:pPr>
              <w:jc w:val="right"/>
              <w:textAlignment w:val="bottom"/>
            </w:pPr>
            <w:r>
              <w:rPr>
                <w:rFonts w:ascii="Arial" w:eastAsia="宋体" w:hAnsi="Arial" w:cs="Arial"/>
                <w:color w:val="000000"/>
                <w:sz w:val="18"/>
                <w:szCs w:val="18"/>
              </w:rPr>
              <w:t>5,372 </w:t>
            </w:r>
          </w:p>
        </w:tc>
        <w:tc>
          <w:tcPr>
            <w:tcW w:w="0" w:type="auto"/>
            <w:shd w:val="clear" w:color="auto" w:fill="FFFFFF"/>
            <w:tcMar>
              <w:top w:w="40" w:type="dxa"/>
              <w:left w:w="0" w:type="dxa"/>
              <w:bottom w:w="40" w:type="dxa"/>
              <w:right w:w="20" w:type="dxa"/>
            </w:tcMar>
            <w:vAlign w:val="bottom"/>
          </w:tcPr>
          <w:p w14:paraId="22CFA530"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531"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532" w14:textId="77777777" w:rsidR="002661BA" w:rsidRDefault="00D972BC">
            <w:pPr>
              <w:jc w:val="right"/>
              <w:textAlignment w:val="bottom"/>
            </w:pPr>
            <w:r>
              <w:rPr>
                <w:rFonts w:ascii="Arial" w:eastAsia="宋体" w:hAnsi="Arial" w:cs="Arial"/>
                <w:color w:val="000000"/>
                <w:sz w:val="18"/>
                <w:szCs w:val="18"/>
              </w:rPr>
              <w:t>13 </w:t>
            </w:r>
          </w:p>
        </w:tc>
        <w:tc>
          <w:tcPr>
            <w:tcW w:w="0" w:type="auto"/>
            <w:shd w:val="clear" w:color="auto" w:fill="FFFFFF"/>
            <w:tcMar>
              <w:top w:w="40" w:type="dxa"/>
              <w:left w:w="0" w:type="dxa"/>
              <w:bottom w:w="40" w:type="dxa"/>
              <w:right w:w="20" w:type="dxa"/>
            </w:tcMar>
            <w:vAlign w:val="bottom"/>
          </w:tcPr>
          <w:p w14:paraId="22CFA533"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534"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535" w14:textId="77777777" w:rsidR="002661BA" w:rsidRDefault="00D972BC">
            <w:pPr>
              <w:jc w:val="right"/>
              <w:textAlignment w:val="bottom"/>
            </w:pPr>
            <w:r>
              <w:rPr>
                <w:rFonts w:ascii="Arial" w:eastAsia="宋体" w:hAnsi="Arial" w:cs="Arial"/>
                <w:color w:val="000000"/>
                <w:sz w:val="18"/>
                <w:szCs w:val="18"/>
              </w:rPr>
              <w:t>4,743 </w:t>
            </w:r>
          </w:p>
        </w:tc>
        <w:tc>
          <w:tcPr>
            <w:tcW w:w="0" w:type="auto"/>
            <w:shd w:val="clear" w:color="auto" w:fill="FFFFFF"/>
            <w:tcMar>
              <w:top w:w="40" w:type="dxa"/>
              <w:left w:w="0" w:type="dxa"/>
              <w:bottom w:w="40" w:type="dxa"/>
              <w:right w:w="20" w:type="dxa"/>
            </w:tcMar>
            <w:vAlign w:val="bottom"/>
          </w:tcPr>
          <w:p w14:paraId="22CFA53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537"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538" w14:textId="77777777" w:rsidR="002661BA" w:rsidRDefault="00D972BC">
            <w:pPr>
              <w:jc w:val="right"/>
              <w:textAlignment w:val="bottom"/>
            </w:pPr>
            <w:r>
              <w:rPr>
                <w:rFonts w:ascii="Arial" w:eastAsia="宋体" w:hAnsi="Arial" w:cs="Arial"/>
                <w:color w:val="000000"/>
                <w:sz w:val="18"/>
                <w:szCs w:val="18"/>
              </w:rPr>
              <w:t>15 </w:t>
            </w:r>
          </w:p>
        </w:tc>
        <w:tc>
          <w:tcPr>
            <w:tcW w:w="0" w:type="auto"/>
            <w:shd w:val="clear" w:color="auto" w:fill="FFFFFF"/>
            <w:tcMar>
              <w:top w:w="40" w:type="dxa"/>
              <w:left w:w="0" w:type="dxa"/>
              <w:bottom w:w="40" w:type="dxa"/>
              <w:right w:w="20" w:type="dxa"/>
            </w:tcMar>
            <w:vAlign w:val="bottom"/>
          </w:tcPr>
          <w:p w14:paraId="22CFA539"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53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53B" w14:textId="77777777" w:rsidR="002661BA" w:rsidRDefault="00D972BC">
            <w:pPr>
              <w:jc w:val="right"/>
              <w:textAlignment w:val="bottom"/>
            </w:pPr>
            <w:r>
              <w:rPr>
                <w:rFonts w:ascii="Arial" w:eastAsia="宋体" w:hAnsi="Arial" w:cs="Arial"/>
                <w:color w:val="000000"/>
                <w:sz w:val="18"/>
                <w:szCs w:val="18"/>
              </w:rPr>
              <w:t>4,126 </w:t>
            </w:r>
          </w:p>
        </w:tc>
        <w:tc>
          <w:tcPr>
            <w:tcW w:w="0" w:type="auto"/>
            <w:shd w:val="clear" w:color="auto" w:fill="FFFFFF"/>
            <w:tcMar>
              <w:top w:w="40" w:type="dxa"/>
              <w:left w:w="0" w:type="dxa"/>
              <w:bottom w:w="40" w:type="dxa"/>
              <w:right w:w="20" w:type="dxa"/>
            </w:tcMar>
            <w:vAlign w:val="bottom"/>
          </w:tcPr>
          <w:p w14:paraId="22CFA53C" w14:textId="77777777" w:rsidR="002661BA" w:rsidRDefault="002661BA">
            <w:pPr>
              <w:jc w:val="right"/>
              <w:rPr>
                <w:rFonts w:ascii="宋体"/>
              </w:rPr>
            </w:pPr>
          </w:p>
        </w:tc>
      </w:tr>
      <w:tr w:rsidR="002661BA" w14:paraId="22CFA54B" w14:textId="77777777">
        <w:tc>
          <w:tcPr>
            <w:tcW w:w="0" w:type="auto"/>
            <w:gridSpan w:val="3"/>
            <w:shd w:val="clear" w:color="auto" w:fill="E2E2E2"/>
            <w:tcMar>
              <w:top w:w="40" w:type="dxa"/>
              <w:left w:w="140" w:type="dxa"/>
              <w:bottom w:w="40" w:type="dxa"/>
              <w:right w:w="20" w:type="dxa"/>
            </w:tcMar>
            <w:vAlign w:val="bottom"/>
          </w:tcPr>
          <w:p w14:paraId="22CFA53E" w14:textId="77777777" w:rsidR="002661BA" w:rsidRDefault="00D972BC">
            <w:pPr>
              <w:textAlignment w:val="bottom"/>
            </w:pPr>
            <w:r>
              <w:rPr>
                <w:rFonts w:ascii="Arial" w:eastAsia="宋体" w:hAnsi="Arial" w:cs="Arial"/>
                <w:i/>
                <w:iCs/>
                <w:color w:val="000000"/>
                <w:sz w:val="18"/>
                <w:szCs w:val="18"/>
              </w:rPr>
              <w:t>% of net revenues</w:t>
            </w:r>
          </w:p>
        </w:tc>
        <w:tc>
          <w:tcPr>
            <w:tcW w:w="0" w:type="auto"/>
            <w:gridSpan w:val="2"/>
            <w:shd w:val="clear" w:color="auto" w:fill="E2E2E2"/>
            <w:tcMar>
              <w:top w:w="40" w:type="dxa"/>
              <w:left w:w="20" w:type="dxa"/>
              <w:bottom w:w="40" w:type="dxa"/>
              <w:right w:w="0" w:type="dxa"/>
            </w:tcMar>
            <w:vAlign w:val="bottom"/>
          </w:tcPr>
          <w:p w14:paraId="22CFA53F" w14:textId="77777777" w:rsidR="002661BA" w:rsidRDefault="00D972BC">
            <w:pPr>
              <w:jc w:val="right"/>
              <w:textAlignment w:val="bottom"/>
            </w:pPr>
            <w:r>
              <w:rPr>
                <w:rFonts w:ascii="Arial" w:eastAsia="宋体" w:hAnsi="Arial" w:cs="Arial"/>
                <w:i/>
                <w:iCs/>
                <w:color w:val="000000"/>
                <w:sz w:val="18"/>
                <w:szCs w:val="18"/>
              </w:rPr>
              <w:t>52 </w:t>
            </w:r>
          </w:p>
        </w:tc>
        <w:tc>
          <w:tcPr>
            <w:tcW w:w="0" w:type="auto"/>
            <w:shd w:val="clear" w:color="auto" w:fill="E2E2E2"/>
            <w:tcMar>
              <w:top w:w="40" w:type="dxa"/>
              <w:left w:w="0" w:type="dxa"/>
              <w:bottom w:w="40" w:type="dxa"/>
              <w:right w:w="20" w:type="dxa"/>
            </w:tcMar>
            <w:vAlign w:val="bottom"/>
          </w:tcPr>
          <w:p w14:paraId="22CFA540"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541"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542"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543"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544" w14:textId="77777777" w:rsidR="002661BA" w:rsidRDefault="00D972BC">
            <w:pPr>
              <w:jc w:val="right"/>
              <w:textAlignment w:val="bottom"/>
            </w:pPr>
            <w:r>
              <w:rPr>
                <w:rFonts w:ascii="Arial" w:eastAsia="宋体" w:hAnsi="Arial" w:cs="Arial"/>
                <w:i/>
                <w:iCs/>
                <w:color w:val="000000"/>
                <w:sz w:val="18"/>
                <w:szCs w:val="18"/>
              </w:rPr>
              <w:t>53 </w:t>
            </w:r>
          </w:p>
        </w:tc>
        <w:tc>
          <w:tcPr>
            <w:tcW w:w="0" w:type="auto"/>
            <w:shd w:val="clear" w:color="auto" w:fill="E2E2E2"/>
            <w:tcMar>
              <w:top w:w="40" w:type="dxa"/>
              <w:left w:w="0" w:type="dxa"/>
              <w:bottom w:w="40" w:type="dxa"/>
              <w:right w:w="20" w:type="dxa"/>
            </w:tcMar>
            <w:vAlign w:val="bottom"/>
          </w:tcPr>
          <w:p w14:paraId="22CFA545"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546"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547"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548"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549" w14:textId="77777777" w:rsidR="002661BA" w:rsidRDefault="00D972BC">
            <w:pPr>
              <w:jc w:val="right"/>
              <w:textAlignment w:val="bottom"/>
            </w:pPr>
            <w:r>
              <w:rPr>
                <w:rFonts w:ascii="Arial" w:eastAsia="宋体" w:hAnsi="Arial" w:cs="Arial"/>
                <w:i/>
                <w:iCs/>
                <w:color w:val="000000"/>
                <w:sz w:val="18"/>
                <w:szCs w:val="18"/>
              </w:rPr>
              <w:t>56 </w:t>
            </w:r>
          </w:p>
        </w:tc>
        <w:tc>
          <w:tcPr>
            <w:tcW w:w="0" w:type="auto"/>
            <w:shd w:val="clear" w:color="auto" w:fill="E2E2E2"/>
            <w:tcMar>
              <w:top w:w="40" w:type="dxa"/>
              <w:left w:w="0" w:type="dxa"/>
              <w:bottom w:w="40" w:type="dxa"/>
              <w:right w:w="20" w:type="dxa"/>
            </w:tcMar>
            <w:vAlign w:val="bottom"/>
          </w:tcPr>
          <w:p w14:paraId="22CFA54A" w14:textId="77777777" w:rsidR="002661BA" w:rsidRDefault="00D972BC">
            <w:pPr>
              <w:jc w:val="right"/>
              <w:textAlignment w:val="bottom"/>
            </w:pPr>
            <w:r>
              <w:rPr>
                <w:rFonts w:ascii="Arial" w:eastAsia="宋体" w:hAnsi="Arial" w:cs="Arial"/>
                <w:i/>
                <w:iCs/>
                <w:color w:val="000000"/>
                <w:sz w:val="18"/>
                <w:szCs w:val="18"/>
              </w:rPr>
              <w:t>%</w:t>
            </w:r>
          </w:p>
        </w:tc>
      </w:tr>
      <w:tr w:rsidR="002661BA" w14:paraId="22CFA556" w14:textId="77777777">
        <w:trPr>
          <w:trHeight w:val="280"/>
        </w:trPr>
        <w:tc>
          <w:tcPr>
            <w:tcW w:w="0" w:type="auto"/>
            <w:gridSpan w:val="3"/>
            <w:shd w:val="clear" w:color="auto" w:fill="FFFFFF"/>
            <w:tcMar>
              <w:top w:w="0" w:type="dxa"/>
              <w:left w:w="20" w:type="dxa"/>
              <w:bottom w:w="0" w:type="dxa"/>
              <w:right w:w="20" w:type="dxa"/>
            </w:tcMar>
            <w:vAlign w:val="bottom"/>
          </w:tcPr>
          <w:p w14:paraId="22CFA54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54D"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54E"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54F"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550"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551"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552"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553"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554"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555" w14:textId="77777777" w:rsidR="002661BA" w:rsidRDefault="002661BA">
            <w:pPr>
              <w:rPr>
                <w:rFonts w:ascii="宋体"/>
              </w:rPr>
            </w:pPr>
          </w:p>
        </w:tc>
      </w:tr>
      <w:tr w:rsidR="002661BA" w14:paraId="22CFA569" w14:textId="77777777">
        <w:tc>
          <w:tcPr>
            <w:tcW w:w="0" w:type="auto"/>
            <w:gridSpan w:val="3"/>
            <w:shd w:val="clear" w:color="auto" w:fill="E2E2E2"/>
            <w:tcMar>
              <w:top w:w="40" w:type="dxa"/>
              <w:left w:w="155" w:type="dxa"/>
              <w:bottom w:w="40" w:type="dxa"/>
              <w:right w:w="20" w:type="dxa"/>
            </w:tcMar>
            <w:vAlign w:val="bottom"/>
          </w:tcPr>
          <w:p w14:paraId="22CFA557" w14:textId="77777777" w:rsidR="002661BA" w:rsidRDefault="00D972BC">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A55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A559" w14:textId="77777777" w:rsidR="002661BA" w:rsidRDefault="00D972BC">
            <w:pPr>
              <w:jc w:val="right"/>
              <w:textAlignment w:val="bottom"/>
            </w:pPr>
            <w:r>
              <w:rPr>
                <w:rFonts w:ascii="Arial" w:eastAsia="宋体" w:hAnsi="Arial" w:cs="Arial"/>
                <w:color w:val="000000"/>
                <w:sz w:val="18"/>
                <w:szCs w:val="18"/>
              </w:rPr>
              <w:t>10,420 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A55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55B"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55C" w14:textId="77777777" w:rsidR="002661BA" w:rsidRDefault="00D972BC">
            <w:pPr>
              <w:jc w:val="right"/>
              <w:textAlignment w:val="bottom"/>
            </w:pPr>
            <w:r>
              <w:rPr>
                <w:rFonts w:ascii="Arial" w:eastAsia="宋体" w:hAnsi="Arial" w:cs="Arial"/>
                <w:color w:val="000000"/>
                <w:sz w:val="18"/>
                <w:szCs w:val="18"/>
              </w:rPr>
              <w:t>17 </w:t>
            </w:r>
          </w:p>
        </w:tc>
        <w:tc>
          <w:tcPr>
            <w:tcW w:w="0" w:type="auto"/>
            <w:shd w:val="clear" w:color="auto" w:fill="E2E2E2"/>
            <w:tcMar>
              <w:top w:w="40" w:type="dxa"/>
              <w:left w:w="0" w:type="dxa"/>
              <w:bottom w:w="40" w:type="dxa"/>
              <w:right w:w="20" w:type="dxa"/>
            </w:tcMar>
            <w:vAlign w:val="bottom"/>
          </w:tcPr>
          <w:p w14:paraId="22CFA55D"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55E"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A55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A560" w14:textId="77777777" w:rsidR="002661BA" w:rsidRDefault="00D972BC">
            <w:pPr>
              <w:jc w:val="right"/>
              <w:textAlignment w:val="bottom"/>
            </w:pPr>
            <w:r>
              <w:rPr>
                <w:rFonts w:ascii="Arial" w:eastAsia="宋体" w:hAnsi="Arial" w:cs="Arial"/>
                <w:color w:val="000000"/>
                <w:sz w:val="18"/>
                <w:szCs w:val="18"/>
              </w:rPr>
              <w:t>8,894 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A561"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562"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563" w14:textId="77777777" w:rsidR="002661BA" w:rsidRDefault="00D972BC">
            <w:pPr>
              <w:jc w:val="right"/>
              <w:textAlignment w:val="bottom"/>
            </w:pPr>
            <w:r>
              <w:rPr>
                <w:rFonts w:ascii="Arial" w:eastAsia="宋体" w:hAnsi="Arial" w:cs="Arial"/>
                <w:color w:val="000000"/>
                <w:sz w:val="18"/>
                <w:szCs w:val="18"/>
              </w:rPr>
              <w:t>20 </w:t>
            </w:r>
          </w:p>
        </w:tc>
        <w:tc>
          <w:tcPr>
            <w:tcW w:w="0" w:type="auto"/>
            <w:shd w:val="clear" w:color="auto" w:fill="E2E2E2"/>
            <w:tcMar>
              <w:top w:w="40" w:type="dxa"/>
              <w:left w:w="0" w:type="dxa"/>
              <w:bottom w:w="40" w:type="dxa"/>
              <w:right w:w="20" w:type="dxa"/>
            </w:tcMar>
            <w:vAlign w:val="bottom"/>
          </w:tcPr>
          <w:p w14:paraId="22CFA564"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565"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A566"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A567" w14:textId="77777777" w:rsidR="002661BA" w:rsidRDefault="00D972BC">
            <w:pPr>
              <w:jc w:val="right"/>
              <w:textAlignment w:val="bottom"/>
            </w:pPr>
            <w:r>
              <w:rPr>
                <w:rFonts w:ascii="Arial" w:eastAsia="宋体" w:hAnsi="Arial" w:cs="Arial"/>
                <w:color w:val="000000"/>
                <w:sz w:val="18"/>
                <w:szCs w:val="18"/>
              </w:rPr>
              <w:t>7,429 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A568" w14:textId="77777777" w:rsidR="002661BA" w:rsidRDefault="002661BA">
            <w:pPr>
              <w:jc w:val="right"/>
              <w:rPr>
                <w:rFonts w:ascii="宋体"/>
              </w:rPr>
            </w:pPr>
          </w:p>
        </w:tc>
      </w:tr>
    </w:tbl>
    <w:p w14:paraId="22CFA56A" w14:textId="77777777" w:rsidR="002661BA" w:rsidRDefault="002661BA">
      <w:pPr>
        <w:ind w:firstLine="540"/>
        <w:jc w:val="both"/>
      </w:pPr>
    </w:p>
    <w:p w14:paraId="22CFA56B" w14:textId="77777777" w:rsidR="002661BA" w:rsidRDefault="00D972BC">
      <w:pPr>
        <w:ind w:firstLine="540"/>
        <w:jc w:val="both"/>
      </w:pPr>
      <w:r>
        <w:rPr>
          <w:rFonts w:ascii="Arial" w:eastAsia="宋体" w:hAnsi="Arial" w:cs="Arial"/>
          <w:color w:val="000000"/>
          <w:sz w:val="20"/>
          <w:szCs w:val="20"/>
        </w:rPr>
        <w:t xml:space="preserve">Our commerce platforms operate globally, resulting in certain revenues that </w:t>
      </w:r>
      <w:r>
        <w:rPr>
          <w:rFonts w:ascii="Arial" w:eastAsia="宋体" w:hAnsi="Arial" w:cs="Arial"/>
          <w:color w:val="000000"/>
          <w:sz w:val="20"/>
          <w:szCs w:val="20"/>
        </w:rPr>
        <w:t>are denominated in foreign currencies, primarily the British pound and euro. In addition, as shown in the table above, we generate approximately half of our net revenues internationally. Because of these factors, we are subject to the risks related to doin</w:t>
      </w:r>
      <w:r>
        <w:rPr>
          <w:rFonts w:ascii="Arial" w:eastAsia="宋体" w:hAnsi="Arial" w:cs="Arial"/>
          <w:color w:val="000000"/>
          <w:sz w:val="20"/>
          <w:szCs w:val="20"/>
        </w:rPr>
        <w:t>g business in foreign countries as discussed under “Item 1A: Risk Factors” in Part I of this report.</w:t>
      </w:r>
    </w:p>
    <w:p w14:paraId="22CFA56C" w14:textId="77777777" w:rsidR="002661BA" w:rsidRDefault="002661BA">
      <w:pPr>
        <w:jc w:val="both"/>
      </w:pPr>
    </w:p>
    <w:p w14:paraId="22CFA56D" w14:textId="77777777" w:rsidR="002661BA" w:rsidRDefault="00D972BC">
      <w:pPr>
        <w:ind w:firstLine="540"/>
        <w:jc w:val="both"/>
      </w:pPr>
      <w:r>
        <w:rPr>
          <w:rFonts w:ascii="Arial" w:eastAsia="宋体" w:hAnsi="Arial" w:cs="Arial"/>
          <w:color w:val="000000"/>
          <w:sz w:val="20"/>
          <w:szCs w:val="20"/>
        </w:rPr>
        <w:t>Net revenues included $65 million of hedging losses during 2021 and $15 million and $81 million of hedging gains during 2020 and 2019, respectively. The hedging activity in net revenues specifically relates to hedges of net transaction revenues. Foreign cu</w:t>
      </w:r>
      <w:r>
        <w:rPr>
          <w:rFonts w:ascii="Arial" w:eastAsia="宋体" w:hAnsi="Arial" w:cs="Arial"/>
          <w:color w:val="000000"/>
          <w:sz w:val="20"/>
          <w:szCs w:val="20"/>
        </w:rPr>
        <w:t xml:space="preserve">rrency movements relative to the U.S. dollar had a favorable impact of $188 million </w:t>
      </w:r>
    </w:p>
    <w:p w14:paraId="22CFA56E" w14:textId="77777777" w:rsidR="002661BA" w:rsidRDefault="00D972BC">
      <w:pPr>
        <w:jc w:val="center"/>
      </w:pPr>
      <w:r>
        <w:rPr>
          <w:rFonts w:ascii="Arial" w:eastAsia="宋体" w:hAnsi="Arial" w:cs="Arial"/>
          <w:color w:val="000000"/>
          <w:sz w:val="18"/>
          <w:szCs w:val="18"/>
        </w:rPr>
        <w:t>34</w:t>
      </w:r>
    </w:p>
    <w:p w14:paraId="22CFA56F" w14:textId="77777777" w:rsidR="002661BA" w:rsidRDefault="00D972BC">
      <w:r>
        <w:pict w14:anchorId="22CFE4D3">
          <v:rect id="_x0000_i1058" style="width:415.3pt;height:1.5pt" o:hralign="center" o:hrstd="t" o:hr="t" fillcolor="#a0a0a0" stroked="f"/>
        </w:pict>
      </w:r>
    </w:p>
    <w:p w14:paraId="22CFA570" w14:textId="77777777" w:rsidR="002661BA" w:rsidRDefault="00D972BC">
      <w:hyperlink r:id="rId60" w:anchor="id0d7a71b05ce452ea9fdb54f3cb359c7_7" w:history="1">
        <w:r>
          <w:rPr>
            <w:rStyle w:val="a5"/>
            <w:rFonts w:ascii="Arial" w:eastAsia="宋体" w:hAnsi="Arial" w:cs="Arial"/>
            <w:sz w:val="18"/>
            <w:szCs w:val="18"/>
          </w:rPr>
          <w:t>Table of Contents</w:t>
        </w:r>
      </w:hyperlink>
    </w:p>
    <w:p w14:paraId="22CFA571" w14:textId="77777777" w:rsidR="002661BA" w:rsidRDefault="00D972BC">
      <w:pPr>
        <w:jc w:val="both"/>
      </w:pPr>
      <w:r>
        <w:rPr>
          <w:rFonts w:ascii="Arial" w:eastAsia="宋体" w:hAnsi="Arial" w:cs="Arial"/>
          <w:color w:val="000000"/>
          <w:sz w:val="20"/>
          <w:szCs w:val="20"/>
        </w:rPr>
        <w:t>and $26 million on net revenues in 2021 and 2020, respectively, and an unfavorable im</w:t>
      </w:r>
      <w:r>
        <w:rPr>
          <w:rFonts w:ascii="Arial" w:eastAsia="宋体" w:hAnsi="Arial" w:cs="Arial"/>
          <w:color w:val="000000"/>
          <w:sz w:val="20"/>
          <w:szCs w:val="20"/>
        </w:rPr>
        <w:t xml:space="preserve">pact of $85 million on net revenues in 2019. The effect of foreign currency exchange rate movements in 2021 compared to 2020 was primarily attributable to the weakening of the U.S. dollar against the British pound and euro. </w:t>
      </w:r>
    </w:p>
    <w:p w14:paraId="22CFA572" w14:textId="77777777" w:rsidR="002661BA" w:rsidRDefault="002661BA">
      <w:pPr>
        <w:ind w:firstLine="540"/>
        <w:jc w:val="both"/>
      </w:pPr>
    </w:p>
    <w:p w14:paraId="22CFA573" w14:textId="77777777" w:rsidR="002661BA" w:rsidRDefault="00D972BC">
      <w:pPr>
        <w:ind w:firstLine="270"/>
        <w:jc w:val="both"/>
      </w:pPr>
      <w:r>
        <w:rPr>
          <w:rFonts w:ascii="Arial" w:eastAsia="宋体" w:hAnsi="Arial" w:cs="Arial"/>
          <w:b/>
          <w:bCs/>
          <w:i/>
          <w:iCs/>
          <w:color w:val="000000"/>
          <w:sz w:val="20"/>
          <w:szCs w:val="20"/>
        </w:rPr>
        <w:t>Net Revenues by Type</w:t>
      </w:r>
      <w:r>
        <w:rPr>
          <w:rFonts w:ascii="Arial" w:eastAsia="宋体" w:hAnsi="Arial" w:cs="Arial"/>
          <w:b/>
          <w:bCs/>
          <w:color w:val="000000"/>
          <w:sz w:val="20"/>
          <w:szCs w:val="20"/>
        </w:rPr>
        <w:t xml:space="preserve"> </w:t>
      </w:r>
    </w:p>
    <w:p w14:paraId="22CFA574" w14:textId="77777777" w:rsidR="002661BA" w:rsidRDefault="002661BA">
      <w:pPr>
        <w:ind w:firstLine="495"/>
        <w:jc w:val="both"/>
      </w:pPr>
    </w:p>
    <w:p w14:paraId="22CFA575" w14:textId="77777777" w:rsidR="002661BA" w:rsidRDefault="00D972BC">
      <w:pPr>
        <w:ind w:firstLine="540"/>
        <w:jc w:val="both"/>
      </w:pPr>
      <w:r>
        <w:rPr>
          <w:rFonts w:ascii="Arial" w:eastAsia="宋体" w:hAnsi="Arial" w:cs="Arial"/>
          <w:color w:val="000000"/>
          <w:sz w:val="20"/>
          <w:szCs w:val="20"/>
        </w:rPr>
        <w:t>We gene</w:t>
      </w:r>
      <w:r>
        <w:rPr>
          <w:rFonts w:ascii="Arial" w:eastAsia="宋体" w:hAnsi="Arial" w:cs="Arial"/>
          <w:color w:val="000000"/>
          <w:sz w:val="20"/>
          <w:szCs w:val="20"/>
        </w:rPr>
        <w:t xml:space="preserve">rate two types of net revenues: </w:t>
      </w:r>
    </w:p>
    <w:p w14:paraId="22CFA576" w14:textId="77777777" w:rsidR="002661BA" w:rsidRDefault="002661BA">
      <w:pPr>
        <w:ind w:firstLine="540"/>
        <w:jc w:val="both"/>
      </w:pPr>
    </w:p>
    <w:p w14:paraId="22CFA577" w14:textId="77777777" w:rsidR="002661BA" w:rsidRDefault="00D972BC">
      <w:pPr>
        <w:jc w:val="both"/>
      </w:pPr>
      <w:r>
        <w:rPr>
          <w:rFonts w:ascii="Arial" w:eastAsia="宋体" w:hAnsi="Arial" w:cs="Arial"/>
          <w:b/>
          <w:bCs/>
          <w:color w:val="000000"/>
          <w:sz w:val="20"/>
          <w:szCs w:val="20"/>
        </w:rPr>
        <w:t>Net transaction revenues</w:t>
      </w:r>
      <w:r>
        <w:rPr>
          <w:rFonts w:ascii="Arial" w:eastAsia="宋体" w:hAnsi="Arial" w:cs="Arial"/>
          <w:color w:val="000000"/>
          <w:sz w:val="20"/>
          <w:szCs w:val="20"/>
        </w:rPr>
        <w:t xml:space="preserve"> primarily include final value fees, feature fees, including fees to promote listings and listing fees from sellers on our platforms. Our net transaction revenues also include store subscription and</w:t>
      </w:r>
      <w:r>
        <w:rPr>
          <w:rFonts w:ascii="Arial" w:eastAsia="宋体" w:hAnsi="Arial" w:cs="Arial"/>
          <w:color w:val="000000"/>
          <w:sz w:val="20"/>
          <w:szCs w:val="20"/>
        </w:rPr>
        <w:t xml:space="preserve"> other fees often from large enterprise sellers. Our net transaction revenues are reduced by incentives, including discounts, coupons and rewards, provided to our customers.</w:t>
      </w:r>
    </w:p>
    <w:p w14:paraId="22CFA578" w14:textId="77777777" w:rsidR="002661BA" w:rsidRDefault="002661BA">
      <w:pPr>
        <w:jc w:val="both"/>
      </w:pPr>
    </w:p>
    <w:p w14:paraId="22CFA579" w14:textId="77777777" w:rsidR="002661BA" w:rsidRDefault="00D972BC">
      <w:pPr>
        <w:jc w:val="both"/>
      </w:pPr>
      <w:r>
        <w:rPr>
          <w:rFonts w:ascii="Arial" w:eastAsia="宋体" w:hAnsi="Arial" w:cs="Arial"/>
          <w:b/>
          <w:bCs/>
          <w:color w:val="000000"/>
          <w:sz w:val="20"/>
          <w:szCs w:val="20"/>
        </w:rPr>
        <w:t>Marketing services and other ("MS&amp;O")</w:t>
      </w:r>
      <w:r>
        <w:rPr>
          <w:rFonts w:ascii="Arial" w:eastAsia="宋体" w:hAnsi="Arial" w:cs="Arial"/>
          <w:color w:val="000000"/>
          <w:sz w:val="20"/>
          <w:szCs w:val="20"/>
        </w:rPr>
        <w:t xml:space="preserve"> </w:t>
      </w:r>
      <w:r>
        <w:rPr>
          <w:rFonts w:ascii="Arial" w:eastAsia="宋体" w:hAnsi="Arial" w:cs="Arial"/>
          <w:b/>
          <w:bCs/>
          <w:color w:val="000000"/>
          <w:sz w:val="20"/>
          <w:szCs w:val="20"/>
        </w:rPr>
        <w:t>revenues</w:t>
      </w:r>
      <w:r>
        <w:rPr>
          <w:rFonts w:ascii="Arial" w:eastAsia="宋体" w:hAnsi="Arial" w:cs="Arial"/>
          <w:color w:val="000000"/>
          <w:sz w:val="20"/>
          <w:szCs w:val="20"/>
        </w:rPr>
        <w:t xml:space="preserve"> consist of revenues principally fr</w:t>
      </w:r>
      <w:r>
        <w:rPr>
          <w:rFonts w:ascii="Arial" w:eastAsia="宋体" w:hAnsi="Arial" w:cs="Arial"/>
          <w:color w:val="000000"/>
          <w:sz w:val="20"/>
          <w:szCs w:val="20"/>
        </w:rPr>
        <w:t xml:space="preserve">om the sale of revenue sharing arrangements and advertisements. </w:t>
      </w:r>
    </w:p>
    <w:p w14:paraId="22CFA57A" w14:textId="77777777" w:rsidR="002661BA" w:rsidRDefault="002661BA">
      <w:pPr>
        <w:ind w:firstLine="540"/>
        <w:jc w:val="both"/>
      </w:pPr>
    </w:p>
    <w:p w14:paraId="22CFA57B" w14:textId="77777777" w:rsidR="002661BA" w:rsidRDefault="00D972BC">
      <w:pPr>
        <w:spacing w:after="120"/>
        <w:ind w:firstLine="540"/>
        <w:jc w:val="both"/>
      </w:pPr>
      <w:r>
        <w:rPr>
          <w:rFonts w:ascii="Arial" w:eastAsia="宋体" w:hAnsi="Arial" w:cs="Arial"/>
          <w:color w:val="000000"/>
          <w:sz w:val="20"/>
          <w:szCs w:val="20"/>
        </w:rPr>
        <w:t>The following table presents net revenues by type for the periods indicated (in millions, except percentages):</w:t>
      </w:r>
    </w:p>
    <w:tbl>
      <w:tblPr>
        <w:tblW w:w="4715" w:type="pct"/>
        <w:tblCellMar>
          <w:top w:w="15" w:type="dxa"/>
          <w:left w:w="15" w:type="dxa"/>
          <w:bottom w:w="15" w:type="dxa"/>
          <w:right w:w="15" w:type="dxa"/>
        </w:tblCellMar>
        <w:tblLook w:val="04A0" w:firstRow="1" w:lastRow="0" w:firstColumn="1" w:lastColumn="0" w:noHBand="0" w:noVBand="1"/>
      </w:tblPr>
      <w:tblGrid>
        <w:gridCol w:w="37"/>
        <w:gridCol w:w="2991"/>
        <w:gridCol w:w="36"/>
        <w:gridCol w:w="121"/>
        <w:gridCol w:w="711"/>
        <w:gridCol w:w="36"/>
        <w:gridCol w:w="36"/>
        <w:gridCol w:w="36"/>
        <w:gridCol w:w="36"/>
        <w:gridCol w:w="59"/>
        <w:gridCol w:w="640"/>
        <w:gridCol w:w="181"/>
        <w:gridCol w:w="36"/>
        <w:gridCol w:w="36"/>
        <w:gridCol w:w="36"/>
        <w:gridCol w:w="121"/>
        <w:gridCol w:w="711"/>
        <w:gridCol w:w="36"/>
        <w:gridCol w:w="36"/>
        <w:gridCol w:w="36"/>
        <w:gridCol w:w="36"/>
        <w:gridCol w:w="59"/>
        <w:gridCol w:w="640"/>
        <w:gridCol w:w="181"/>
        <w:gridCol w:w="36"/>
        <w:gridCol w:w="36"/>
        <w:gridCol w:w="36"/>
        <w:gridCol w:w="121"/>
        <w:gridCol w:w="712"/>
        <w:gridCol w:w="36"/>
      </w:tblGrid>
      <w:tr w:rsidR="002661BA" w14:paraId="22CFA59A" w14:textId="77777777">
        <w:tc>
          <w:tcPr>
            <w:tcW w:w="50" w:type="pct"/>
            <w:shd w:val="clear" w:color="auto" w:fill="auto"/>
            <w:vAlign w:val="bottom"/>
          </w:tcPr>
          <w:p w14:paraId="22CFA57C" w14:textId="77777777" w:rsidR="002661BA" w:rsidRDefault="002661BA">
            <w:pPr>
              <w:rPr>
                <w:rFonts w:ascii="宋体"/>
              </w:rPr>
            </w:pPr>
          </w:p>
        </w:tc>
        <w:tc>
          <w:tcPr>
            <w:tcW w:w="1991" w:type="pct"/>
            <w:shd w:val="clear" w:color="auto" w:fill="auto"/>
            <w:vAlign w:val="bottom"/>
          </w:tcPr>
          <w:p w14:paraId="22CFA57D" w14:textId="77777777" w:rsidR="002661BA" w:rsidRDefault="002661BA">
            <w:pPr>
              <w:rPr>
                <w:rFonts w:ascii="宋体"/>
              </w:rPr>
            </w:pPr>
          </w:p>
        </w:tc>
        <w:tc>
          <w:tcPr>
            <w:tcW w:w="5" w:type="pct"/>
            <w:shd w:val="clear" w:color="auto" w:fill="auto"/>
            <w:vAlign w:val="bottom"/>
          </w:tcPr>
          <w:p w14:paraId="22CFA57E" w14:textId="77777777" w:rsidR="002661BA" w:rsidRDefault="002661BA">
            <w:pPr>
              <w:rPr>
                <w:rFonts w:ascii="宋体"/>
              </w:rPr>
            </w:pPr>
          </w:p>
        </w:tc>
        <w:tc>
          <w:tcPr>
            <w:tcW w:w="50" w:type="pct"/>
            <w:shd w:val="clear" w:color="auto" w:fill="auto"/>
            <w:vAlign w:val="bottom"/>
          </w:tcPr>
          <w:p w14:paraId="22CFA57F" w14:textId="77777777" w:rsidR="002661BA" w:rsidRDefault="002661BA">
            <w:pPr>
              <w:rPr>
                <w:rFonts w:ascii="宋体"/>
              </w:rPr>
            </w:pPr>
          </w:p>
        </w:tc>
        <w:tc>
          <w:tcPr>
            <w:tcW w:w="510" w:type="pct"/>
            <w:shd w:val="clear" w:color="auto" w:fill="auto"/>
            <w:vAlign w:val="bottom"/>
          </w:tcPr>
          <w:p w14:paraId="22CFA580" w14:textId="77777777" w:rsidR="002661BA" w:rsidRDefault="002661BA">
            <w:pPr>
              <w:rPr>
                <w:rFonts w:ascii="宋体"/>
              </w:rPr>
            </w:pPr>
          </w:p>
        </w:tc>
        <w:tc>
          <w:tcPr>
            <w:tcW w:w="5" w:type="pct"/>
            <w:shd w:val="clear" w:color="auto" w:fill="auto"/>
            <w:vAlign w:val="bottom"/>
          </w:tcPr>
          <w:p w14:paraId="22CFA581" w14:textId="77777777" w:rsidR="002661BA" w:rsidRDefault="002661BA">
            <w:pPr>
              <w:rPr>
                <w:rFonts w:ascii="宋体"/>
              </w:rPr>
            </w:pPr>
          </w:p>
        </w:tc>
        <w:tc>
          <w:tcPr>
            <w:tcW w:w="5" w:type="pct"/>
            <w:shd w:val="clear" w:color="auto" w:fill="auto"/>
            <w:vAlign w:val="bottom"/>
          </w:tcPr>
          <w:p w14:paraId="22CFA582" w14:textId="77777777" w:rsidR="002661BA" w:rsidRDefault="002661BA">
            <w:pPr>
              <w:rPr>
                <w:rFonts w:ascii="宋体"/>
              </w:rPr>
            </w:pPr>
          </w:p>
        </w:tc>
        <w:tc>
          <w:tcPr>
            <w:tcW w:w="21" w:type="pct"/>
            <w:shd w:val="clear" w:color="auto" w:fill="auto"/>
            <w:vAlign w:val="bottom"/>
          </w:tcPr>
          <w:p w14:paraId="22CFA583" w14:textId="77777777" w:rsidR="002661BA" w:rsidRDefault="002661BA">
            <w:pPr>
              <w:rPr>
                <w:rFonts w:ascii="宋体"/>
              </w:rPr>
            </w:pPr>
          </w:p>
        </w:tc>
        <w:tc>
          <w:tcPr>
            <w:tcW w:w="5" w:type="pct"/>
            <w:shd w:val="clear" w:color="auto" w:fill="auto"/>
            <w:vAlign w:val="bottom"/>
          </w:tcPr>
          <w:p w14:paraId="22CFA584" w14:textId="77777777" w:rsidR="002661BA" w:rsidRDefault="002661BA">
            <w:pPr>
              <w:rPr>
                <w:rFonts w:ascii="宋体"/>
              </w:rPr>
            </w:pPr>
          </w:p>
        </w:tc>
        <w:tc>
          <w:tcPr>
            <w:tcW w:w="50" w:type="pct"/>
            <w:shd w:val="clear" w:color="auto" w:fill="auto"/>
            <w:vAlign w:val="bottom"/>
          </w:tcPr>
          <w:p w14:paraId="22CFA585" w14:textId="77777777" w:rsidR="002661BA" w:rsidRDefault="002661BA">
            <w:pPr>
              <w:rPr>
                <w:rFonts w:ascii="宋体"/>
              </w:rPr>
            </w:pPr>
          </w:p>
        </w:tc>
        <w:tc>
          <w:tcPr>
            <w:tcW w:w="510" w:type="pct"/>
            <w:shd w:val="clear" w:color="auto" w:fill="auto"/>
            <w:vAlign w:val="bottom"/>
          </w:tcPr>
          <w:p w14:paraId="22CFA586" w14:textId="77777777" w:rsidR="002661BA" w:rsidRDefault="002661BA">
            <w:pPr>
              <w:rPr>
                <w:rFonts w:ascii="宋体"/>
              </w:rPr>
            </w:pPr>
          </w:p>
        </w:tc>
        <w:tc>
          <w:tcPr>
            <w:tcW w:w="5" w:type="pct"/>
            <w:shd w:val="clear" w:color="auto" w:fill="auto"/>
            <w:vAlign w:val="bottom"/>
          </w:tcPr>
          <w:p w14:paraId="22CFA587" w14:textId="77777777" w:rsidR="002661BA" w:rsidRDefault="002661BA">
            <w:pPr>
              <w:rPr>
                <w:rFonts w:ascii="宋体"/>
              </w:rPr>
            </w:pPr>
          </w:p>
        </w:tc>
        <w:tc>
          <w:tcPr>
            <w:tcW w:w="5" w:type="pct"/>
            <w:shd w:val="clear" w:color="auto" w:fill="auto"/>
            <w:vAlign w:val="bottom"/>
          </w:tcPr>
          <w:p w14:paraId="22CFA588" w14:textId="77777777" w:rsidR="002661BA" w:rsidRDefault="002661BA">
            <w:pPr>
              <w:rPr>
                <w:rFonts w:ascii="宋体"/>
              </w:rPr>
            </w:pPr>
          </w:p>
        </w:tc>
        <w:tc>
          <w:tcPr>
            <w:tcW w:w="21" w:type="pct"/>
            <w:shd w:val="clear" w:color="auto" w:fill="auto"/>
            <w:vAlign w:val="bottom"/>
          </w:tcPr>
          <w:p w14:paraId="22CFA589" w14:textId="77777777" w:rsidR="002661BA" w:rsidRDefault="002661BA">
            <w:pPr>
              <w:rPr>
                <w:rFonts w:ascii="宋体"/>
              </w:rPr>
            </w:pPr>
          </w:p>
        </w:tc>
        <w:tc>
          <w:tcPr>
            <w:tcW w:w="5" w:type="pct"/>
            <w:shd w:val="clear" w:color="auto" w:fill="auto"/>
            <w:vAlign w:val="bottom"/>
          </w:tcPr>
          <w:p w14:paraId="22CFA58A" w14:textId="77777777" w:rsidR="002661BA" w:rsidRDefault="002661BA">
            <w:pPr>
              <w:rPr>
                <w:rFonts w:ascii="宋体"/>
              </w:rPr>
            </w:pPr>
          </w:p>
        </w:tc>
        <w:tc>
          <w:tcPr>
            <w:tcW w:w="50" w:type="pct"/>
            <w:shd w:val="clear" w:color="auto" w:fill="auto"/>
            <w:vAlign w:val="bottom"/>
          </w:tcPr>
          <w:p w14:paraId="22CFA58B" w14:textId="77777777" w:rsidR="002661BA" w:rsidRDefault="002661BA">
            <w:pPr>
              <w:rPr>
                <w:rFonts w:ascii="宋体"/>
              </w:rPr>
            </w:pPr>
          </w:p>
        </w:tc>
        <w:tc>
          <w:tcPr>
            <w:tcW w:w="510" w:type="pct"/>
            <w:shd w:val="clear" w:color="auto" w:fill="auto"/>
            <w:vAlign w:val="bottom"/>
          </w:tcPr>
          <w:p w14:paraId="22CFA58C" w14:textId="77777777" w:rsidR="002661BA" w:rsidRDefault="002661BA">
            <w:pPr>
              <w:rPr>
                <w:rFonts w:ascii="宋体"/>
              </w:rPr>
            </w:pPr>
          </w:p>
        </w:tc>
        <w:tc>
          <w:tcPr>
            <w:tcW w:w="5" w:type="pct"/>
            <w:shd w:val="clear" w:color="auto" w:fill="auto"/>
            <w:vAlign w:val="bottom"/>
          </w:tcPr>
          <w:p w14:paraId="22CFA58D" w14:textId="77777777" w:rsidR="002661BA" w:rsidRDefault="002661BA">
            <w:pPr>
              <w:rPr>
                <w:rFonts w:ascii="宋体"/>
              </w:rPr>
            </w:pPr>
          </w:p>
        </w:tc>
        <w:tc>
          <w:tcPr>
            <w:tcW w:w="5" w:type="pct"/>
            <w:shd w:val="clear" w:color="auto" w:fill="auto"/>
            <w:vAlign w:val="bottom"/>
          </w:tcPr>
          <w:p w14:paraId="22CFA58E" w14:textId="77777777" w:rsidR="002661BA" w:rsidRDefault="002661BA">
            <w:pPr>
              <w:rPr>
                <w:rFonts w:ascii="宋体"/>
              </w:rPr>
            </w:pPr>
          </w:p>
        </w:tc>
        <w:tc>
          <w:tcPr>
            <w:tcW w:w="21" w:type="pct"/>
            <w:shd w:val="clear" w:color="auto" w:fill="auto"/>
            <w:vAlign w:val="bottom"/>
          </w:tcPr>
          <w:p w14:paraId="22CFA58F" w14:textId="77777777" w:rsidR="002661BA" w:rsidRDefault="002661BA">
            <w:pPr>
              <w:rPr>
                <w:rFonts w:ascii="宋体"/>
              </w:rPr>
            </w:pPr>
          </w:p>
        </w:tc>
        <w:tc>
          <w:tcPr>
            <w:tcW w:w="5" w:type="pct"/>
            <w:shd w:val="clear" w:color="auto" w:fill="auto"/>
            <w:vAlign w:val="bottom"/>
          </w:tcPr>
          <w:p w14:paraId="22CFA590" w14:textId="77777777" w:rsidR="002661BA" w:rsidRDefault="002661BA">
            <w:pPr>
              <w:rPr>
                <w:rFonts w:ascii="宋体"/>
              </w:rPr>
            </w:pPr>
          </w:p>
        </w:tc>
        <w:tc>
          <w:tcPr>
            <w:tcW w:w="50" w:type="pct"/>
            <w:shd w:val="clear" w:color="auto" w:fill="auto"/>
            <w:vAlign w:val="bottom"/>
          </w:tcPr>
          <w:p w14:paraId="22CFA591" w14:textId="77777777" w:rsidR="002661BA" w:rsidRDefault="002661BA">
            <w:pPr>
              <w:rPr>
                <w:rFonts w:ascii="宋体"/>
              </w:rPr>
            </w:pPr>
          </w:p>
        </w:tc>
        <w:tc>
          <w:tcPr>
            <w:tcW w:w="510" w:type="pct"/>
            <w:shd w:val="clear" w:color="auto" w:fill="auto"/>
            <w:vAlign w:val="bottom"/>
          </w:tcPr>
          <w:p w14:paraId="22CFA592" w14:textId="77777777" w:rsidR="002661BA" w:rsidRDefault="002661BA">
            <w:pPr>
              <w:rPr>
                <w:rFonts w:ascii="宋体"/>
              </w:rPr>
            </w:pPr>
          </w:p>
        </w:tc>
        <w:tc>
          <w:tcPr>
            <w:tcW w:w="5" w:type="pct"/>
            <w:shd w:val="clear" w:color="auto" w:fill="auto"/>
            <w:vAlign w:val="bottom"/>
          </w:tcPr>
          <w:p w14:paraId="22CFA593" w14:textId="77777777" w:rsidR="002661BA" w:rsidRDefault="002661BA">
            <w:pPr>
              <w:rPr>
                <w:rFonts w:ascii="宋体"/>
              </w:rPr>
            </w:pPr>
          </w:p>
        </w:tc>
        <w:tc>
          <w:tcPr>
            <w:tcW w:w="5" w:type="pct"/>
            <w:shd w:val="clear" w:color="auto" w:fill="auto"/>
            <w:vAlign w:val="bottom"/>
          </w:tcPr>
          <w:p w14:paraId="22CFA594" w14:textId="77777777" w:rsidR="002661BA" w:rsidRDefault="002661BA">
            <w:pPr>
              <w:rPr>
                <w:rFonts w:ascii="宋体"/>
              </w:rPr>
            </w:pPr>
          </w:p>
        </w:tc>
        <w:tc>
          <w:tcPr>
            <w:tcW w:w="21" w:type="pct"/>
            <w:shd w:val="clear" w:color="auto" w:fill="auto"/>
            <w:vAlign w:val="bottom"/>
          </w:tcPr>
          <w:p w14:paraId="22CFA595" w14:textId="77777777" w:rsidR="002661BA" w:rsidRDefault="002661BA">
            <w:pPr>
              <w:rPr>
                <w:rFonts w:ascii="宋体"/>
              </w:rPr>
            </w:pPr>
          </w:p>
        </w:tc>
        <w:tc>
          <w:tcPr>
            <w:tcW w:w="5" w:type="pct"/>
            <w:shd w:val="clear" w:color="auto" w:fill="auto"/>
            <w:vAlign w:val="bottom"/>
          </w:tcPr>
          <w:p w14:paraId="22CFA596" w14:textId="77777777" w:rsidR="002661BA" w:rsidRDefault="002661BA">
            <w:pPr>
              <w:rPr>
                <w:rFonts w:ascii="宋体"/>
              </w:rPr>
            </w:pPr>
          </w:p>
        </w:tc>
        <w:tc>
          <w:tcPr>
            <w:tcW w:w="50" w:type="pct"/>
            <w:shd w:val="clear" w:color="auto" w:fill="auto"/>
            <w:vAlign w:val="bottom"/>
          </w:tcPr>
          <w:p w14:paraId="22CFA597" w14:textId="77777777" w:rsidR="002661BA" w:rsidRDefault="002661BA">
            <w:pPr>
              <w:rPr>
                <w:rFonts w:ascii="宋体"/>
              </w:rPr>
            </w:pPr>
          </w:p>
        </w:tc>
        <w:tc>
          <w:tcPr>
            <w:tcW w:w="511" w:type="pct"/>
            <w:shd w:val="clear" w:color="auto" w:fill="auto"/>
            <w:vAlign w:val="bottom"/>
          </w:tcPr>
          <w:p w14:paraId="22CFA598" w14:textId="77777777" w:rsidR="002661BA" w:rsidRDefault="002661BA">
            <w:pPr>
              <w:rPr>
                <w:rFonts w:ascii="宋体"/>
              </w:rPr>
            </w:pPr>
          </w:p>
        </w:tc>
        <w:tc>
          <w:tcPr>
            <w:tcW w:w="5" w:type="pct"/>
            <w:shd w:val="clear" w:color="auto" w:fill="auto"/>
            <w:vAlign w:val="bottom"/>
          </w:tcPr>
          <w:p w14:paraId="22CFA599" w14:textId="77777777" w:rsidR="002661BA" w:rsidRDefault="002661BA">
            <w:pPr>
              <w:rPr>
                <w:rFonts w:ascii="宋体"/>
              </w:rPr>
            </w:pPr>
          </w:p>
        </w:tc>
      </w:tr>
      <w:tr w:rsidR="002661BA" w14:paraId="22CFA59D" w14:textId="77777777">
        <w:tc>
          <w:tcPr>
            <w:tcW w:w="0" w:type="auto"/>
            <w:gridSpan w:val="3"/>
            <w:shd w:val="clear" w:color="auto" w:fill="auto"/>
            <w:tcMar>
              <w:top w:w="40" w:type="dxa"/>
              <w:left w:w="20" w:type="dxa"/>
              <w:bottom w:w="40" w:type="dxa"/>
              <w:right w:w="20" w:type="dxa"/>
            </w:tcMar>
            <w:vAlign w:val="bottom"/>
          </w:tcPr>
          <w:p w14:paraId="22CFA59B" w14:textId="77777777" w:rsidR="002661BA" w:rsidRDefault="00D972BC">
            <w:pPr>
              <w:textAlignment w:val="bottom"/>
            </w:pPr>
            <w:r>
              <w:rPr>
                <w:rFonts w:ascii="Arial" w:eastAsia="宋体" w:hAnsi="Arial" w:cs="Arial"/>
                <w:color w:val="000000"/>
                <w:sz w:val="18"/>
                <w:szCs w:val="18"/>
              </w:rPr>
              <w:t> </w:t>
            </w:r>
          </w:p>
        </w:tc>
        <w:tc>
          <w:tcPr>
            <w:tcW w:w="0" w:type="auto"/>
            <w:gridSpan w:val="27"/>
            <w:shd w:val="clear" w:color="auto" w:fill="auto"/>
            <w:tcMar>
              <w:top w:w="40" w:type="dxa"/>
              <w:left w:w="20" w:type="dxa"/>
              <w:bottom w:w="40" w:type="dxa"/>
              <w:right w:w="20" w:type="dxa"/>
            </w:tcMar>
            <w:vAlign w:val="bottom"/>
          </w:tcPr>
          <w:p w14:paraId="22CFA59C"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A5A8" w14:textId="77777777">
        <w:tc>
          <w:tcPr>
            <w:tcW w:w="0" w:type="auto"/>
            <w:gridSpan w:val="3"/>
            <w:shd w:val="clear" w:color="auto" w:fill="auto"/>
            <w:tcMar>
              <w:top w:w="40" w:type="dxa"/>
              <w:left w:w="20" w:type="dxa"/>
              <w:bottom w:w="40" w:type="dxa"/>
              <w:right w:w="20" w:type="dxa"/>
            </w:tcMar>
            <w:vAlign w:val="center"/>
          </w:tcPr>
          <w:p w14:paraId="22CFA59E" w14:textId="77777777" w:rsidR="002661BA" w:rsidRDefault="00D972BC">
            <w:pPr>
              <w:textAlignment w:val="center"/>
            </w:pPr>
            <w:r>
              <w:rPr>
                <w:rFonts w:ascii="Arial" w:eastAsia="宋体" w:hAnsi="Arial" w:cs="Arial"/>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59F"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5A0"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5A1" w14:textId="77777777" w:rsidR="002661BA" w:rsidRDefault="00D972BC">
            <w:pPr>
              <w:jc w:val="center"/>
              <w:textAlignment w:val="bottom"/>
            </w:pPr>
            <w:r>
              <w:rPr>
                <w:rFonts w:ascii="Arial" w:eastAsia="宋体" w:hAnsi="Arial" w:cs="Arial"/>
                <w:b/>
                <w:bCs/>
                <w:color w:val="000000"/>
                <w:sz w:val="17"/>
                <w:szCs w:val="17"/>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5A2"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5A3"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5A4"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5A5" w14:textId="77777777" w:rsidR="002661BA" w:rsidRDefault="00D972BC">
            <w:pPr>
              <w:jc w:val="center"/>
              <w:textAlignment w:val="bottom"/>
            </w:pPr>
            <w:r>
              <w:rPr>
                <w:rFonts w:ascii="Arial" w:eastAsia="宋体" w:hAnsi="Arial" w:cs="Arial"/>
                <w:b/>
                <w:bCs/>
                <w:color w:val="000000"/>
                <w:sz w:val="17"/>
                <w:szCs w:val="17"/>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5A6"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5A7"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A5BB" w14:textId="77777777">
        <w:tc>
          <w:tcPr>
            <w:tcW w:w="0" w:type="auto"/>
            <w:gridSpan w:val="3"/>
            <w:shd w:val="clear" w:color="auto" w:fill="DBDBDB"/>
            <w:tcMar>
              <w:top w:w="40" w:type="dxa"/>
              <w:left w:w="20" w:type="dxa"/>
              <w:bottom w:w="40" w:type="dxa"/>
              <w:right w:w="20" w:type="dxa"/>
            </w:tcMar>
            <w:vAlign w:val="bottom"/>
          </w:tcPr>
          <w:p w14:paraId="22CFA5A9" w14:textId="77777777" w:rsidR="002661BA" w:rsidRDefault="00D972BC">
            <w:pPr>
              <w:textAlignment w:val="bottom"/>
            </w:pPr>
            <w:r>
              <w:rPr>
                <w:rFonts w:ascii="Arial" w:eastAsia="宋体" w:hAnsi="Arial" w:cs="Arial"/>
                <w:color w:val="000000"/>
                <w:sz w:val="18"/>
                <w:szCs w:val="18"/>
              </w:rPr>
              <w:t>Net transaction revenues</w:t>
            </w:r>
          </w:p>
        </w:tc>
        <w:tc>
          <w:tcPr>
            <w:tcW w:w="0" w:type="auto"/>
            <w:tcBorders>
              <w:top w:val="single" w:sz="8" w:space="0" w:color="000000"/>
            </w:tcBorders>
            <w:shd w:val="clear" w:color="auto" w:fill="DBDBDB"/>
            <w:tcMar>
              <w:top w:w="40" w:type="dxa"/>
              <w:left w:w="20" w:type="dxa"/>
              <w:bottom w:w="40" w:type="dxa"/>
              <w:right w:w="0" w:type="dxa"/>
            </w:tcMar>
            <w:vAlign w:val="bottom"/>
          </w:tcPr>
          <w:p w14:paraId="22CFA5AA"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A5AB" w14:textId="77777777" w:rsidR="002661BA" w:rsidRDefault="00D972BC">
            <w:pPr>
              <w:jc w:val="right"/>
              <w:textAlignment w:val="bottom"/>
            </w:pPr>
            <w:r>
              <w:rPr>
                <w:rFonts w:ascii="Arial" w:eastAsia="宋体" w:hAnsi="Arial" w:cs="Arial"/>
                <w:color w:val="000000"/>
                <w:sz w:val="18"/>
                <w:szCs w:val="18"/>
              </w:rPr>
              <w:t>9,772 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A5AC"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A5AD"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A5AE" w14:textId="77777777" w:rsidR="002661BA" w:rsidRDefault="00D972BC">
            <w:pPr>
              <w:jc w:val="right"/>
              <w:textAlignment w:val="bottom"/>
            </w:pPr>
            <w:r>
              <w:rPr>
                <w:rFonts w:ascii="Arial" w:eastAsia="宋体" w:hAnsi="Arial" w:cs="Arial"/>
                <w:color w:val="000000"/>
                <w:sz w:val="18"/>
                <w:szCs w:val="18"/>
              </w:rPr>
              <w:t>19 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A5AF"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DBDBDB"/>
            <w:tcMar>
              <w:top w:w="0" w:type="dxa"/>
              <w:left w:w="20" w:type="dxa"/>
              <w:bottom w:w="0" w:type="dxa"/>
              <w:right w:w="20" w:type="dxa"/>
            </w:tcMar>
            <w:vAlign w:val="bottom"/>
          </w:tcPr>
          <w:p w14:paraId="22CFA5B0"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A5B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A5B2" w14:textId="77777777" w:rsidR="002661BA" w:rsidRDefault="00D972BC">
            <w:pPr>
              <w:jc w:val="right"/>
              <w:textAlignment w:val="bottom"/>
            </w:pPr>
            <w:r>
              <w:rPr>
                <w:rFonts w:ascii="Arial" w:eastAsia="宋体" w:hAnsi="Arial" w:cs="Arial"/>
                <w:color w:val="000000"/>
                <w:sz w:val="18"/>
                <w:szCs w:val="18"/>
              </w:rPr>
              <w:t>8,243 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A5B3"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A5B4"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A5B5" w14:textId="77777777" w:rsidR="002661BA" w:rsidRDefault="00D972BC">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A5B6"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DBDBDB"/>
            <w:tcMar>
              <w:top w:w="0" w:type="dxa"/>
              <w:left w:w="20" w:type="dxa"/>
              <w:bottom w:w="0" w:type="dxa"/>
              <w:right w:w="20" w:type="dxa"/>
            </w:tcMar>
            <w:vAlign w:val="bottom"/>
          </w:tcPr>
          <w:p w14:paraId="22CFA5B7"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A5B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A5B9" w14:textId="77777777" w:rsidR="002661BA" w:rsidRDefault="00D972BC">
            <w:pPr>
              <w:jc w:val="right"/>
              <w:textAlignment w:val="bottom"/>
            </w:pPr>
            <w:r>
              <w:rPr>
                <w:rFonts w:ascii="Arial" w:eastAsia="宋体" w:hAnsi="Arial" w:cs="Arial"/>
                <w:color w:val="000000"/>
                <w:sz w:val="18"/>
                <w:szCs w:val="18"/>
              </w:rPr>
              <w:t>6,581 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A5BA" w14:textId="77777777" w:rsidR="002661BA" w:rsidRDefault="002661BA">
            <w:pPr>
              <w:jc w:val="right"/>
              <w:rPr>
                <w:rFonts w:ascii="宋体"/>
              </w:rPr>
            </w:pPr>
          </w:p>
        </w:tc>
      </w:tr>
      <w:tr w:rsidR="002661BA" w14:paraId="22CFA5C6" w14:textId="77777777">
        <w:trPr>
          <w:hidden/>
        </w:trPr>
        <w:tc>
          <w:tcPr>
            <w:tcW w:w="0" w:type="auto"/>
            <w:gridSpan w:val="3"/>
            <w:shd w:val="clear" w:color="auto" w:fill="auto"/>
            <w:vAlign w:val="bottom"/>
          </w:tcPr>
          <w:p w14:paraId="22CFA5BC" w14:textId="77777777" w:rsidR="002661BA" w:rsidRDefault="002661BA">
            <w:pPr>
              <w:rPr>
                <w:rFonts w:ascii="宋体"/>
                <w:vanish/>
              </w:rPr>
            </w:pPr>
          </w:p>
        </w:tc>
        <w:tc>
          <w:tcPr>
            <w:tcW w:w="0" w:type="auto"/>
            <w:gridSpan w:val="3"/>
            <w:shd w:val="clear" w:color="auto" w:fill="auto"/>
            <w:vAlign w:val="bottom"/>
          </w:tcPr>
          <w:p w14:paraId="22CFA5BD" w14:textId="77777777" w:rsidR="002661BA" w:rsidRDefault="002661BA">
            <w:pPr>
              <w:rPr>
                <w:rFonts w:ascii="宋体"/>
                <w:vanish/>
              </w:rPr>
            </w:pPr>
          </w:p>
        </w:tc>
        <w:tc>
          <w:tcPr>
            <w:tcW w:w="0" w:type="auto"/>
            <w:gridSpan w:val="3"/>
            <w:shd w:val="clear" w:color="auto" w:fill="auto"/>
            <w:vAlign w:val="bottom"/>
          </w:tcPr>
          <w:p w14:paraId="22CFA5BE" w14:textId="77777777" w:rsidR="002661BA" w:rsidRDefault="002661BA">
            <w:pPr>
              <w:rPr>
                <w:rFonts w:ascii="宋体"/>
                <w:vanish/>
              </w:rPr>
            </w:pPr>
          </w:p>
        </w:tc>
        <w:tc>
          <w:tcPr>
            <w:tcW w:w="0" w:type="auto"/>
            <w:gridSpan w:val="3"/>
            <w:shd w:val="clear" w:color="auto" w:fill="auto"/>
            <w:vAlign w:val="bottom"/>
          </w:tcPr>
          <w:p w14:paraId="22CFA5BF" w14:textId="77777777" w:rsidR="002661BA" w:rsidRDefault="002661BA">
            <w:pPr>
              <w:rPr>
                <w:rFonts w:ascii="宋体"/>
                <w:vanish/>
              </w:rPr>
            </w:pPr>
          </w:p>
        </w:tc>
        <w:tc>
          <w:tcPr>
            <w:tcW w:w="0" w:type="auto"/>
            <w:gridSpan w:val="3"/>
            <w:shd w:val="clear" w:color="auto" w:fill="auto"/>
            <w:vAlign w:val="bottom"/>
          </w:tcPr>
          <w:p w14:paraId="22CFA5C0" w14:textId="77777777" w:rsidR="002661BA" w:rsidRDefault="002661BA">
            <w:pPr>
              <w:rPr>
                <w:rFonts w:ascii="宋体"/>
                <w:vanish/>
              </w:rPr>
            </w:pPr>
          </w:p>
        </w:tc>
        <w:tc>
          <w:tcPr>
            <w:tcW w:w="0" w:type="auto"/>
            <w:gridSpan w:val="3"/>
            <w:shd w:val="clear" w:color="auto" w:fill="auto"/>
            <w:vAlign w:val="bottom"/>
          </w:tcPr>
          <w:p w14:paraId="22CFA5C1" w14:textId="77777777" w:rsidR="002661BA" w:rsidRDefault="002661BA">
            <w:pPr>
              <w:rPr>
                <w:rFonts w:ascii="宋体"/>
                <w:vanish/>
              </w:rPr>
            </w:pPr>
          </w:p>
        </w:tc>
        <w:tc>
          <w:tcPr>
            <w:tcW w:w="0" w:type="auto"/>
            <w:gridSpan w:val="3"/>
            <w:shd w:val="clear" w:color="auto" w:fill="auto"/>
            <w:vAlign w:val="bottom"/>
          </w:tcPr>
          <w:p w14:paraId="22CFA5C2" w14:textId="77777777" w:rsidR="002661BA" w:rsidRDefault="002661BA">
            <w:pPr>
              <w:rPr>
                <w:rFonts w:ascii="宋体"/>
                <w:vanish/>
              </w:rPr>
            </w:pPr>
          </w:p>
        </w:tc>
        <w:tc>
          <w:tcPr>
            <w:tcW w:w="0" w:type="auto"/>
            <w:gridSpan w:val="3"/>
            <w:shd w:val="clear" w:color="auto" w:fill="auto"/>
            <w:vAlign w:val="bottom"/>
          </w:tcPr>
          <w:p w14:paraId="22CFA5C3" w14:textId="77777777" w:rsidR="002661BA" w:rsidRDefault="002661BA">
            <w:pPr>
              <w:rPr>
                <w:rFonts w:ascii="宋体"/>
                <w:vanish/>
              </w:rPr>
            </w:pPr>
          </w:p>
        </w:tc>
        <w:tc>
          <w:tcPr>
            <w:tcW w:w="0" w:type="auto"/>
            <w:gridSpan w:val="3"/>
            <w:shd w:val="clear" w:color="auto" w:fill="auto"/>
            <w:vAlign w:val="bottom"/>
          </w:tcPr>
          <w:p w14:paraId="22CFA5C4" w14:textId="77777777" w:rsidR="002661BA" w:rsidRDefault="002661BA">
            <w:pPr>
              <w:rPr>
                <w:rFonts w:ascii="宋体"/>
                <w:vanish/>
              </w:rPr>
            </w:pPr>
          </w:p>
        </w:tc>
        <w:tc>
          <w:tcPr>
            <w:tcW w:w="0" w:type="auto"/>
            <w:gridSpan w:val="3"/>
            <w:shd w:val="clear" w:color="auto" w:fill="auto"/>
            <w:vAlign w:val="bottom"/>
          </w:tcPr>
          <w:p w14:paraId="22CFA5C5" w14:textId="77777777" w:rsidR="002661BA" w:rsidRDefault="002661BA">
            <w:pPr>
              <w:rPr>
                <w:rFonts w:ascii="宋体"/>
                <w:vanish/>
              </w:rPr>
            </w:pPr>
          </w:p>
        </w:tc>
      </w:tr>
      <w:tr w:rsidR="002661BA" w14:paraId="22CFA5D1" w14:textId="77777777">
        <w:trPr>
          <w:hidden/>
        </w:trPr>
        <w:tc>
          <w:tcPr>
            <w:tcW w:w="0" w:type="auto"/>
            <w:gridSpan w:val="3"/>
            <w:shd w:val="clear" w:color="auto" w:fill="auto"/>
            <w:vAlign w:val="bottom"/>
          </w:tcPr>
          <w:p w14:paraId="22CFA5C7" w14:textId="77777777" w:rsidR="002661BA" w:rsidRDefault="002661BA">
            <w:pPr>
              <w:rPr>
                <w:rFonts w:ascii="宋体"/>
                <w:vanish/>
              </w:rPr>
            </w:pPr>
          </w:p>
        </w:tc>
        <w:tc>
          <w:tcPr>
            <w:tcW w:w="0" w:type="auto"/>
            <w:gridSpan w:val="3"/>
            <w:shd w:val="clear" w:color="auto" w:fill="auto"/>
            <w:vAlign w:val="bottom"/>
          </w:tcPr>
          <w:p w14:paraId="22CFA5C8" w14:textId="77777777" w:rsidR="002661BA" w:rsidRDefault="002661BA">
            <w:pPr>
              <w:rPr>
                <w:rFonts w:ascii="宋体"/>
                <w:vanish/>
              </w:rPr>
            </w:pPr>
          </w:p>
        </w:tc>
        <w:tc>
          <w:tcPr>
            <w:tcW w:w="0" w:type="auto"/>
            <w:gridSpan w:val="3"/>
            <w:shd w:val="clear" w:color="auto" w:fill="auto"/>
            <w:vAlign w:val="bottom"/>
          </w:tcPr>
          <w:p w14:paraId="22CFA5C9" w14:textId="77777777" w:rsidR="002661BA" w:rsidRDefault="002661BA">
            <w:pPr>
              <w:rPr>
                <w:rFonts w:ascii="宋体"/>
                <w:vanish/>
              </w:rPr>
            </w:pPr>
          </w:p>
        </w:tc>
        <w:tc>
          <w:tcPr>
            <w:tcW w:w="0" w:type="auto"/>
            <w:gridSpan w:val="3"/>
            <w:shd w:val="clear" w:color="auto" w:fill="auto"/>
            <w:vAlign w:val="bottom"/>
          </w:tcPr>
          <w:p w14:paraId="22CFA5CA" w14:textId="77777777" w:rsidR="002661BA" w:rsidRDefault="002661BA">
            <w:pPr>
              <w:rPr>
                <w:rFonts w:ascii="宋体"/>
                <w:vanish/>
              </w:rPr>
            </w:pPr>
          </w:p>
        </w:tc>
        <w:tc>
          <w:tcPr>
            <w:tcW w:w="0" w:type="auto"/>
            <w:gridSpan w:val="3"/>
            <w:shd w:val="clear" w:color="auto" w:fill="auto"/>
            <w:vAlign w:val="bottom"/>
          </w:tcPr>
          <w:p w14:paraId="22CFA5CB" w14:textId="77777777" w:rsidR="002661BA" w:rsidRDefault="002661BA">
            <w:pPr>
              <w:rPr>
                <w:rFonts w:ascii="宋体"/>
                <w:vanish/>
              </w:rPr>
            </w:pPr>
          </w:p>
        </w:tc>
        <w:tc>
          <w:tcPr>
            <w:tcW w:w="0" w:type="auto"/>
            <w:gridSpan w:val="3"/>
            <w:shd w:val="clear" w:color="auto" w:fill="auto"/>
            <w:vAlign w:val="bottom"/>
          </w:tcPr>
          <w:p w14:paraId="22CFA5CC" w14:textId="77777777" w:rsidR="002661BA" w:rsidRDefault="002661BA">
            <w:pPr>
              <w:rPr>
                <w:rFonts w:ascii="宋体"/>
                <w:vanish/>
              </w:rPr>
            </w:pPr>
          </w:p>
        </w:tc>
        <w:tc>
          <w:tcPr>
            <w:tcW w:w="0" w:type="auto"/>
            <w:gridSpan w:val="3"/>
            <w:shd w:val="clear" w:color="auto" w:fill="auto"/>
            <w:vAlign w:val="bottom"/>
          </w:tcPr>
          <w:p w14:paraId="22CFA5CD" w14:textId="77777777" w:rsidR="002661BA" w:rsidRDefault="002661BA">
            <w:pPr>
              <w:rPr>
                <w:rFonts w:ascii="宋体"/>
                <w:vanish/>
              </w:rPr>
            </w:pPr>
          </w:p>
        </w:tc>
        <w:tc>
          <w:tcPr>
            <w:tcW w:w="0" w:type="auto"/>
            <w:gridSpan w:val="3"/>
            <w:shd w:val="clear" w:color="auto" w:fill="auto"/>
            <w:vAlign w:val="bottom"/>
          </w:tcPr>
          <w:p w14:paraId="22CFA5CE" w14:textId="77777777" w:rsidR="002661BA" w:rsidRDefault="002661BA">
            <w:pPr>
              <w:rPr>
                <w:rFonts w:ascii="宋体"/>
                <w:vanish/>
              </w:rPr>
            </w:pPr>
          </w:p>
        </w:tc>
        <w:tc>
          <w:tcPr>
            <w:tcW w:w="0" w:type="auto"/>
            <w:gridSpan w:val="3"/>
            <w:shd w:val="clear" w:color="auto" w:fill="auto"/>
            <w:vAlign w:val="bottom"/>
          </w:tcPr>
          <w:p w14:paraId="22CFA5CF" w14:textId="77777777" w:rsidR="002661BA" w:rsidRDefault="002661BA">
            <w:pPr>
              <w:rPr>
                <w:rFonts w:ascii="宋体"/>
                <w:vanish/>
              </w:rPr>
            </w:pPr>
          </w:p>
        </w:tc>
        <w:tc>
          <w:tcPr>
            <w:tcW w:w="0" w:type="auto"/>
            <w:gridSpan w:val="3"/>
            <w:shd w:val="clear" w:color="auto" w:fill="auto"/>
            <w:vAlign w:val="bottom"/>
          </w:tcPr>
          <w:p w14:paraId="22CFA5D0" w14:textId="77777777" w:rsidR="002661BA" w:rsidRDefault="002661BA">
            <w:pPr>
              <w:rPr>
                <w:rFonts w:ascii="宋体"/>
                <w:vanish/>
              </w:rPr>
            </w:pPr>
          </w:p>
        </w:tc>
      </w:tr>
      <w:tr w:rsidR="002661BA" w14:paraId="22CFA5DC" w14:textId="77777777">
        <w:trPr>
          <w:hidden/>
        </w:trPr>
        <w:tc>
          <w:tcPr>
            <w:tcW w:w="0" w:type="auto"/>
            <w:gridSpan w:val="3"/>
            <w:shd w:val="clear" w:color="auto" w:fill="auto"/>
            <w:vAlign w:val="bottom"/>
          </w:tcPr>
          <w:p w14:paraId="22CFA5D2" w14:textId="77777777" w:rsidR="002661BA" w:rsidRDefault="002661BA">
            <w:pPr>
              <w:rPr>
                <w:rFonts w:ascii="宋体"/>
                <w:vanish/>
              </w:rPr>
            </w:pPr>
          </w:p>
        </w:tc>
        <w:tc>
          <w:tcPr>
            <w:tcW w:w="0" w:type="auto"/>
            <w:gridSpan w:val="3"/>
            <w:shd w:val="clear" w:color="auto" w:fill="auto"/>
            <w:vAlign w:val="bottom"/>
          </w:tcPr>
          <w:p w14:paraId="22CFA5D3" w14:textId="77777777" w:rsidR="002661BA" w:rsidRDefault="002661BA">
            <w:pPr>
              <w:rPr>
                <w:rFonts w:ascii="宋体"/>
                <w:vanish/>
              </w:rPr>
            </w:pPr>
          </w:p>
        </w:tc>
        <w:tc>
          <w:tcPr>
            <w:tcW w:w="0" w:type="auto"/>
            <w:gridSpan w:val="3"/>
            <w:shd w:val="clear" w:color="auto" w:fill="auto"/>
            <w:vAlign w:val="bottom"/>
          </w:tcPr>
          <w:p w14:paraId="22CFA5D4" w14:textId="77777777" w:rsidR="002661BA" w:rsidRDefault="002661BA">
            <w:pPr>
              <w:rPr>
                <w:rFonts w:ascii="宋体"/>
                <w:vanish/>
              </w:rPr>
            </w:pPr>
          </w:p>
        </w:tc>
        <w:tc>
          <w:tcPr>
            <w:tcW w:w="0" w:type="auto"/>
            <w:gridSpan w:val="3"/>
            <w:shd w:val="clear" w:color="auto" w:fill="auto"/>
            <w:vAlign w:val="bottom"/>
          </w:tcPr>
          <w:p w14:paraId="22CFA5D5" w14:textId="77777777" w:rsidR="002661BA" w:rsidRDefault="002661BA">
            <w:pPr>
              <w:rPr>
                <w:rFonts w:ascii="宋体"/>
                <w:vanish/>
              </w:rPr>
            </w:pPr>
          </w:p>
        </w:tc>
        <w:tc>
          <w:tcPr>
            <w:tcW w:w="0" w:type="auto"/>
            <w:gridSpan w:val="3"/>
            <w:shd w:val="clear" w:color="auto" w:fill="auto"/>
            <w:vAlign w:val="bottom"/>
          </w:tcPr>
          <w:p w14:paraId="22CFA5D6" w14:textId="77777777" w:rsidR="002661BA" w:rsidRDefault="002661BA">
            <w:pPr>
              <w:rPr>
                <w:rFonts w:ascii="宋体"/>
                <w:vanish/>
              </w:rPr>
            </w:pPr>
          </w:p>
        </w:tc>
        <w:tc>
          <w:tcPr>
            <w:tcW w:w="0" w:type="auto"/>
            <w:gridSpan w:val="3"/>
            <w:shd w:val="clear" w:color="auto" w:fill="auto"/>
            <w:vAlign w:val="bottom"/>
          </w:tcPr>
          <w:p w14:paraId="22CFA5D7" w14:textId="77777777" w:rsidR="002661BA" w:rsidRDefault="002661BA">
            <w:pPr>
              <w:rPr>
                <w:rFonts w:ascii="宋体"/>
                <w:vanish/>
              </w:rPr>
            </w:pPr>
          </w:p>
        </w:tc>
        <w:tc>
          <w:tcPr>
            <w:tcW w:w="0" w:type="auto"/>
            <w:gridSpan w:val="3"/>
            <w:shd w:val="clear" w:color="auto" w:fill="auto"/>
            <w:vAlign w:val="bottom"/>
          </w:tcPr>
          <w:p w14:paraId="22CFA5D8" w14:textId="77777777" w:rsidR="002661BA" w:rsidRDefault="002661BA">
            <w:pPr>
              <w:rPr>
                <w:rFonts w:ascii="宋体"/>
                <w:vanish/>
              </w:rPr>
            </w:pPr>
          </w:p>
        </w:tc>
        <w:tc>
          <w:tcPr>
            <w:tcW w:w="0" w:type="auto"/>
            <w:gridSpan w:val="3"/>
            <w:shd w:val="clear" w:color="auto" w:fill="auto"/>
            <w:vAlign w:val="bottom"/>
          </w:tcPr>
          <w:p w14:paraId="22CFA5D9" w14:textId="77777777" w:rsidR="002661BA" w:rsidRDefault="002661BA">
            <w:pPr>
              <w:rPr>
                <w:rFonts w:ascii="宋体"/>
                <w:vanish/>
              </w:rPr>
            </w:pPr>
          </w:p>
        </w:tc>
        <w:tc>
          <w:tcPr>
            <w:tcW w:w="0" w:type="auto"/>
            <w:gridSpan w:val="3"/>
            <w:shd w:val="clear" w:color="auto" w:fill="auto"/>
            <w:vAlign w:val="bottom"/>
          </w:tcPr>
          <w:p w14:paraId="22CFA5DA" w14:textId="77777777" w:rsidR="002661BA" w:rsidRDefault="002661BA">
            <w:pPr>
              <w:rPr>
                <w:rFonts w:ascii="宋体"/>
                <w:vanish/>
              </w:rPr>
            </w:pPr>
          </w:p>
        </w:tc>
        <w:tc>
          <w:tcPr>
            <w:tcW w:w="0" w:type="auto"/>
            <w:gridSpan w:val="3"/>
            <w:shd w:val="clear" w:color="auto" w:fill="auto"/>
            <w:vAlign w:val="bottom"/>
          </w:tcPr>
          <w:p w14:paraId="22CFA5DB" w14:textId="77777777" w:rsidR="002661BA" w:rsidRDefault="002661BA">
            <w:pPr>
              <w:rPr>
                <w:rFonts w:ascii="宋体"/>
                <w:vanish/>
              </w:rPr>
            </w:pPr>
          </w:p>
        </w:tc>
      </w:tr>
      <w:tr w:rsidR="002661BA" w14:paraId="22CFA5EC" w14:textId="77777777">
        <w:tc>
          <w:tcPr>
            <w:tcW w:w="0" w:type="auto"/>
            <w:gridSpan w:val="3"/>
            <w:shd w:val="clear" w:color="auto" w:fill="FFFFFF"/>
            <w:tcMar>
              <w:top w:w="40" w:type="dxa"/>
              <w:left w:w="20" w:type="dxa"/>
              <w:bottom w:w="40" w:type="dxa"/>
              <w:right w:w="20" w:type="dxa"/>
            </w:tcMar>
            <w:vAlign w:val="bottom"/>
          </w:tcPr>
          <w:p w14:paraId="22CFA5DD" w14:textId="77777777" w:rsidR="002661BA" w:rsidRDefault="00D972BC">
            <w:pPr>
              <w:textAlignment w:val="bottom"/>
            </w:pPr>
            <w:r>
              <w:rPr>
                <w:rFonts w:ascii="Arial" w:eastAsia="宋体" w:hAnsi="Arial" w:cs="Arial"/>
                <w:color w:val="000000"/>
                <w:sz w:val="18"/>
                <w:szCs w:val="18"/>
              </w:rPr>
              <w:t>Marketing services and other revenues</w:t>
            </w:r>
          </w:p>
        </w:tc>
        <w:tc>
          <w:tcPr>
            <w:tcW w:w="0" w:type="auto"/>
            <w:gridSpan w:val="2"/>
            <w:shd w:val="clear" w:color="auto" w:fill="FFFFFF"/>
            <w:tcMar>
              <w:top w:w="40" w:type="dxa"/>
              <w:left w:w="20" w:type="dxa"/>
              <w:bottom w:w="40" w:type="dxa"/>
              <w:right w:w="0" w:type="dxa"/>
            </w:tcMar>
            <w:vAlign w:val="bottom"/>
          </w:tcPr>
          <w:p w14:paraId="22CFA5DE" w14:textId="77777777" w:rsidR="002661BA" w:rsidRDefault="00D972BC">
            <w:pPr>
              <w:jc w:val="right"/>
              <w:textAlignment w:val="bottom"/>
            </w:pPr>
            <w:r>
              <w:rPr>
                <w:rFonts w:ascii="Arial" w:eastAsia="宋体" w:hAnsi="Arial" w:cs="Arial"/>
                <w:color w:val="000000"/>
                <w:sz w:val="18"/>
                <w:szCs w:val="18"/>
              </w:rPr>
              <w:t>648 </w:t>
            </w:r>
          </w:p>
        </w:tc>
        <w:tc>
          <w:tcPr>
            <w:tcW w:w="0" w:type="auto"/>
            <w:shd w:val="clear" w:color="auto" w:fill="FFFFFF"/>
            <w:tcMar>
              <w:top w:w="40" w:type="dxa"/>
              <w:left w:w="0" w:type="dxa"/>
              <w:bottom w:w="40" w:type="dxa"/>
              <w:right w:w="20" w:type="dxa"/>
            </w:tcMar>
            <w:vAlign w:val="bottom"/>
          </w:tcPr>
          <w:p w14:paraId="22CFA5D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5E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5E1"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A5E2"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5E3"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5E4" w14:textId="77777777" w:rsidR="002661BA" w:rsidRDefault="00D972BC">
            <w:pPr>
              <w:jc w:val="right"/>
              <w:textAlignment w:val="bottom"/>
            </w:pPr>
            <w:r>
              <w:rPr>
                <w:rFonts w:ascii="Arial" w:eastAsia="宋体" w:hAnsi="Arial" w:cs="Arial"/>
                <w:color w:val="000000"/>
                <w:sz w:val="18"/>
                <w:szCs w:val="18"/>
              </w:rPr>
              <w:t>651 </w:t>
            </w:r>
          </w:p>
        </w:tc>
        <w:tc>
          <w:tcPr>
            <w:tcW w:w="0" w:type="auto"/>
            <w:shd w:val="clear" w:color="auto" w:fill="FFFFFF"/>
            <w:tcMar>
              <w:top w:w="40" w:type="dxa"/>
              <w:left w:w="0" w:type="dxa"/>
              <w:bottom w:w="40" w:type="dxa"/>
              <w:right w:w="20" w:type="dxa"/>
            </w:tcMar>
            <w:vAlign w:val="bottom"/>
          </w:tcPr>
          <w:p w14:paraId="22CFA5E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5E6"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5E7" w14:textId="77777777" w:rsidR="002661BA" w:rsidRDefault="00D972BC">
            <w:pPr>
              <w:jc w:val="right"/>
              <w:textAlignment w:val="bottom"/>
            </w:pPr>
            <w:r>
              <w:rPr>
                <w:rFonts w:ascii="Arial" w:eastAsia="宋体" w:hAnsi="Arial" w:cs="Arial"/>
                <w:color w:val="000000"/>
                <w:sz w:val="18"/>
                <w:szCs w:val="18"/>
              </w:rPr>
              <w:t>(23)</w:t>
            </w:r>
          </w:p>
        </w:tc>
        <w:tc>
          <w:tcPr>
            <w:tcW w:w="0" w:type="auto"/>
            <w:shd w:val="clear" w:color="auto" w:fill="FFFFFF"/>
            <w:tcMar>
              <w:top w:w="40" w:type="dxa"/>
              <w:left w:w="0" w:type="dxa"/>
              <w:bottom w:w="40" w:type="dxa"/>
              <w:right w:w="20" w:type="dxa"/>
            </w:tcMar>
            <w:vAlign w:val="bottom"/>
          </w:tcPr>
          <w:p w14:paraId="22CFA5E8"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5E9"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5EA" w14:textId="77777777" w:rsidR="002661BA" w:rsidRDefault="00D972BC">
            <w:pPr>
              <w:jc w:val="right"/>
              <w:textAlignment w:val="bottom"/>
            </w:pPr>
            <w:r>
              <w:rPr>
                <w:rFonts w:ascii="Arial" w:eastAsia="宋体" w:hAnsi="Arial" w:cs="Arial"/>
                <w:color w:val="000000"/>
                <w:sz w:val="18"/>
                <w:szCs w:val="18"/>
              </w:rPr>
              <w:t>848 </w:t>
            </w:r>
          </w:p>
        </w:tc>
        <w:tc>
          <w:tcPr>
            <w:tcW w:w="0" w:type="auto"/>
            <w:shd w:val="clear" w:color="auto" w:fill="FFFFFF"/>
            <w:tcMar>
              <w:top w:w="40" w:type="dxa"/>
              <w:left w:w="0" w:type="dxa"/>
              <w:bottom w:w="40" w:type="dxa"/>
              <w:right w:w="20" w:type="dxa"/>
            </w:tcMar>
            <w:vAlign w:val="bottom"/>
          </w:tcPr>
          <w:p w14:paraId="22CFA5EB" w14:textId="77777777" w:rsidR="002661BA" w:rsidRDefault="002661BA">
            <w:pPr>
              <w:jc w:val="right"/>
              <w:rPr>
                <w:rFonts w:ascii="宋体"/>
              </w:rPr>
            </w:pPr>
          </w:p>
        </w:tc>
      </w:tr>
      <w:tr w:rsidR="002661BA" w14:paraId="22CFA5F7" w14:textId="77777777">
        <w:trPr>
          <w:hidden/>
        </w:trPr>
        <w:tc>
          <w:tcPr>
            <w:tcW w:w="0" w:type="auto"/>
            <w:gridSpan w:val="3"/>
            <w:shd w:val="clear" w:color="auto" w:fill="auto"/>
            <w:vAlign w:val="bottom"/>
          </w:tcPr>
          <w:p w14:paraId="22CFA5ED" w14:textId="77777777" w:rsidR="002661BA" w:rsidRDefault="002661BA">
            <w:pPr>
              <w:rPr>
                <w:rFonts w:ascii="宋体"/>
                <w:vanish/>
              </w:rPr>
            </w:pPr>
          </w:p>
        </w:tc>
        <w:tc>
          <w:tcPr>
            <w:tcW w:w="0" w:type="auto"/>
            <w:gridSpan w:val="3"/>
            <w:shd w:val="clear" w:color="auto" w:fill="auto"/>
            <w:vAlign w:val="bottom"/>
          </w:tcPr>
          <w:p w14:paraId="22CFA5EE" w14:textId="77777777" w:rsidR="002661BA" w:rsidRDefault="002661BA">
            <w:pPr>
              <w:rPr>
                <w:rFonts w:ascii="宋体"/>
                <w:vanish/>
              </w:rPr>
            </w:pPr>
          </w:p>
        </w:tc>
        <w:tc>
          <w:tcPr>
            <w:tcW w:w="0" w:type="auto"/>
            <w:gridSpan w:val="3"/>
            <w:shd w:val="clear" w:color="auto" w:fill="auto"/>
            <w:vAlign w:val="bottom"/>
          </w:tcPr>
          <w:p w14:paraId="22CFA5EF" w14:textId="77777777" w:rsidR="002661BA" w:rsidRDefault="002661BA">
            <w:pPr>
              <w:rPr>
                <w:rFonts w:ascii="宋体"/>
                <w:vanish/>
              </w:rPr>
            </w:pPr>
          </w:p>
        </w:tc>
        <w:tc>
          <w:tcPr>
            <w:tcW w:w="0" w:type="auto"/>
            <w:gridSpan w:val="3"/>
            <w:shd w:val="clear" w:color="auto" w:fill="auto"/>
            <w:vAlign w:val="bottom"/>
          </w:tcPr>
          <w:p w14:paraId="22CFA5F0" w14:textId="77777777" w:rsidR="002661BA" w:rsidRDefault="002661BA">
            <w:pPr>
              <w:rPr>
                <w:rFonts w:ascii="宋体"/>
                <w:vanish/>
              </w:rPr>
            </w:pPr>
          </w:p>
        </w:tc>
        <w:tc>
          <w:tcPr>
            <w:tcW w:w="0" w:type="auto"/>
            <w:gridSpan w:val="3"/>
            <w:shd w:val="clear" w:color="auto" w:fill="auto"/>
            <w:vAlign w:val="bottom"/>
          </w:tcPr>
          <w:p w14:paraId="22CFA5F1" w14:textId="77777777" w:rsidR="002661BA" w:rsidRDefault="002661BA">
            <w:pPr>
              <w:rPr>
                <w:rFonts w:ascii="宋体"/>
                <w:vanish/>
              </w:rPr>
            </w:pPr>
          </w:p>
        </w:tc>
        <w:tc>
          <w:tcPr>
            <w:tcW w:w="0" w:type="auto"/>
            <w:gridSpan w:val="3"/>
            <w:shd w:val="clear" w:color="auto" w:fill="auto"/>
            <w:vAlign w:val="bottom"/>
          </w:tcPr>
          <w:p w14:paraId="22CFA5F2" w14:textId="77777777" w:rsidR="002661BA" w:rsidRDefault="002661BA">
            <w:pPr>
              <w:rPr>
                <w:rFonts w:ascii="宋体"/>
                <w:vanish/>
              </w:rPr>
            </w:pPr>
          </w:p>
        </w:tc>
        <w:tc>
          <w:tcPr>
            <w:tcW w:w="0" w:type="auto"/>
            <w:gridSpan w:val="3"/>
            <w:shd w:val="clear" w:color="auto" w:fill="auto"/>
            <w:vAlign w:val="bottom"/>
          </w:tcPr>
          <w:p w14:paraId="22CFA5F3" w14:textId="77777777" w:rsidR="002661BA" w:rsidRDefault="002661BA">
            <w:pPr>
              <w:rPr>
                <w:rFonts w:ascii="宋体"/>
                <w:vanish/>
              </w:rPr>
            </w:pPr>
          </w:p>
        </w:tc>
        <w:tc>
          <w:tcPr>
            <w:tcW w:w="0" w:type="auto"/>
            <w:gridSpan w:val="3"/>
            <w:shd w:val="clear" w:color="auto" w:fill="auto"/>
            <w:vAlign w:val="bottom"/>
          </w:tcPr>
          <w:p w14:paraId="22CFA5F4" w14:textId="77777777" w:rsidR="002661BA" w:rsidRDefault="002661BA">
            <w:pPr>
              <w:rPr>
                <w:rFonts w:ascii="宋体"/>
                <w:vanish/>
              </w:rPr>
            </w:pPr>
          </w:p>
        </w:tc>
        <w:tc>
          <w:tcPr>
            <w:tcW w:w="0" w:type="auto"/>
            <w:gridSpan w:val="3"/>
            <w:shd w:val="clear" w:color="auto" w:fill="auto"/>
            <w:vAlign w:val="bottom"/>
          </w:tcPr>
          <w:p w14:paraId="22CFA5F5" w14:textId="77777777" w:rsidR="002661BA" w:rsidRDefault="002661BA">
            <w:pPr>
              <w:rPr>
                <w:rFonts w:ascii="宋体"/>
                <w:vanish/>
              </w:rPr>
            </w:pPr>
          </w:p>
        </w:tc>
        <w:tc>
          <w:tcPr>
            <w:tcW w:w="0" w:type="auto"/>
            <w:gridSpan w:val="3"/>
            <w:shd w:val="clear" w:color="auto" w:fill="auto"/>
            <w:vAlign w:val="bottom"/>
          </w:tcPr>
          <w:p w14:paraId="22CFA5F6" w14:textId="77777777" w:rsidR="002661BA" w:rsidRDefault="002661BA">
            <w:pPr>
              <w:rPr>
                <w:rFonts w:ascii="宋体"/>
                <w:vanish/>
              </w:rPr>
            </w:pPr>
          </w:p>
        </w:tc>
      </w:tr>
      <w:tr w:rsidR="002661BA" w14:paraId="22CFA602" w14:textId="77777777">
        <w:trPr>
          <w:hidden/>
        </w:trPr>
        <w:tc>
          <w:tcPr>
            <w:tcW w:w="0" w:type="auto"/>
            <w:gridSpan w:val="3"/>
            <w:shd w:val="clear" w:color="auto" w:fill="auto"/>
            <w:vAlign w:val="bottom"/>
          </w:tcPr>
          <w:p w14:paraId="22CFA5F8" w14:textId="77777777" w:rsidR="002661BA" w:rsidRDefault="002661BA">
            <w:pPr>
              <w:rPr>
                <w:rFonts w:ascii="宋体"/>
                <w:vanish/>
              </w:rPr>
            </w:pPr>
          </w:p>
        </w:tc>
        <w:tc>
          <w:tcPr>
            <w:tcW w:w="0" w:type="auto"/>
            <w:gridSpan w:val="3"/>
            <w:shd w:val="clear" w:color="auto" w:fill="auto"/>
            <w:vAlign w:val="bottom"/>
          </w:tcPr>
          <w:p w14:paraId="22CFA5F9" w14:textId="77777777" w:rsidR="002661BA" w:rsidRDefault="002661BA">
            <w:pPr>
              <w:rPr>
                <w:rFonts w:ascii="宋体"/>
                <w:vanish/>
              </w:rPr>
            </w:pPr>
          </w:p>
        </w:tc>
        <w:tc>
          <w:tcPr>
            <w:tcW w:w="0" w:type="auto"/>
            <w:gridSpan w:val="3"/>
            <w:shd w:val="clear" w:color="auto" w:fill="auto"/>
            <w:vAlign w:val="bottom"/>
          </w:tcPr>
          <w:p w14:paraId="22CFA5FA" w14:textId="77777777" w:rsidR="002661BA" w:rsidRDefault="002661BA">
            <w:pPr>
              <w:rPr>
                <w:rFonts w:ascii="宋体"/>
                <w:vanish/>
              </w:rPr>
            </w:pPr>
          </w:p>
        </w:tc>
        <w:tc>
          <w:tcPr>
            <w:tcW w:w="0" w:type="auto"/>
            <w:gridSpan w:val="3"/>
            <w:shd w:val="clear" w:color="auto" w:fill="auto"/>
            <w:vAlign w:val="bottom"/>
          </w:tcPr>
          <w:p w14:paraId="22CFA5FB" w14:textId="77777777" w:rsidR="002661BA" w:rsidRDefault="002661BA">
            <w:pPr>
              <w:rPr>
                <w:rFonts w:ascii="宋体"/>
                <w:vanish/>
              </w:rPr>
            </w:pPr>
          </w:p>
        </w:tc>
        <w:tc>
          <w:tcPr>
            <w:tcW w:w="0" w:type="auto"/>
            <w:gridSpan w:val="3"/>
            <w:shd w:val="clear" w:color="auto" w:fill="auto"/>
            <w:vAlign w:val="bottom"/>
          </w:tcPr>
          <w:p w14:paraId="22CFA5FC" w14:textId="77777777" w:rsidR="002661BA" w:rsidRDefault="002661BA">
            <w:pPr>
              <w:rPr>
                <w:rFonts w:ascii="宋体"/>
                <w:vanish/>
              </w:rPr>
            </w:pPr>
          </w:p>
        </w:tc>
        <w:tc>
          <w:tcPr>
            <w:tcW w:w="0" w:type="auto"/>
            <w:gridSpan w:val="3"/>
            <w:shd w:val="clear" w:color="auto" w:fill="auto"/>
            <w:vAlign w:val="bottom"/>
          </w:tcPr>
          <w:p w14:paraId="22CFA5FD" w14:textId="77777777" w:rsidR="002661BA" w:rsidRDefault="002661BA">
            <w:pPr>
              <w:rPr>
                <w:rFonts w:ascii="宋体"/>
                <w:vanish/>
              </w:rPr>
            </w:pPr>
          </w:p>
        </w:tc>
        <w:tc>
          <w:tcPr>
            <w:tcW w:w="0" w:type="auto"/>
            <w:gridSpan w:val="3"/>
            <w:shd w:val="clear" w:color="auto" w:fill="auto"/>
            <w:vAlign w:val="bottom"/>
          </w:tcPr>
          <w:p w14:paraId="22CFA5FE" w14:textId="77777777" w:rsidR="002661BA" w:rsidRDefault="002661BA">
            <w:pPr>
              <w:rPr>
                <w:rFonts w:ascii="宋体"/>
                <w:vanish/>
              </w:rPr>
            </w:pPr>
          </w:p>
        </w:tc>
        <w:tc>
          <w:tcPr>
            <w:tcW w:w="0" w:type="auto"/>
            <w:gridSpan w:val="3"/>
            <w:shd w:val="clear" w:color="auto" w:fill="auto"/>
            <w:vAlign w:val="bottom"/>
          </w:tcPr>
          <w:p w14:paraId="22CFA5FF" w14:textId="77777777" w:rsidR="002661BA" w:rsidRDefault="002661BA">
            <w:pPr>
              <w:rPr>
                <w:rFonts w:ascii="宋体"/>
                <w:vanish/>
              </w:rPr>
            </w:pPr>
          </w:p>
        </w:tc>
        <w:tc>
          <w:tcPr>
            <w:tcW w:w="0" w:type="auto"/>
            <w:gridSpan w:val="3"/>
            <w:shd w:val="clear" w:color="auto" w:fill="auto"/>
            <w:vAlign w:val="bottom"/>
          </w:tcPr>
          <w:p w14:paraId="22CFA600" w14:textId="77777777" w:rsidR="002661BA" w:rsidRDefault="002661BA">
            <w:pPr>
              <w:rPr>
                <w:rFonts w:ascii="宋体"/>
                <w:vanish/>
              </w:rPr>
            </w:pPr>
          </w:p>
        </w:tc>
        <w:tc>
          <w:tcPr>
            <w:tcW w:w="0" w:type="auto"/>
            <w:gridSpan w:val="3"/>
            <w:shd w:val="clear" w:color="auto" w:fill="auto"/>
            <w:vAlign w:val="bottom"/>
          </w:tcPr>
          <w:p w14:paraId="22CFA601" w14:textId="77777777" w:rsidR="002661BA" w:rsidRDefault="002661BA">
            <w:pPr>
              <w:rPr>
                <w:rFonts w:ascii="宋体"/>
                <w:vanish/>
              </w:rPr>
            </w:pPr>
          </w:p>
        </w:tc>
      </w:tr>
      <w:tr w:rsidR="002661BA" w14:paraId="22CFA60D" w14:textId="77777777">
        <w:trPr>
          <w:hidden/>
        </w:trPr>
        <w:tc>
          <w:tcPr>
            <w:tcW w:w="0" w:type="auto"/>
            <w:gridSpan w:val="3"/>
            <w:shd w:val="clear" w:color="auto" w:fill="auto"/>
            <w:vAlign w:val="bottom"/>
          </w:tcPr>
          <w:p w14:paraId="22CFA603" w14:textId="77777777" w:rsidR="002661BA" w:rsidRDefault="002661BA">
            <w:pPr>
              <w:rPr>
                <w:rFonts w:ascii="宋体"/>
                <w:vanish/>
              </w:rPr>
            </w:pPr>
          </w:p>
        </w:tc>
        <w:tc>
          <w:tcPr>
            <w:tcW w:w="0" w:type="auto"/>
            <w:gridSpan w:val="3"/>
            <w:shd w:val="clear" w:color="auto" w:fill="auto"/>
            <w:vAlign w:val="bottom"/>
          </w:tcPr>
          <w:p w14:paraId="22CFA604" w14:textId="77777777" w:rsidR="002661BA" w:rsidRDefault="002661BA">
            <w:pPr>
              <w:rPr>
                <w:rFonts w:ascii="宋体"/>
                <w:vanish/>
              </w:rPr>
            </w:pPr>
          </w:p>
        </w:tc>
        <w:tc>
          <w:tcPr>
            <w:tcW w:w="0" w:type="auto"/>
            <w:gridSpan w:val="3"/>
            <w:shd w:val="clear" w:color="auto" w:fill="auto"/>
            <w:vAlign w:val="bottom"/>
          </w:tcPr>
          <w:p w14:paraId="22CFA605" w14:textId="77777777" w:rsidR="002661BA" w:rsidRDefault="002661BA">
            <w:pPr>
              <w:rPr>
                <w:rFonts w:ascii="宋体"/>
                <w:vanish/>
              </w:rPr>
            </w:pPr>
          </w:p>
        </w:tc>
        <w:tc>
          <w:tcPr>
            <w:tcW w:w="0" w:type="auto"/>
            <w:gridSpan w:val="3"/>
            <w:shd w:val="clear" w:color="auto" w:fill="auto"/>
            <w:vAlign w:val="bottom"/>
          </w:tcPr>
          <w:p w14:paraId="22CFA606" w14:textId="77777777" w:rsidR="002661BA" w:rsidRDefault="002661BA">
            <w:pPr>
              <w:rPr>
                <w:rFonts w:ascii="宋体"/>
                <w:vanish/>
              </w:rPr>
            </w:pPr>
          </w:p>
        </w:tc>
        <w:tc>
          <w:tcPr>
            <w:tcW w:w="0" w:type="auto"/>
            <w:gridSpan w:val="3"/>
            <w:shd w:val="clear" w:color="auto" w:fill="auto"/>
            <w:vAlign w:val="bottom"/>
          </w:tcPr>
          <w:p w14:paraId="22CFA607" w14:textId="77777777" w:rsidR="002661BA" w:rsidRDefault="002661BA">
            <w:pPr>
              <w:rPr>
                <w:rFonts w:ascii="宋体"/>
                <w:vanish/>
              </w:rPr>
            </w:pPr>
          </w:p>
        </w:tc>
        <w:tc>
          <w:tcPr>
            <w:tcW w:w="0" w:type="auto"/>
            <w:gridSpan w:val="3"/>
            <w:shd w:val="clear" w:color="auto" w:fill="auto"/>
            <w:vAlign w:val="bottom"/>
          </w:tcPr>
          <w:p w14:paraId="22CFA608" w14:textId="77777777" w:rsidR="002661BA" w:rsidRDefault="002661BA">
            <w:pPr>
              <w:rPr>
                <w:rFonts w:ascii="宋体"/>
                <w:vanish/>
              </w:rPr>
            </w:pPr>
          </w:p>
        </w:tc>
        <w:tc>
          <w:tcPr>
            <w:tcW w:w="0" w:type="auto"/>
            <w:gridSpan w:val="3"/>
            <w:shd w:val="clear" w:color="auto" w:fill="auto"/>
            <w:vAlign w:val="bottom"/>
          </w:tcPr>
          <w:p w14:paraId="22CFA609" w14:textId="77777777" w:rsidR="002661BA" w:rsidRDefault="002661BA">
            <w:pPr>
              <w:rPr>
                <w:rFonts w:ascii="宋体"/>
                <w:vanish/>
              </w:rPr>
            </w:pPr>
          </w:p>
        </w:tc>
        <w:tc>
          <w:tcPr>
            <w:tcW w:w="0" w:type="auto"/>
            <w:gridSpan w:val="3"/>
            <w:shd w:val="clear" w:color="auto" w:fill="auto"/>
            <w:vAlign w:val="bottom"/>
          </w:tcPr>
          <w:p w14:paraId="22CFA60A" w14:textId="77777777" w:rsidR="002661BA" w:rsidRDefault="002661BA">
            <w:pPr>
              <w:rPr>
                <w:rFonts w:ascii="宋体"/>
                <w:vanish/>
              </w:rPr>
            </w:pPr>
          </w:p>
        </w:tc>
        <w:tc>
          <w:tcPr>
            <w:tcW w:w="0" w:type="auto"/>
            <w:gridSpan w:val="3"/>
            <w:shd w:val="clear" w:color="auto" w:fill="auto"/>
            <w:vAlign w:val="bottom"/>
          </w:tcPr>
          <w:p w14:paraId="22CFA60B" w14:textId="77777777" w:rsidR="002661BA" w:rsidRDefault="002661BA">
            <w:pPr>
              <w:rPr>
                <w:rFonts w:ascii="宋体"/>
                <w:vanish/>
              </w:rPr>
            </w:pPr>
          </w:p>
        </w:tc>
        <w:tc>
          <w:tcPr>
            <w:tcW w:w="0" w:type="auto"/>
            <w:gridSpan w:val="3"/>
            <w:shd w:val="clear" w:color="auto" w:fill="auto"/>
            <w:vAlign w:val="bottom"/>
          </w:tcPr>
          <w:p w14:paraId="22CFA60C" w14:textId="77777777" w:rsidR="002661BA" w:rsidRDefault="002661BA">
            <w:pPr>
              <w:rPr>
                <w:rFonts w:ascii="宋体"/>
                <w:vanish/>
              </w:rPr>
            </w:pPr>
          </w:p>
        </w:tc>
      </w:tr>
      <w:tr w:rsidR="002661BA" w14:paraId="22CFA618" w14:textId="77777777">
        <w:trPr>
          <w:hidden/>
        </w:trPr>
        <w:tc>
          <w:tcPr>
            <w:tcW w:w="0" w:type="auto"/>
            <w:gridSpan w:val="3"/>
            <w:shd w:val="clear" w:color="auto" w:fill="auto"/>
            <w:vAlign w:val="bottom"/>
          </w:tcPr>
          <w:p w14:paraId="22CFA60E" w14:textId="77777777" w:rsidR="002661BA" w:rsidRDefault="002661BA">
            <w:pPr>
              <w:rPr>
                <w:rFonts w:ascii="宋体"/>
                <w:vanish/>
              </w:rPr>
            </w:pPr>
          </w:p>
        </w:tc>
        <w:tc>
          <w:tcPr>
            <w:tcW w:w="0" w:type="auto"/>
            <w:gridSpan w:val="3"/>
            <w:shd w:val="clear" w:color="auto" w:fill="auto"/>
            <w:vAlign w:val="bottom"/>
          </w:tcPr>
          <w:p w14:paraId="22CFA60F" w14:textId="77777777" w:rsidR="002661BA" w:rsidRDefault="002661BA">
            <w:pPr>
              <w:rPr>
                <w:rFonts w:ascii="宋体"/>
                <w:vanish/>
              </w:rPr>
            </w:pPr>
          </w:p>
        </w:tc>
        <w:tc>
          <w:tcPr>
            <w:tcW w:w="0" w:type="auto"/>
            <w:gridSpan w:val="3"/>
            <w:shd w:val="clear" w:color="auto" w:fill="auto"/>
            <w:vAlign w:val="bottom"/>
          </w:tcPr>
          <w:p w14:paraId="22CFA610" w14:textId="77777777" w:rsidR="002661BA" w:rsidRDefault="002661BA">
            <w:pPr>
              <w:rPr>
                <w:rFonts w:ascii="宋体"/>
                <w:vanish/>
              </w:rPr>
            </w:pPr>
          </w:p>
        </w:tc>
        <w:tc>
          <w:tcPr>
            <w:tcW w:w="0" w:type="auto"/>
            <w:gridSpan w:val="3"/>
            <w:shd w:val="clear" w:color="auto" w:fill="auto"/>
            <w:vAlign w:val="bottom"/>
          </w:tcPr>
          <w:p w14:paraId="22CFA611" w14:textId="77777777" w:rsidR="002661BA" w:rsidRDefault="002661BA">
            <w:pPr>
              <w:rPr>
                <w:rFonts w:ascii="宋体"/>
                <w:vanish/>
              </w:rPr>
            </w:pPr>
          </w:p>
        </w:tc>
        <w:tc>
          <w:tcPr>
            <w:tcW w:w="0" w:type="auto"/>
            <w:gridSpan w:val="3"/>
            <w:shd w:val="clear" w:color="auto" w:fill="auto"/>
            <w:vAlign w:val="bottom"/>
          </w:tcPr>
          <w:p w14:paraId="22CFA612" w14:textId="77777777" w:rsidR="002661BA" w:rsidRDefault="002661BA">
            <w:pPr>
              <w:rPr>
                <w:rFonts w:ascii="宋体"/>
                <w:vanish/>
              </w:rPr>
            </w:pPr>
          </w:p>
        </w:tc>
        <w:tc>
          <w:tcPr>
            <w:tcW w:w="0" w:type="auto"/>
            <w:gridSpan w:val="3"/>
            <w:shd w:val="clear" w:color="auto" w:fill="auto"/>
            <w:vAlign w:val="bottom"/>
          </w:tcPr>
          <w:p w14:paraId="22CFA613" w14:textId="77777777" w:rsidR="002661BA" w:rsidRDefault="002661BA">
            <w:pPr>
              <w:rPr>
                <w:rFonts w:ascii="宋体"/>
                <w:vanish/>
              </w:rPr>
            </w:pPr>
          </w:p>
        </w:tc>
        <w:tc>
          <w:tcPr>
            <w:tcW w:w="0" w:type="auto"/>
            <w:gridSpan w:val="3"/>
            <w:shd w:val="clear" w:color="auto" w:fill="auto"/>
            <w:vAlign w:val="bottom"/>
          </w:tcPr>
          <w:p w14:paraId="22CFA614" w14:textId="77777777" w:rsidR="002661BA" w:rsidRDefault="002661BA">
            <w:pPr>
              <w:rPr>
                <w:rFonts w:ascii="宋体"/>
                <w:vanish/>
              </w:rPr>
            </w:pPr>
          </w:p>
        </w:tc>
        <w:tc>
          <w:tcPr>
            <w:tcW w:w="0" w:type="auto"/>
            <w:gridSpan w:val="3"/>
            <w:shd w:val="clear" w:color="auto" w:fill="auto"/>
            <w:vAlign w:val="bottom"/>
          </w:tcPr>
          <w:p w14:paraId="22CFA615" w14:textId="77777777" w:rsidR="002661BA" w:rsidRDefault="002661BA">
            <w:pPr>
              <w:rPr>
                <w:rFonts w:ascii="宋体"/>
                <w:vanish/>
              </w:rPr>
            </w:pPr>
          </w:p>
        </w:tc>
        <w:tc>
          <w:tcPr>
            <w:tcW w:w="0" w:type="auto"/>
            <w:gridSpan w:val="3"/>
            <w:shd w:val="clear" w:color="auto" w:fill="auto"/>
            <w:vAlign w:val="bottom"/>
          </w:tcPr>
          <w:p w14:paraId="22CFA616" w14:textId="77777777" w:rsidR="002661BA" w:rsidRDefault="002661BA">
            <w:pPr>
              <w:rPr>
                <w:rFonts w:ascii="宋体"/>
                <w:vanish/>
              </w:rPr>
            </w:pPr>
          </w:p>
        </w:tc>
        <w:tc>
          <w:tcPr>
            <w:tcW w:w="0" w:type="auto"/>
            <w:gridSpan w:val="3"/>
            <w:shd w:val="clear" w:color="auto" w:fill="auto"/>
            <w:vAlign w:val="bottom"/>
          </w:tcPr>
          <w:p w14:paraId="22CFA617" w14:textId="77777777" w:rsidR="002661BA" w:rsidRDefault="002661BA">
            <w:pPr>
              <w:rPr>
                <w:rFonts w:ascii="宋体"/>
                <w:vanish/>
              </w:rPr>
            </w:pPr>
          </w:p>
        </w:tc>
      </w:tr>
      <w:tr w:rsidR="002661BA" w14:paraId="22CFA62B" w14:textId="77777777">
        <w:tc>
          <w:tcPr>
            <w:tcW w:w="0" w:type="auto"/>
            <w:gridSpan w:val="3"/>
            <w:shd w:val="clear" w:color="auto" w:fill="DBDBDB"/>
            <w:tcMar>
              <w:top w:w="40" w:type="dxa"/>
              <w:left w:w="140" w:type="dxa"/>
              <w:bottom w:w="40" w:type="dxa"/>
              <w:right w:w="20" w:type="dxa"/>
            </w:tcMar>
            <w:vAlign w:val="bottom"/>
          </w:tcPr>
          <w:p w14:paraId="22CFA619" w14:textId="77777777" w:rsidR="002661BA" w:rsidRDefault="00D972BC">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22CFA61A"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22CFA61B" w14:textId="77777777" w:rsidR="002661BA" w:rsidRDefault="00D972BC">
            <w:pPr>
              <w:jc w:val="right"/>
              <w:textAlignment w:val="bottom"/>
            </w:pPr>
            <w:r>
              <w:rPr>
                <w:rFonts w:ascii="Arial" w:eastAsia="宋体" w:hAnsi="Arial" w:cs="Arial"/>
                <w:color w:val="000000"/>
                <w:sz w:val="18"/>
                <w:szCs w:val="18"/>
              </w:rPr>
              <w:t>10,420 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22CFA61C"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A61D"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A61E" w14:textId="77777777" w:rsidR="002661BA" w:rsidRDefault="00D972BC">
            <w:pPr>
              <w:jc w:val="right"/>
              <w:textAlignment w:val="bottom"/>
            </w:pPr>
            <w:r>
              <w:rPr>
                <w:rFonts w:ascii="Arial" w:eastAsia="宋体" w:hAnsi="Arial" w:cs="Arial"/>
                <w:color w:val="000000"/>
                <w:sz w:val="18"/>
                <w:szCs w:val="18"/>
              </w:rPr>
              <w:t>17 </w:t>
            </w:r>
          </w:p>
        </w:tc>
        <w:tc>
          <w:tcPr>
            <w:tcW w:w="0" w:type="auto"/>
            <w:shd w:val="clear" w:color="auto" w:fill="DBDBDB"/>
            <w:tcMar>
              <w:top w:w="40" w:type="dxa"/>
              <w:left w:w="0" w:type="dxa"/>
              <w:bottom w:w="40" w:type="dxa"/>
              <w:right w:w="20" w:type="dxa"/>
            </w:tcMar>
            <w:vAlign w:val="bottom"/>
          </w:tcPr>
          <w:p w14:paraId="22CFA61F"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DBDBDB"/>
            <w:tcMar>
              <w:top w:w="0" w:type="dxa"/>
              <w:left w:w="20" w:type="dxa"/>
              <w:bottom w:w="0" w:type="dxa"/>
              <w:right w:w="20" w:type="dxa"/>
            </w:tcMar>
            <w:vAlign w:val="bottom"/>
          </w:tcPr>
          <w:p w14:paraId="22CFA620" w14:textId="77777777" w:rsidR="002661BA" w:rsidRDefault="002661BA">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22CFA62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22CFA622" w14:textId="77777777" w:rsidR="002661BA" w:rsidRDefault="00D972BC">
            <w:pPr>
              <w:jc w:val="right"/>
              <w:textAlignment w:val="bottom"/>
            </w:pPr>
            <w:r>
              <w:rPr>
                <w:rFonts w:ascii="Arial" w:eastAsia="宋体" w:hAnsi="Arial" w:cs="Arial"/>
                <w:color w:val="000000"/>
                <w:sz w:val="18"/>
                <w:szCs w:val="18"/>
              </w:rPr>
              <w:t>8,894 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22CFA623"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A624"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A625" w14:textId="77777777" w:rsidR="002661BA" w:rsidRDefault="00D972BC">
            <w:pPr>
              <w:jc w:val="right"/>
              <w:textAlignment w:val="bottom"/>
            </w:pPr>
            <w:r>
              <w:rPr>
                <w:rFonts w:ascii="Arial" w:eastAsia="宋体" w:hAnsi="Arial" w:cs="Arial"/>
                <w:color w:val="000000"/>
                <w:sz w:val="18"/>
                <w:szCs w:val="18"/>
              </w:rPr>
              <w:t>20 </w:t>
            </w:r>
          </w:p>
        </w:tc>
        <w:tc>
          <w:tcPr>
            <w:tcW w:w="0" w:type="auto"/>
            <w:shd w:val="clear" w:color="auto" w:fill="DBDBDB"/>
            <w:tcMar>
              <w:top w:w="40" w:type="dxa"/>
              <w:left w:w="0" w:type="dxa"/>
              <w:bottom w:w="40" w:type="dxa"/>
              <w:right w:w="20" w:type="dxa"/>
            </w:tcMar>
            <w:vAlign w:val="bottom"/>
          </w:tcPr>
          <w:p w14:paraId="22CFA626"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DBDBDB"/>
            <w:tcMar>
              <w:top w:w="0" w:type="dxa"/>
              <w:left w:w="20" w:type="dxa"/>
              <w:bottom w:w="0" w:type="dxa"/>
              <w:right w:w="20" w:type="dxa"/>
            </w:tcMar>
            <w:vAlign w:val="bottom"/>
          </w:tcPr>
          <w:p w14:paraId="22CFA627" w14:textId="77777777" w:rsidR="002661BA" w:rsidRDefault="002661BA">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22CFA62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22CFA629" w14:textId="77777777" w:rsidR="002661BA" w:rsidRDefault="00D972BC">
            <w:pPr>
              <w:jc w:val="right"/>
              <w:textAlignment w:val="bottom"/>
            </w:pPr>
            <w:r>
              <w:rPr>
                <w:rFonts w:ascii="Arial" w:eastAsia="宋体" w:hAnsi="Arial" w:cs="Arial"/>
                <w:color w:val="000000"/>
                <w:sz w:val="18"/>
                <w:szCs w:val="18"/>
              </w:rPr>
              <w:t>7,429 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22CFA62A" w14:textId="77777777" w:rsidR="002661BA" w:rsidRDefault="002661BA">
            <w:pPr>
              <w:jc w:val="right"/>
              <w:rPr>
                <w:rFonts w:ascii="宋体"/>
              </w:rPr>
            </w:pPr>
          </w:p>
        </w:tc>
      </w:tr>
    </w:tbl>
    <w:p w14:paraId="22CFA62C" w14:textId="77777777" w:rsidR="002661BA" w:rsidRDefault="002661BA">
      <w:pPr>
        <w:jc w:val="both"/>
      </w:pPr>
    </w:p>
    <w:p w14:paraId="22CFA62D" w14:textId="77777777" w:rsidR="002661BA" w:rsidRDefault="00D972BC">
      <w:pPr>
        <w:ind w:firstLine="270"/>
        <w:jc w:val="both"/>
      </w:pPr>
      <w:r>
        <w:rPr>
          <w:rFonts w:ascii="Arial" w:eastAsia="宋体" w:hAnsi="Arial" w:cs="Arial"/>
          <w:b/>
          <w:bCs/>
          <w:i/>
          <w:iCs/>
          <w:color w:val="000000"/>
          <w:sz w:val="20"/>
          <w:szCs w:val="20"/>
        </w:rPr>
        <w:t>Net Transaction Revenues</w:t>
      </w:r>
    </w:p>
    <w:p w14:paraId="22CFA62E" w14:textId="77777777" w:rsidR="002661BA" w:rsidRDefault="002661BA">
      <w:pPr>
        <w:jc w:val="both"/>
      </w:pPr>
    </w:p>
    <w:p w14:paraId="22CFA62F" w14:textId="77777777" w:rsidR="002661BA" w:rsidRDefault="00D972BC">
      <w:pPr>
        <w:ind w:firstLine="540"/>
        <w:jc w:val="both"/>
      </w:pPr>
      <w:r>
        <w:rPr>
          <w:rFonts w:ascii="Arial" w:eastAsia="宋体" w:hAnsi="Arial" w:cs="Arial"/>
          <w:i/>
          <w:iCs/>
          <w:color w:val="000000"/>
          <w:sz w:val="20"/>
          <w:szCs w:val="20"/>
        </w:rPr>
        <w:t>Key Operating Metrics</w:t>
      </w:r>
    </w:p>
    <w:p w14:paraId="22CFA630" w14:textId="77777777" w:rsidR="002661BA" w:rsidRDefault="002661BA">
      <w:pPr>
        <w:ind w:firstLine="540"/>
        <w:jc w:val="both"/>
      </w:pPr>
    </w:p>
    <w:p w14:paraId="22CFA631" w14:textId="77777777" w:rsidR="002661BA" w:rsidRDefault="00D972BC">
      <w:pPr>
        <w:ind w:firstLine="540"/>
        <w:jc w:val="both"/>
      </w:pPr>
      <w:r>
        <w:rPr>
          <w:rFonts w:ascii="Arial" w:eastAsia="宋体" w:hAnsi="Arial" w:cs="Arial"/>
          <w:color w:val="000000"/>
          <w:sz w:val="20"/>
          <w:szCs w:val="20"/>
        </w:rPr>
        <w:t xml:space="preserve">Gross </w:t>
      </w:r>
      <w:r>
        <w:rPr>
          <w:rFonts w:ascii="Arial" w:eastAsia="宋体" w:hAnsi="Arial" w:cs="Arial"/>
          <w:color w:val="000000"/>
          <w:sz w:val="20"/>
          <w:szCs w:val="20"/>
        </w:rPr>
        <w:t>Merchandise Volume (“GMV”) and take rate are significant factors that we believe affect our net transaction revenues.</w:t>
      </w:r>
    </w:p>
    <w:p w14:paraId="22CFA632" w14:textId="77777777" w:rsidR="002661BA" w:rsidRDefault="002661BA"/>
    <w:p w14:paraId="22CFA633" w14:textId="77777777" w:rsidR="002661BA" w:rsidRDefault="00D972BC">
      <w:pPr>
        <w:jc w:val="both"/>
      </w:pPr>
      <w:r>
        <w:rPr>
          <w:rFonts w:ascii="Arial" w:eastAsia="宋体" w:hAnsi="Arial" w:cs="Arial"/>
          <w:b/>
          <w:bCs/>
          <w:color w:val="000000"/>
          <w:sz w:val="20"/>
          <w:szCs w:val="20"/>
        </w:rPr>
        <w:t>GMV</w:t>
      </w:r>
      <w:r>
        <w:rPr>
          <w:rFonts w:ascii="Arial" w:eastAsia="宋体" w:hAnsi="Arial" w:cs="Arial"/>
          <w:color w:val="000000"/>
          <w:sz w:val="20"/>
          <w:szCs w:val="20"/>
        </w:rPr>
        <w:t xml:space="preserve"> consists of the total value of all paid transactions between users on our platforms during the applicable period inclusive of shippin</w:t>
      </w:r>
      <w:r>
        <w:rPr>
          <w:rFonts w:ascii="Arial" w:eastAsia="宋体" w:hAnsi="Arial" w:cs="Arial"/>
          <w:color w:val="000000"/>
          <w:sz w:val="20"/>
          <w:szCs w:val="20"/>
        </w:rPr>
        <w:t>g fees and taxes. Despite GMV’s divergence from revenue, we still believe that GMV provides a useful measure of the overall volume of paid transactions that flow through our platforms in a given period.</w:t>
      </w:r>
    </w:p>
    <w:p w14:paraId="22CFA634" w14:textId="77777777" w:rsidR="002661BA" w:rsidRDefault="002661BA">
      <w:pPr>
        <w:ind w:hanging="540"/>
        <w:jc w:val="both"/>
      </w:pPr>
    </w:p>
    <w:p w14:paraId="22CFA635" w14:textId="77777777" w:rsidR="002661BA" w:rsidRDefault="00D972BC">
      <w:pPr>
        <w:jc w:val="both"/>
      </w:pPr>
      <w:r>
        <w:rPr>
          <w:rFonts w:ascii="Arial" w:eastAsia="宋体" w:hAnsi="Arial" w:cs="Arial"/>
          <w:b/>
          <w:bCs/>
          <w:color w:val="000000"/>
          <w:sz w:val="20"/>
          <w:szCs w:val="20"/>
        </w:rPr>
        <w:t>Take rate</w:t>
      </w:r>
      <w:r>
        <w:rPr>
          <w:rFonts w:ascii="Arial" w:eastAsia="宋体" w:hAnsi="Arial" w:cs="Arial"/>
          <w:color w:val="000000"/>
          <w:sz w:val="20"/>
          <w:szCs w:val="20"/>
        </w:rPr>
        <w:t xml:space="preserve"> is defined as net transaction revenues div</w:t>
      </w:r>
      <w:r>
        <w:rPr>
          <w:rFonts w:ascii="Arial" w:eastAsia="宋体" w:hAnsi="Arial" w:cs="Arial"/>
          <w:color w:val="000000"/>
          <w:sz w:val="20"/>
          <w:szCs w:val="20"/>
        </w:rPr>
        <w:t>ided by GMV and represents net transaction revenue as a percentage of overall volume on our platforms. We believe that take rate provides a useful measure of our ability to monetize volume through marketplace services on our platforms in a given period. We</w:t>
      </w:r>
      <w:r>
        <w:rPr>
          <w:rFonts w:ascii="Arial" w:eastAsia="宋体" w:hAnsi="Arial" w:cs="Arial"/>
          <w:color w:val="000000"/>
          <w:sz w:val="20"/>
          <w:szCs w:val="20"/>
        </w:rPr>
        <w:t xml:space="preserve"> use take rate to identify key revenue drivers on our marketplace.</w:t>
      </w:r>
    </w:p>
    <w:p w14:paraId="22CFA636" w14:textId="77777777" w:rsidR="002661BA" w:rsidRDefault="002661BA">
      <w:pPr>
        <w:jc w:val="both"/>
      </w:pPr>
    </w:p>
    <w:p w14:paraId="22CFA637" w14:textId="77777777" w:rsidR="002661BA" w:rsidRDefault="00D972BC">
      <w:pPr>
        <w:ind w:firstLine="540"/>
        <w:jc w:val="both"/>
      </w:pPr>
      <w:r>
        <w:rPr>
          <w:rFonts w:ascii="Arial" w:eastAsia="宋体" w:hAnsi="Arial" w:cs="Arial"/>
          <w:i/>
          <w:iCs/>
          <w:color w:val="000000"/>
          <w:sz w:val="20"/>
          <w:szCs w:val="20"/>
        </w:rPr>
        <w:t>Net Transaction Revenues</w:t>
      </w:r>
    </w:p>
    <w:p w14:paraId="22CFA638" w14:textId="77777777" w:rsidR="002661BA" w:rsidRDefault="002661BA">
      <w:pPr>
        <w:ind w:firstLine="270"/>
        <w:jc w:val="both"/>
      </w:pPr>
    </w:p>
    <w:tbl>
      <w:tblPr>
        <w:tblW w:w="5000" w:type="pct"/>
        <w:jc w:val="center"/>
        <w:tblCellMar>
          <w:top w:w="15" w:type="dxa"/>
          <w:left w:w="15" w:type="dxa"/>
          <w:bottom w:w="15" w:type="dxa"/>
          <w:right w:w="15" w:type="dxa"/>
        </w:tblCellMar>
        <w:tblLook w:val="04A0" w:firstRow="1" w:lastRow="0" w:firstColumn="1" w:lastColumn="0" w:noHBand="0" w:noVBand="1"/>
      </w:tblPr>
      <w:tblGrid>
        <w:gridCol w:w="85"/>
        <w:gridCol w:w="897"/>
        <w:gridCol w:w="35"/>
        <w:gridCol w:w="108"/>
        <w:gridCol w:w="509"/>
        <w:gridCol w:w="157"/>
        <w:gridCol w:w="37"/>
        <w:gridCol w:w="35"/>
        <w:gridCol w:w="35"/>
        <w:gridCol w:w="108"/>
        <w:gridCol w:w="509"/>
        <w:gridCol w:w="157"/>
        <w:gridCol w:w="37"/>
        <w:gridCol w:w="35"/>
        <w:gridCol w:w="35"/>
        <w:gridCol w:w="78"/>
        <w:gridCol w:w="587"/>
        <w:gridCol w:w="157"/>
        <w:gridCol w:w="37"/>
        <w:gridCol w:w="35"/>
        <w:gridCol w:w="35"/>
        <w:gridCol w:w="86"/>
        <w:gridCol w:w="672"/>
        <w:gridCol w:w="157"/>
        <w:gridCol w:w="37"/>
        <w:gridCol w:w="35"/>
        <w:gridCol w:w="35"/>
        <w:gridCol w:w="108"/>
        <w:gridCol w:w="509"/>
        <w:gridCol w:w="157"/>
        <w:gridCol w:w="37"/>
        <w:gridCol w:w="35"/>
        <w:gridCol w:w="35"/>
        <w:gridCol w:w="108"/>
        <w:gridCol w:w="509"/>
        <w:gridCol w:w="157"/>
        <w:gridCol w:w="37"/>
        <w:gridCol w:w="35"/>
        <w:gridCol w:w="35"/>
        <w:gridCol w:w="78"/>
        <w:gridCol w:w="587"/>
        <w:gridCol w:w="157"/>
        <w:gridCol w:w="37"/>
        <w:gridCol w:w="35"/>
        <w:gridCol w:w="35"/>
        <w:gridCol w:w="86"/>
        <w:gridCol w:w="672"/>
        <w:gridCol w:w="157"/>
      </w:tblGrid>
      <w:tr w:rsidR="002661BA" w14:paraId="22CFA669" w14:textId="77777777">
        <w:trPr>
          <w:jc w:val="center"/>
        </w:trPr>
        <w:tc>
          <w:tcPr>
            <w:tcW w:w="50" w:type="pct"/>
            <w:shd w:val="clear" w:color="auto" w:fill="auto"/>
            <w:vAlign w:val="bottom"/>
          </w:tcPr>
          <w:p w14:paraId="22CFA639" w14:textId="77777777" w:rsidR="002661BA" w:rsidRDefault="002661BA">
            <w:pPr>
              <w:rPr>
                <w:rFonts w:ascii="宋体"/>
              </w:rPr>
            </w:pPr>
          </w:p>
        </w:tc>
        <w:tc>
          <w:tcPr>
            <w:tcW w:w="763" w:type="pct"/>
            <w:shd w:val="clear" w:color="auto" w:fill="auto"/>
            <w:vAlign w:val="bottom"/>
          </w:tcPr>
          <w:p w14:paraId="22CFA63A" w14:textId="77777777" w:rsidR="002661BA" w:rsidRDefault="002661BA">
            <w:pPr>
              <w:rPr>
                <w:rFonts w:ascii="宋体"/>
              </w:rPr>
            </w:pPr>
          </w:p>
        </w:tc>
        <w:tc>
          <w:tcPr>
            <w:tcW w:w="5" w:type="pct"/>
            <w:shd w:val="clear" w:color="auto" w:fill="auto"/>
            <w:vAlign w:val="bottom"/>
          </w:tcPr>
          <w:p w14:paraId="22CFA63B" w14:textId="77777777" w:rsidR="002661BA" w:rsidRDefault="002661BA">
            <w:pPr>
              <w:rPr>
                <w:rFonts w:ascii="宋体"/>
              </w:rPr>
            </w:pPr>
          </w:p>
        </w:tc>
        <w:tc>
          <w:tcPr>
            <w:tcW w:w="50" w:type="pct"/>
            <w:shd w:val="clear" w:color="auto" w:fill="auto"/>
            <w:vAlign w:val="bottom"/>
          </w:tcPr>
          <w:p w14:paraId="22CFA63C" w14:textId="77777777" w:rsidR="002661BA" w:rsidRDefault="002661BA">
            <w:pPr>
              <w:rPr>
                <w:rFonts w:ascii="宋体"/>
              </w:rPr>
            </w:pPr>
          </w:p>
        </w:tc>
        <w:tc>
          <w:tcPr>
            <w:tcW w:w="471" w:type="pct"/>
            <w:shd w:val="clear" w:color="auto" w:fill="auto"/>
            <w:vAlign w:val="bottom"/>
          </w:tcPr>
          <w:p w14:paraId="22CFA63D" w14:textId="77777777" w:rsidR="002661BA" w:rsidRDefault="002661BA">
            <w:pPr>
              <w:rPr>
                <w:rFonts w:ascii="宋体"/>
              </w:rPr>
            </w:pPr>
          </w:p>
        </w:tc>
        <w:tc>
          <w:tcPr>
            <w:tcW w:w="5" w:type="pct"/>
            <w:shd w:val="clear" w:color="auto" w:fill="auto"/>
            <w:vAlign w:val="bottom"/>
          </w:tcPr>
          <w:p w14:paraId="22CFA63E" w14:textId="77777777" w:rsidR="002661BA" w:rsidRDefault="002661BA">
            <w:pPr>
              <w:rPr>
                <w:rFonts w:ascii="宋体"/>
              </w:rPr>
            </w:pPr>
          </w:p>
        </w:tc>
        <w:tc>
          <w:tcPr>
            <w:tcW w:w="5" w:type="pct"/>
            <w:shd w:val="clear" w:color="auto" w:fill="auto"/>
            <w:vAlign w:val="bottom"/>
          </w:tcPr>
          <w:p w14:paraId="22CFA63F" w14:textId="77777777" w:rsidR="002661BA" w:rsidRDefault="002661BA">
            <w:pPr>
              <w:rPr>
                <w:rFonts w:ascii="宋体"/>
              </w:rPr>
            </w:pPr>
          </w:p>
        </w:tc>
        <w:tc>
          <w:tcPr>
            <w:tcW w:w="19" w:type="pct"/>
            <w:shd w:val="clear" w:color="auto" w:fill="auto"/>
            <w:vAlign w:val="bottom"/>
          </w:tcPr>
          <w:p w14:paraId="22CFA640" w14:textId="77777777" w:rsidR="002661BA" w:rsidRDefault="002661BA">
            <w:pPr>
              <w:rPr>
                <w:rFonts w:ascii="宋体"/>
              </w:rPr>
            </w:pPr>
          </w:p>
        </w:tc>
        <w:tc>
          <w:tcPr>
            <w:tcW w:w="5" w:type="pct"/>
            <w:shd w:val="clear" w:color="auto" w:fill="auto"/>
            <w:vAlign w:val="bottom"/>
          </w:tcPr>
          <w:p w14:paraId="22CFA641" w14:textId="77777777" w:rsidR="002661BA" w:rsidRDefault="002661BA">
            <w:pPr>
              <w:rPr>
                <w:rFonts w:ascii="宋体"/>
              </w:rPr>
            </w:pPr>
          </w:p>
        </w:tc>
        <w:tc>
          <w:tcPr>
            <w:tcW w:w="50" w:type="pct"/>
            <w:shd w:val="clear" w:color="auto" w:fill="auto"/>
            <w:vAlign w:val="bottom"/>
          </w:tcPr>
          <w:p w14:paraId="22CFA642" w14:textId="77777777" w:rsidR="002661BA" w:rsidRDefault="002661BA">
            <w:pPr>
              <w:rPr>
                <w:rFonts w:ascii="宋体"/>
              </w:rPr>
            </w:pPr>
          </w:p>
        </w:tc>
        <w:tc>
          <w:tcPr>
            <w:tcW w:w="463" w:type="pct"/>
            <w:shd w:val="clear" w:color="auto" w:fill="auto"/>
            <w:vAlign w:val="bottom"/>
          </w:tcPr>
          <w:p w14:paraId="22CFA643" w14:textId="77777777" w:rsidR="002661BA" w:rsidRDefault="002661BA">
            <w:pPr>
              <w:rPr>
                <w:rFonts w:ascii="宋体"/>
              </w:rPr>
            </w:pPr>
          </w:p>
        </w:tc>
        <w:tc>
          <w:tcPr>
            <w:tcW w:w="5" w:type="pct"/>
            <w:shd w:val="clear" w:color="auto" w:fill="auto"/>
            <w:vAlign w:val="bottom"/>
          </w:tcPr>
          <w:p w14:paraId="22CFA644" w14:textId="77777777" w:rsidR="002661BA" w:rsidRDefault="002661BA">
            <w:pPr>
              <w:rPr>
                <w:rFonts w:ascii="宋体"/>
              </w:rPr>
            </w:pPr>
          </w:p>
        </w:tc>
        <w:tc>
          <w:tcPr>
            <w:tcW w:w="5" w:type="pct"/>
            <w:shd w:val="clear" w:color="auto" w:fill="auto"/>
            <w:vAlign w:val="bottom"/>
          </w:tcPr>
          <w:p w14:paraId="22CFA645" w14:textId="77777777" w:rsidR="002661BA" w:rsidRDefault="002661BA">
            <w:pPr>
              <w:rPr>
                <w:rFonts w:ascii="宋体"/>
              </w:rPr>
            </w:pPr>
          </w:p>
        </w:tc>
        <w:tc>
          <w:tcPr>
            <w:tcW w:w="19" w:type="pct"/>
            <w:shd w:val="clear" w:color="auto" w:fill="auto"/>
            <w:vAlign w:val="bottom"/>
          </w:tcPr>
          <w:p w14:paraId="22CFA646" w14:textId="77777777" w:rsidR="002661BA" w:rsidRDefault="002661BA">
            <w:pPr>
              <w:rPr>
                <w:rFonts w:ascii="宋体"/>
              </w:rPr>
            </w:pPr>
          </w:p>
        </w:tc>
        <w:tc>
          <w:tcPr>
            <w:tcW w:w="5" w:type="pct"/>
            <w:shd w:val="clear" w:color="auto" w:fill="auto"/>
            <w:vAlign w:val="bottom"/>
          </w:tcPr>
          <w:p w14:paraId="22CFA647" w14:textId="77777777" w:rsidR="002661BA" w:rsidRDefault="002661BA">
            <w:pPr>
              <w:rPr>
                <w:rFonts w:ascii="宋体"/>
              </w:rPr>
            </w:pPr>
          </w:p>
        </w:tc>
        <w:tc>
          <w:tcPr>
            <w:tcW w:w="50" w:type="pct"/>
            <w:shd w:val="clear" w:color="auto" w:fill="auto"/>
            <w:vAlign w:val="bottom"/>
          </w:tcPr>
          <w:p w14:paraId="22CFA648" w14:textId="77777777" w:rsidR="002661BA" w:rsidRDefault="002661BA">
            <w:pPr>
              <w:rPr>
                <w:rFonts w:ascii="宋体"/>
              </w:rPr>
            </w:pPr>
          </w:p>
        </w:tc>
        <w:tc>
          <w:tcPr>
            <w:tcW w:w="412" w:type="pct"/>
            <w:shd w:val="clear" w:color="auto" w:fill="auto"/>
            <w:vAlign w:val="bottom"/>
          </w:tcPr>
          <w:p w14:paraId="22CFA649" w14:textId="77777777" w:rsidR="002661BA" w:rsidRDefault="002661BA">
            <w:pPr>
              <w:rPr>
                <w:rFonts w:ascii="宋体"/>
              </w:rPr>
            </w:pPr>
          </w:p>
        </w:tc>
        <w:tc>
          <w:tcPr>
            <w:tcW w:w="5" w:type="pct"/>
            <w:shd w:val="clear" w:color="auto" w:fill="auto"/>
            <w:vAlign w:val="bottom"/>
          </w:tcPr>
          <w:p w14:paraId="22CFA64A" w14:textId="77777777" w:rsidR="002661BA" w:rsidRDefault="002661BA">
            <w:pPr>
              <w:rPr>
                <w:rFonts w:ascii="宋体"/>
              </w:rPr>
            </w:pPr>
          </w:p>
        </w:tc>
        <w:tc>
          <w:tcPr>
            <w:tcW w:w="5" w:type="pct"/>
            <w:shd w:val="clear" w:color="auto" w:fill="auto"/>
            <w:vAlign w:val="bottom"/>
          </w:tcPr>
          <w:p w14:paraId="22CFA64B" w14:textId="77777777" w:rsidR="002661BA" w:rsidRDefault="002661BA">
            <w:pPr>
              <w:rPr>
                <w:rFonts w:ascii="宋体"/>
              </w:rPr>
            </w:pPr>
          </w:p>
        </w:tc>
        <w:tc>
          <w:tcPr>
            <w:tcW w:w="19" w:type="pct"/>
            <w:shd w:val="clear" w:color="auto" w:fill="auto"/>
            <w:vAlign w:val="bottom"/>
          </w:tcPr>
          <w:p w14:paraId="22CFA64C" w14:textId="77777777" w:rsidR="002661BA" w:rsidRDefault="002661BA">
            <w:pPr>
              <w:rPr>
                <w:rFonts w:ascii="宋体"/>
              </w:rPr>
            </w:pPr>
          </w:p>
        </w:tc>
        <w:tc>
          <w:tcPr>
            <w:tcW w:w="5" w:type="pct"/>
            <w:shd w:val="clear" w:color="auto" w:fill="auto"/>
            <w:vAlign w:val="bottom"/>
          </w:tcPr>
          <w:p w14:paraId="22CFA64D" w14:textId="77777777" w:rsidR="002661BA" w:rsidRDefault="002661BA">
            <w:pPr>
              <w:rPr>
                <w:rFonts w:ascii="宋体"/>
              </w:rPr>
            </w:pPr>
          </w:p>
        </w:tc>
        <w:tc>
          <w:tcPr>
            <w:tcW w:w="50" w:type="pct"/>
            <w:shd w:val="clear" w:color="auto" w:fill="auto"/>
            <w:vAlign w:val="bottom"/>
          </w:tcPr>
          <w:p w14:paraId="22CFA64E" w14:textId="77777777" w:rsidR="002661BA" w:rsidRDefault="002661BA">
            <w:pPr>
              <w:rPr>
                <w:rFonts w:ascii="宋体"/>
              </w:rPr>
            </w:pPr>
          </w:p>
        </w:tc>
        <w:tc>
          <w:tcPr>
            <w:tcW w:w="420" w:type="pct"/>
            <w:shd w:val="clear" w:color="auto" w:fill="auto"/>
            <w:vAlign w:val="bottom"/>
          </w:tcPr>
          <w:p w14:paraId="22CFA64F" w14:textId="77777777" w:rsidR="002661BA" w:rsidRDefault="002661BA">
            <w:pPr>
              <w:rPr>
                <w:rFonts w:ascii="宋体"/>
              </w:rPr>
            </w:pPr>
          </w:p>
        </w:tc>
        <w:tc>
          <w:tcPr>
            <w:tcW w:w="5" w:type="pct"/>
            <w:shd w:val="clear" w:color="auto" w:fill="auto"/>
            <w:vAlign w:val="bottom"/>
          </w:tcPr>
          <w:p w14:paraId="22CFA650" w14:textId="77777777" w:rsidR="002661BA" w:rsidRDefault="002661BA">
            <w:pPr>
              <w:rPr>
                <w:rFonts w:ascii="宋体"/>
              </w:rPr>
            </w:pPr>
          </w:p>
        </w:tc>
        <w:tc>
          <w:tcPr>
            <w:tcW w:w="5" w:type="pct"/>
            <w:shd w:val="clear" w:color="auto" w:fill="auto"/>
            <w:vAlign w:val="bottom"/>
          </w:tcPr>
          <w:p w14:paraId="22CFA651" w14:textId="77777777" w:rsidR="002661BA" w:rsidRDefault="002661BA">
            <w:pPr>
              <w:rPr>
                <w:rFonts w:ascii="宋体"/>
              </w:rPr>
            </w:pPr>
          </w:p>
        </w:tc>
        <w:tc>
          <w:tcPr>
            <w:tcW w:w="19" w:type="pct"/>
            <w:shd w:val="clear" w:color="auto" w:fill="auto"/>
            <w:vAlign w:val="bottom"/>
          </w:tcPr>
          <w:p w14:paraId="22CFA652" w14:textId="77777777" w:rsidR="002661BA" w:rsidRDefault="002661BA">
            <w:pPr>
              <w:rPr>
                <w:rFonts w:ascii="宋体"/>
              </w:rPr>
            </w:pPr>
          </w:p>
        </w:tc>
        <w:tc>
          <w:tcPr>
            <w:tcW w:w="5" w:type="pct"/>
            <w:shd w:val="clear" w:color="auto" w:fill="auto"/>
            <w:vAlign w:val="bottom"/>
          </w:tcPr>
          <w:p w14:paraId="22CFA653" w14:textId="77777777" w:rsidR="002661BA" w:rsidRDefault="002661BA">
            <w:pPr>
              <w:rPr>
                <w:rFonts w:ascii="宋体"/>
              </w:rPr>
            </w:pPr>
          </w:p>
        </w:tc>
        <w:tc>
          <w:tcPr>
            <w:tcW w:w="50" w:type="pct"/>
            <w:shd w:val="clear" w:color="auto" w:fill="auto"/>
            <w:vAlign w:val="bottom"/>
          </w:tcPr>
          <w:p w14:paraId="22CFA654" w14:textId="77777777" w:rsidR="002661BA" w:rsidRDefault="002661BA">
            <w:pPr>
              <w:rPr>
                <w:rFonts w:ascii="宋体"/>
              </w:rPr>
            </w:pPr>
          </w:p>
        </w:tc>
        <w:tc>
          <w:tcPr>
            <w:tcW w:w="471" w:type="pct"/>
            <w:shd w:val="clear" w:color="auto" w:fill="auto"/>
            <w:vAlign w:val="bottom"/>
          </w:tcPr>
          <w:p w14:paraId="22CFA655" w14:textId="77777777" w:rsidR="002661BA" w:rsidRDefault="002661BA">
            <w:pPr>
              <w:rPr>
                <w:rFonts w:ascii="宋体"/>
              </w:rPr>
            </w:pPr>
          </w:p>
        </w:tc>
        <w:tc>
          <w:tcPr>
            <w:tcW w:w="5" w:type="pct"/>
            <w:shd w:val="clear" w:color="auto" w:fill="auto"/>
            <w:vAlign w:val="bottom"/>
          </w:tcPr>
          <w:p w14:paraId="22CFA656" w14:textId="77777777" w:rsidR="002661BA" w:rsidRDefault="002661BA">
            <w:pPr>
              <w:rPr>
                <w:rFonts w:ascii="宋体"/>
              </w:rPr>
            </w:pPr>
          </w:p>
        </w:tc>
        <w:tc>
          <w:tcPr>
            <w:tcW w:w="5" w:type="pct"/>
            <w:shd w:val="clear" w:color="auto" w:fill="auto"/>
            <w:vAlign w:val="bottom"/>
          </w:tcPr>
          <w:p w14:paraId="22CFA657" w14:textId="77777777" w:rsidR="002661BA" w:rsidRDefault="002661BA">
            <w:pPr>
              <w:rPr>
                <w:rFonts w:ascii="宋体"/>
              </w:rPr>
            </w:pPr>
          </w:p>
        </w:tc>
        <w:tc>
          <w:tcPr>
            <w:tcW w:w="19" w:type="pct"/>
            <w:shd w:val="clear" w:color="auto" w:fill="auto"/>
            <w:vAlign w:val="bottom"/>
          </w:tcPr>
          <w:p w14:paraId="22CFA658" w14:textId="77777777" w:rsidR="002661BA" w:rsidRDefault="002661BA">
            <w:pPr>
              <w:rPr>
                <w:rFonts w:ascii="宋体"/>
              </w:rPr>
            </w:pPr>
          </w:p>
        </w:tc>
        <w:tc>
          <w:tcPr>
            <w:tcW w:w="5" w:type="pct"/>
            <w:shd w:val="clear" w:color="auto" w:fill="auto"/>
            <w:vAlign w:val="bottom"/>
          </w:tcPr>
          <w:p w14:paraId="22CFA659" w14:textId="77777777" w:rsidR="002661BA" w:rsidRDefault="002661BA">
            <w:pPr>
              <w:rPr>
                <w:rFonts w:ascii="宋体"/>
              </w:rPr>
            </w:pPr>
          </w:p>
        </w:tc>
        <w:tc>
          <w:tcPr>
            <w:tcW w:w="50" w:type="pct"/>
            <w:shd w:val="clear" w:color="auto" w:fill="auto"/>
            <w:vAlign w:val="bottom"/>
          </w:tcPr>
          <w:p w14:paraId="22CFA65A" w14:textId="77777777" w:rsidR="002661BA" w:rsidRDefault="002661BA">
            <w:pPr>
              <w:rPr>
                <w:rFonts w:ascii="宋体"/>
              </w:rPr>
            </w:pPr>
          </w:p>
        </w:tc>
        <w:tc>
          <w:tcPr>
            <w:tcW w:w="463" w:type="pct"/>
            <w:shd w:val="clear" w:color="auto" w:fill="auto"/>
            <w:vAlign w:val="bottom"/>
          </w:tcPr>
          <w:p w14:paraId="22CFA65B" w14:textId="77777777" w:rsidR="002661BA" w:rsidRDefault="002661BA">
            <w:pPr>
              <w:rPr>
                <w:rFonts w:ascii="宋体"/>
              </w:rPr>
            </w:pPr>
          </w:p>
        </w:tc>
        <w:tc>
          <w:tcPr>
            <w:tcW w:w="5" w:type="pct"/>
            <w:shd w:val="clear" w:color="auto" w:fill="auto"/>
            <w:vAlign w:val="bottom"/>
          </w:tcPr>
          <w:p w14:paraId="22CFA65C" w14:textId="77777777" w:rsidR="002661BA" w:rsidRDefault="002661BA">
            <w:pPr>
              <w:rPr>
                <w:rFonts w:ascii="宋体"/>
              </w:rPr>
            </w:pPr>
          </w:p>
        </w:tc>
        <w:tc>
          <w:tcPr>
            <w:tcW w:w="5" w:type="pct"/>
            <w:shd w:val="clear" w:color="auto" w:fill="auto"/>
            <w:vAlign w:val="bottom"/>
          </w:tcPr>
          <w:p w14:paraId="22CFA65D" w14:textId="77777777" w:rsidR="002661BA" w:rsidRDefault="002661BA">
            <w:pPr>
              <w:rPr>
                <w:rFonts w:ascii="宋体"/>
              </w:rPr>
            </w:pPr>
          </w:p>
        </w:tc>
        <w:tc>
          <w:tcPr>
            <w:tcW w:w="19" w:type="pct"/>
            <w:shd w:val="clear" w:color="auto" w:fill="auto"/>
            <w:vAlign w:val="bottom"/>
          </w:tcPr>
          <w:p w14:paraId="22CFA65E" w14:textId="77777777" w:rsidR="002661BA" w:rsidRDefault="002661BA">
            <w:pPr>
              <w:rPr>
                <w:rFonts w:ascii="宋体"/>
              </w:rPr>
            </w:pPr>
          </w:p>
        </w:tc>
        <w:tc>
          <w:tcPr>
            <w:tcW w:w="5" w:type="pct"/>
            <w:shd w:val="clear" w:color="auto" w:fill="auto"/>
            <w:vAlign w:val="bottom"/>
          </w:tcPr>
          <w:p w14:paraId="22CFA65F" w14:textId="77777777" w:rsidR="002661BA" w:rsidRDefault="002661BA">
            <w:pPr>
              <w:rPr>
                <w:rFonts w:ascii="宋体"/>
              </w:rPr>
            </w:pPr>
          </w:p>
        </w:tc>
        <w:tc>
          <w:tcPr>
            <w:tcW w:w="50" w:type="pct"/>
            <w:shd w:val="clear" w:color="auto" w:fill="auto"/>
            <w:vAlign w:val="bottom"/>
          </w:tcPr>
          <w:p w14:paraId="22CFA660" w14:textId="77777777" w:rsidR="002661BA" w:rsidRDefault="002661BA">
            <w:pPr>
              <w:rPr>
                <w:rFonts w:ascii="宋体"/>
              </w:rPr>
            </w:pPr>
          </w:p>
        </w:tc>
        <w:tc>
          <w:tcPr>
            <w:tcW w:w="412" w:type="pct"/>
            <w:shd w:val="clear" w:color="auto" w:fill="auto"/>
            <w:vAlign w:val="bottom"/>
          </w:tcPr>
          <w:p w14:paraId="22CFA661" w14:textId="77777777" w:rsidR="002661BA" w:rsidRDefault="002661BA">
            <w:pPr>
              <w:rPr>
                <w:rFonts w:ascii="宋体"/>
              </w:rPr>
            </w:pPr>
          </w:p>
        </w:tc>
        <w:tc>
          <w:tcPr>
            <w:tcW w:w="5" w:type="pct"/>
            <w:shd w:val="clear" w:color="auto" w:fill="auto"/>
            <w:vAlign w:val="bottom"/>
          </w:tcPr>
          <w:p w14:paraId="22CFA662" w14:textId="77777777" w:rsidR="002661BA" w:rsidRDefault="002661BA">
            <w:pPr>
              <w:rPr>
                <w:rFonts w:ascii="宋体"/>
              </w:rPr>
            </w:pPr>
          </w:p>
        </w:tc>
        <w:tc>
          <w:tcPr>
            <w:tcW w:w="5" w:type="pct"/>
            <w:shd w:val="clear" w:color="auto" w:fill="auto"/>
            <w:vAlign w:val="bottom"/>
          </w:tcPr>
          <w:p w14:paraId="22CFA663" w14:textId="77777777" w:rsidR="002661BA" w:rsidRDefault="002661BA">
            <w:pPr>
              <w:rPr>
                <w:rFonts w:ascii="宋体"/>
              </w:rPr>
            </w:pPr>
          </w:p>
        </w:tc>
        <w:tc>
          <w:tcPr>
            <w:tcW w:w="19" w:type="pct"/>
            <w:shd w:val="clear" w:color="auto" w:fill="auto"/>
            <w:vAlign w:val="bottom"/>
          </w:tcPr>
          <w:p w14:paraId="22CFA664" w14:textId="77777777" w:rsidR="002661BA" w:rsidRDefault="002661BA">
            <w:pPr>
              <w:rPr>
                <w:rFonts w:ascii="宋体"/>
              </w:rPr>
            </w:pPr>
          </w:p>
        </w:tc>
        <w:tc>
          <w:tcPr>
            <w:tcW w:w="5" w:type="pct"/>
            <w:shd w:val="clear" w:color="auto" w:fill="auto"/>
            <w:vAlign w:val="bottom"/>
          </w:tcPr>
          <w:p w14:paraId="22CFA665" w14:textId="77777777" w:rsidR="002661BA" w:rsidRDefault="002661BA">
            <w:pPr>
              <w:rPr>
                <w:rFonts w:ascii="宋体"/>
              </w:rPr>
            </w:pPr>
          </w:p>
        </w:tc>
        <w:tc>
          <w:tcPr>
            <w:tcW w:w="50" w:type="pct"/>
            <w:shd w:val="clear" w:color="auto" w:fill="auto"/>
            <w:vAlign w:val="bottom"/>
          </w:tcPr>
          <w:p w14:paraId="22CFA666" w14:textId="77777777" w:rsidR="002661BA" w:rsidRDefault="002661BA">
            <w:pPr>
              <w:rPr>
                <w:rFonts w:ascii="宋体"/>
              </w:rPr>
            </w:pPr>
          </w:p>
        </w:tc>
        <w:tc>
          <w:tcPr>
            <w:tcW w:w="420" w:type="pct"/>
            <w:shd w:val="clear" w:color="auto" w:fill="auto"/>
            <w:vAlign w:val="bottom"/>
          </w:tcPr>
          <w:p w14:paraId="22CFA667" w14:textId="77777777" w:rsidR="002661BA" w:rsidRDefault="002661BA">
            <w:pPr>
              <w:rPr>
                <w:rFonts w:ascii="宋体"/>
              </w:rPr>
            </w:pPr>
          </w:p>
        </w:tc>
        <w:tc>
          <w:tcPr>
            <w:tcW w:w="5" w:type="pct"/>
            <w:shd w:val="clear" w:color="auto" w:fill="auto"/>
            <w:vAlign w:val="bottom"/>
          </w:tcPr>
          <w:p w14:paraId="22CFA668" w14:textId="77777777" w:rsidR="002661BA" w:rsidRDefault="002661BA">
            <w:pPr>
              <w:rPr>
                <w:rFonts w:ascii="宋体"/>
              </w:rPr>
            </w:pPr>
          </w:p>
        </w:tc>
      </w:tr>
      <w:tr w:rsidR="002661BA" w14:paraId="22CFA672" w14:textId="77777777">
        <w:trPr>
          <w:jc w:val="center"/>
        </w:trPr>
        <w:tc>
          <w:tcPr>
            <w:tcW w:w="0" w:type="auto"/>
            <w:gridSpan w:val="3"/>
            <w:shd w:val="clear" w:color="auto" w:fill="auto"/>
            <w:tcMar>
              <w:top w:w="0" w:type="dxa"/>
              <w:left w:w="20" w:type="dxa"/>
              <w:bottom w:w="0" w:type="dxa"/>
              <w:right w:w="20" w:type="dxa"/>
            </w:tcMar>
            <w:vAlign w:val="bottom"/>
          </w:tcPr>
          <w:p w14:paraId="22CFA66A"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A66B" w14:textId="77777777" w:rsidR="002661BA" w:rsidRDefault="00D972BC">
            <w:pPr>
              <w:jc w:val="center"/>
              <w:textAlignment w:val="bottom"/>
            </w:pPr>
            <w:r>
              <w:rPr>
                <w:rFonts w:ascii="Arial" w:eastAsia="宋体" w:hAnsi="Arial" w:cs="Arial"/>
                <w:b/>
                <w:bCs/>
                <w:color w:val="000000"/>
                <w:sz w:val="17"/>
                <w:szCs w:val="17"/>
              </w:rPr>
              <w:t>Year Ended December 31,</w:t>
            </w:r>
          </w:p>
        </w:tc>
        <w:tc>
          <w:tcPr>
            <w:tcW w:w="0" w:type="auto"/>
            <w:gridSpan w:val="3"/>
            <w:shd w:val="clear" w:color="auto" w:fill="auto"/>
            <w:tcMar>
              <w:top w:w="0" w:type="dxa"/>
              <w:left w:w="20" w:type="dxa"/>
              <w:bottom w:w="0" w:type="dxa"/>
              <w:right w:w="20" w:type="dxa"/>
            </w:tcMar>
            <w:vAlign w:val="bottom"/>
          </w:tcPr>
          <w:p w14:paraId="22CFA66C"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A66D" w14:textId="77777777" w:rsidR="002661BA" w:rsidRDefault="00D972BC">
            <w:pPr>
              <w:jc w:val="center"/>
              <w:textAlignment w:val="bottom"/>
            </w:pPr>
            <w:r>
              <w:rPr>
                <w:rFonts w:ascii="Arial" w:eastAsia="宋体" w:hAnsi="Arial" w:cs="Arial"/>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22CFA66E"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A66F" w14:textId="77777777" w:rsidR="002661BA" w:rsidRDefault="00D972BC">
            <w:pPr>
              <w:jc w:val="center"/>
              <w:textAlignment w:val="bottom"/>
            </w:pPr>
            <w:r>
              <w:rPr>
                <w:rFonts w:ascii="Arial" w:eastAsia="宋体" w:hAnsi="Arial" w:cs="Arial"/>
                <w:b/>
                <w:bCs/>
                <w:color w:val="000000"/>
                <w:sz w:val="17"/>
                <w:szCs w:val="17"/>
              </w:rPr>
              <w:t>Year Ended December 31,</w:t>
            </w:r>
          </w:p>
        </w:tc>
        <w:tc>
          <w:tcPr>
            <w:tcW w:w="0" w:type="auto"/>
            <w:gridSpan w:val="3"/>
            <w:shd w:val="clear" w:color="auto" w:fill="auto"/>
            <w:tcMar>
              <w:top w:w="0" w:type="dxa"/>
              <w:left w:w="20" w:type="dxa"/>
              <w:bottom w:w="0" w:type="dxa"/>
              <w:right w:w="20" w:type="dxa"/>
            </w:tcMar>
            <w:vAlign w:val="bottom"/>
          </w:tcPr>
          <w:p w14:paraId="22CFA670"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A671" w14:textId="77777777" w:rsidR="002661BA" w:rsidRDefault="00D972BC">
            <w:pPr>
              <w:jc w:val="center"/>
              <w:textAlignment w:val="bottom"/>
            </w:pPr>
            <w:r>
              <w:rPr>
                <w:rFonts w:ascii="Arial" w:eastAsia="宋体" w:hAnsi="Arial" w:cs="Arial"/>
                <w:b/>
                <w:bCs/>
                <w:color w:val="000000"/>
                <w:sz w:val="17"/>
                <w:szCs w:val="17"/>
              </w:rPr>
              <w:t>% Change</w:t>
            </w:r>
          </w:p>
        </w:tc>
      </w:tr>
      <w:tr w:rsidR="002661BA" w14:paraId="22CFA683" w14:textId="77777777">
        <w:trPr>
          <w:jc w:val="center"/>
        </w:trPr>
        <w:tc>
          <w:tcPr>
            <w:tcW w:w="0" w:type="auto"/>
            <w:gridSpan w:val="3"/>
            <w:shd w:val="clear" w:color="auto" w:fill="auto"/>
            <w:tcMar>
              <w:top w:w="40" w:type="dxa"/>
              <w:left w:w="20" w:type="dxa"/>
              <w:bottom w:w="40" w:type="dxa"/>
              <w:right w:w="20" w:type="dxa"/>
            </w:tcMar>
            <w:vAlign w:val="center"/>
          </w:tcPr>
          <w:p w14:paraId="22CFA673" w14:textId="77777777" w:rsidR="002661BA" w:rsidRDefault="00D972BC">
            <w:pPr>
              <w:textAlignment w:val="center"/>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674"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675"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676"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22CFA677"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678" w14:textId="77777777" w:rsidR="002661BA" w:rsidRDefault="00D972BC">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679"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67A" w14:textId="77777777" w:rsidR="002661BA" w:rsidRDefault="00D972BC">
            <w:pPr>
              <w:jc w:val="center"/>
              <w:textAlignment w:val="bottom"/>
            </w:pPr>
            <w:r>
              <w:rPr>
                <w:rFonts w:ascii="Arial" w:eastAsia="宋体" w:hAnsi="Arial" w:cs="Arial"/>
                <w:b/>
                <w:bCs/>
                <w:color w:val="000000"/>
                <w:sz w:val="17"/>
                <w:szCs w:val="17"/>
              </w:rPr>
              <w:t>FX-Neutral</w:t>
            </w:r>
          </w:p>
        </w:tc>
        <w:tc>
          <w:tcPr>
            <w:tcW w:w="0" w:type="auto"/>
            <w:gridSpan w:val="3"/>
            <w:shd w:val="clear" w:color="auto" w:fill="auto"/>
            <w:tcMar>
              <w:top w:w="0" w:type="dxa"/>
              <w:left w:w="20" w:type="dxa"/>
              <w:bottom w:w="0" w:type="dxa"/>
              <w:right w:w="20" w:type="dxa"/>
            </w:tcMar>
            <w:vAlign w:val="bottom"/>
          </w:tcPr>
          <w:p w14:paraId="22CFA67B"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67C"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67D"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67E" w14:textId="77777777" w:rsidR="002661BA" w:rsidRDefault="00D972BC">
            <w:pPr>
              <w:jc w:val="center"/>
              <w:textAlignment w:val="bottom"/>
            </w:pPr>
            <w:r>
              <w:rPr>
                <w:rFonts w:ascii="Arial" w:eastAsia="宋体" w:hAnsi="Arial" w:cs="Arial"/>
                <w:b/>
                <w:bCs/>
                <w:color w:val="000000"/>
                <w:sz w:val="17"/>
                <w:szCs w:val="17"/>
              </w:rPr>
              <w:t>2019</w:t>
            </w:r>
          </w:p>
        </w:tc>
        <w:tc>
          <w:tcPr>
            <w:tcW w:w="0" w:type="auto"/>
            <w:gridSpan w:val="3"/>
            <w:shd w:val="clear" w:color="auto" w:fill="auto"/>
            <w:tcMar>
              <w:top w:w="0" w:type="dxa"/>
              <w:left w:w="20" w:type="dxa"/>
              <w:bottom w:w="0" w:type="dxa"/>
              <w:right w:w="20" w:type="dxa"/>
            </w:tcMar>
            <w:vAlign w:val="bottom"/>
          </w:tcPr>
          <w:p w14:paraId="22CFA67F"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680" w14:textId="77777777" w:rsidR="002661BA" w:rsidRDefault="00D972BC">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681"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682" w14:textId="77777777" w:rsidR="002661BA" w:rsidRDefault="00D972BC">
            <w:pPr>
              <w:jc w:val="center"/>
              <w:textAlignment w:val="bottom"/>
            </w:pPr>
            <w:r>
              <w:rPr>
                <w:rFonts w:ascii="Arial" w:eastAsia="宋体" w:hAnsi="Arial" w:cs="Arial"/>
                <w:b/>
                <w:bCs/>
                <w:color w:val="000000"/>
                <w:sz w:val="17"/>
                <w:szCs w:val="17"/>
              </w:rPr>
              <w:t>FX-Neutral</w:t>
            </w:r>
          </w:p>
        </w:tc>
      </w:tr>
      <w:tr w:rsidR="002661BA" w14:paraId="22CFA6A0" w14:textId="77777777">
        <w:trPr>
          <w:jc w:val="center"/>
        </w:trPr>
        <w:tc>
          <w:tcPr>
            <w:tcW w:w="0" w:type="auto"/>
            <w:gridSpan w:val="3"/>
            <w:shd w:val="clear" w:color="auto" w:fill="E2E2E2"/>
            <w:tcMar>
              <w:top w:w="40" w:type="dxa"/>
              <w:left w:w="20" w:type="dxa"/>
              <w:bottom w:w="40" w:type="dxa"/>
              <w:right w:w="20" w:type="dxa"/>
            </w:tcMar>
            <w:vAlign w:val="bottom"/>
          </w:tcPr>
          <w:p w14:paraId="22CFA684" w14:textId="77777777" w:rsidR="002661BA" w:rsidRDefault="00D972BC">
            <w:pPr>
              <w:textAlignment w:val="bottom"/>
            </w:pPr>
            <w:r>
              <w:rPr>
                <w:rFonts w:ascii="Arial" w:eastAsia="宋体" w:hAnsi="Arial" w:cs="Arial"/>
                <w:color w:val="000000"/>
                <w:sz w:val="18"/>
                <w:szCs w:val="18"/>
              </w:rPr>
              <w:t xml:space="preserve">Net transaction revenues </w:t>
            </w:r>
            <w:r>
              <w:rPr>
                <w:rFonts w:ascii="Arial" w:eastAsia="宋体" w:hAnsi="Arial" w:cs="Arial"/>
                <w:color w:val="000000"/>
                <w:sz w:val="11"/>
                <w:szCs w:val="11"/>
              </w:rPr>
              <w:t>(1)</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A68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686" w14:textId="77777777" w:rsidR="002661BA" w:rsidRDefault="00D972BC">
            <w:pPr>
              <w:jc w:val="right"/>
              <w:textAlignment w:val="bottom"/>
            </w:pPr>
            <w:r>
              <w:rPr>
                <w:rFonts w:ascii="Arial" w:eastAsia="宋体" w:hAnsi="Arial" w:cs="Arial"/>
                <w:color w:val="000000"/>
                <w:sz w:val="18"/>
                <w:szCs w:val="18"/>
              </w:rPr>
              <w:t>9,772 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687"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688"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A68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68A" w14:textId="77777777" w:rsidR="002661BA" w:rsidRDefault="00D972BC">
            <w:pPr>
              <w:jc w:val="right"/>
              <w:textAlignment w:val="bottom"/>
            </w:pPr>
            <w:r>
              <w:rPr>
                <w:rFonts w:ascii="Arial" w:eastAsia="宋体" w:hAnsi="Arial" w:cs="Arial"/>
                <w:color w:val="000000"/>
                <w:sz w:val="18"/>
                <w:szCs w:val="18"/>
              </w:rPr>
              <w:t>8,243 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68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68C"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68D" w14:textId="77777777" w:rsidR="002661BA" w:rsidRDefault="00D972BC">
            <w:pPr>
              <w:jc w:val="right"/>
              <w:textAlignment w:val="bottom"/>
            </w:pPr>
            <w:r>
              <w:rPr>
                <w:rFonts w:ascii="Arial" w:eastAsia="宋体" w:hAnsi="Arial" w:cs="Arial"/>
                <w:color w:val="000000"/>
                <w:sz w:val="18"/>
                <w:szCs w:val="18"/>
              </w:rPr>
              <w:t>19 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68E"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68F"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690" w14:textId="77777777" w:rsidR="002661BA" w:rsidRDefault="00D972BC">
            <w:pPr>
              <w:jc w:val="right"/>
              <w:textAlignment w:val="bottom"/>
            </w:pPr>
            <w:r>
              <w:rPr>
                <w:rFonts w:ascii="Arial" w:eastAsia="宋体" w:hAnsi="Arial" w:cs="Arial"/>
                <w:color w:val="000000"/>
                <w:sz w:val="18"/>
                <w:szCs w:val="18"/>
              </w:rPr>
              <w:t>17 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691"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692"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A69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694" w14:textId="77777777" w:rsidR="002661BA" w:rsidRDefault="00D972BC">
            <w:pPr>
              <w:jc w:val="right"/>
              <w:textAlignment w:val="bottom"/>
            </w:pPr>
            <w:r>
              <w:rPr>
                <w:rFonts w:ascii="Arial" w:eastAsia="宋体" w:hAnsi="Arial" w:cs="Arial"/>
                <w:color w:val="000000"/>
                <w:sz w:val="18"/>
                <w:szCs w:val="18"/>
              </w:rPr>
              <w:t>8,243 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69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696"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A69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698" w14:textId="77777777" w:rsidR="002661BA" w:rsidRDefault="00D972BC">
            <w:pPr>
              <w:jc w:val="right"/>
              <w:textAlignment w:val="bottom"/>
            </w:pPr>
            <w:r>
              <w:rPr>
                <w:rFonts w:ascii="Arial" w:eastAsia="宋体" w:hAnsi="Arial" w:cs="Arial"/>
                <w:color w:val="000000"/>
                <w:sz w:val="18"/>
                <w:szCs w:val="18"/>
              </w:rPr>
              <w:t>6,581 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69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69A"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69B" w14:textId="77777777" w:rsidR="002661BA" w:rsidRDefault="00D972BC">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69C"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69D"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69E" w14:textId="77777777" w:rsidR="002661BA" w:rsidRDefault="00D972BC">
            <w:pPr>
              <w:jc w:val="right"/>
              <w:textAlignment w:val="bottom"/>
            </w:pPr>
            <w:r>
              <w:rPr>
                <w:rFonts w:ascii="Arial" w:eastAsia="宋体" w:hAnsi="Arial" w:cs="Arial"/>
                <w:color w:val="000000"/>
                <w:sz w:val="18"/>
                <w:szCs w:val="18"/>
              </w:rPr>
              <w:t>26 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69F" w14:textId="77777777" w:rsidR="002661BA" w:rsidRDefault="00D972BC">
            <w:pPr>
              <w:jc w:val="right"/>
              <w:textAlignment w:val="bottom"/>
            </w:pPr>
            <w:r>
              <w:rPr>
                <w:rFonts w:ascii="Arial" w:eastAsia="宋体" w:hAnsi="Arial" w:cs="Arial"/>
                <w:color w:val="000000"/>
                <w:sz w:val="18"/>
                <w:szCs w:val="18"/>
              </w:rPr>
              <w:t>%</w:t>
            </w:r>
          </w:p>
        </w:tc>
      </w:tr>
      <w:tr w:rsidR="002661BA" w14:paraId="22CFA6B1" w14:textId="77777777">
        <w:trPr>
          <w:trHeight w:val="280"/>
          <w:jc w:val="center"/>
        </w:trPr>
        <w:tc>
          <w:tcPr>
            <w:tcW w:w="0" w:type="auto"/>
            <w:gridSpan w:val="3"/>
            <w:shd w:val="clear" w:color="auto" w:fill="FFFFFF"/>
            <w:tcMar>
              <w:top w:w="0" w:type="dxa"/>
              <w:left w:w="20" w:type="dxa"/>
              <w:bottom w:w="0" w:type="dxa"/>
              <w:right w:w="20" w:type="dxa"/>
            </w:tcMar>
            <w:vAlign w:val="bottom"/>
          </w:tcPr>
          <w:p w14:paraId="22CFA6A1"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6A2"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6A3"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6A4"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6A5"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6A6"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6A7"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6A8"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6A9"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6AA"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6AB"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6A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6AD"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6AE"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6AF"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6B0" w14:textId="77777777" w:rsidR="002661BA" w:rsidRDefault="002661BA">
            <w:pPr>
              <w:rPr>
                <w:rFonts w:ascii="宋体"/>
              </w:rPr>
            </w:pPr>
          </w:p>
        </w:tc>
      </w:tr>
      <w:tr w:rsidR="002661BA" w14:paraId="22CFA6C2" w14:textId="77777777">
        <w:trPr>
          <w:jc w:val="center"/>
        </w:trPr>
        <w:tc>
          <w:tcPr>
            <w:tcW w:w="0" w:type="auto"/>
            <w:gridSpan w:val="3"/>
            <w:shd w:val="clear" w:color="auto" w:fill="E2E2E2"/>
            <w:tcMar>
              <w:top w:w="40" w:type="dxa"/>
              <w:left w:w="20" w:type="dxa"/>
              <w:bottom w:w="40" w:type="dxa"/>
              <w:right w:w="20" w:type="dxa"/>
            </w:tcMar>
            <w:vAlign w:val="bottom"/>
          </w:tcPr>
          <w:p w14:paraId="22CFA6B2" w14:textId="77777777" w:rsidR="002661BA" w:rsidRDefault="00D972BC">
            <w:pPr>
              <w:textAlignment w:val="bottom"/>
            </w:pPr>
            <w:r>
              <w:rPr>
                <w:rFonts w:ascii="Arial" w:eastAsia="宋体" w:hAnsi="Arial" w:cs="Arial"/>
                <w:color w:val="000000"/>
                <w:sz w:val="18"/>
                <w:szCs w:val="18"/>
              </w:rPr>
              <w:t>Supplemental data:</w:t>
            </w:r>
          </w:p>
        </w:tc>
        <w:tc>
          <w:tcPr>
            <w:tcW w:w="0" w:type="auto"/>
            <w:gridSpan w:val="3"/>
            <w:shd w:val="clear" w:color="auto" w:fill="E2E2E2"/>
            <w:tcMar>
              <w:top w:w="0" w:type="dxa"/>
              <w:left w:w="20" w:type="dxa"/>
              <w:bottom w:w="0" w:type="dxa"/>
              <w:right w:w="20" w:type="dxa"/>
            </w:tcMar>
            <w:vAlign w:val="bottom"/>
          </w:tcPr>
          <w:p w14:paraId="22CFA6B3"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6B4"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6B5"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6B6"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6B7"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6B8"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6B9"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6BA"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6BB"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6BC"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6BD"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6BE"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6BF"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6C0"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6C1" w14:textId="77777777" w:rsidR="002661BA" w:rsidRDefault="002661BA">
            <w:pPr>
              <w:rPr>
                <w:rFonts w:ascii="宋体"/>
              </w:rPr>
            </w:pPr>
          </w:p>
        </w:tc>
      </w:tr>
      <w:tr w:rsidR="002661BA" w14:paraId="22CFA6DF" w14:textId="77777777">
        <w:trPr>
          <w:jc w:val="center"/>
        </w:trPr>
        <w:tc>
          <w:tcPr>
            <w:tcW w:w="0" w:type="auto"/>
            <w:gridSpan w:val="3"/>
            <w:shd w:val="clear" w:color="auto" w:fill="FFFFFF"/>
            <w:tcMar>
              <w:top w:w="40" w:type="dxa"/>
              <w:left w:w="20" w:type="dxa"/>
              <w:bottom w:w="40" w:type="dxa"/>
              <w:right w:w="20" w:type="dxa"/>
            </w:tcMar>
            <w:vAlign w:val="bottom"/>
          </w:tcPr>
          <w:p w14:paraId="22CFA6C3" w14:textId="77777777" w:rsidR="002661BA" w:rsidRDefault="00D972BC">
            <w:pPr>
              <w:textAlignment w:val="bottom"/>
            </w:pPr>
            <w:r>
              <w:rPr>
                <w:rFonts w:ascii="Arial" w:eastAsia="宋体" w:hAnsi="Arial" w:cs="Arial"/>
                <w:color w:val="000000"/>
                <w:sz w:val="18"/>
                <w:szCs w:val="18"/>
              </w:rPr>
              <w:t xml:space="preserve">GMV </w:t>
            </w:r>
            <w:r>
              <w:rPr>
                <w:rFonts w:ascii="Arial" w:eastAsia="宋体" w:hAnsi="Arial" w:cs="Arial"/>
                <w:color w:val="000000"/>
                <w:sz w:val="11"/>
                <w:szCs w:val="11"/>
              </w:rPr>
              <w:t>(2)</w:t>
            </w:r>
          </w:p>
        </w:tc>
        <w:tc>
          <w:tcPr>
            <w:tcW w:w="0" w:type="auto"/>
            <w:shd w:val="clear" w:color="auto" w:fill="FFFFFF"/>
            <w:tcMar>
              <w:top w:w="40" w:type="dxa"/>
              <w:left w:w="20" w:type="dxa"/>
              <w:bottom w:w="40" w:type="dxa"/>
              <w:right w:w="0" w:type="dxa"/>
            </w:tcMar>
            <w:vAlign w:val="bottom"/>
          </w:tcPr>
          <w:p w14:paraId="22CFA6C4"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6C5" w14:textId="77777777" w:rsidR="002661BA" w:rsidRDefault="00D972BC">
            <w:pPr>
              <w:jc w:val="right"/>
              <w:textAlignment w:val="bottom"/>
            </w:pPr>
            <w:r>
              <w:rPr>
                <w:rFonts w:ascii="Arial" w:eastAsia="宋体" w:hAnsi="Arial" w:cs="Arial"/>
                <w:color w:val="000000"/>
                <w:sz w:val="18"/>
                <w:szCs w:val="18"/>
              </w:rPr>
              <w:t>87,365 </w:t>
            </w:r>
          </w:p>
        </w:tc>
        <w:tc>
          <w:tcPr>
            <w:tcW w:w="0" w:type="auto"/>
            <w:shd w:val="clear" w:color="auto" w:fill="FFFFFF"/>
            <w:tcMar>
              <w:top w:w="40" w:type="dxa"/>
              <w:left w:w="0" w:type="dxa"/>
              <w:bottom w:w="40" w:type="dxa"/>
              <w:right w:w="20" w:type="dxa"/>
            </w:tcMar>
            <w:vAlign w:val="bottom"/>
          </w:tcPr>
          <w:p w14:paraId="22CFA6C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6C7"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A6C8"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6C9" w14:textId="77777777" w:rsidR="002661BA" w:rsidRDefault="00D972BC">
            <w:pPr>
              <w:jc w:val="right"/>
              <w:textAlignment w:val="bottom"/>
            </w:pPr>
            <w:r>
              <w:rPr>
                <w:rFonts w:ascii="Arial" w:eastAsia="宋体" w:hAnsi="Arial" w:cs="Arial"/>
                <w:color w:val="000000"/>
                <w:sz w:val="18"/>
                <w:szCs w:val="18"/>
              </w:rPr>
              <w:t>87,608 </w:t>
            </w:r>
          </w:p>
        </w:tc>
        <w:tc>
          <w:tcPr>
            <w:tcW w:w="0" w:type="auto"/>
            <w:shd w:val="clear" w:color="auto" w:fill="FFFFFF"/>
            <w:tcMar>
              <w:top w:w="40" w:type="dxa"/>
              <w:left w:w="0" w:type="dxa"/>
              <w:bottom w:w="40" w:type="dxa"/>
              <w:right w:w="20" w:type="dxa"/>
            </w:tcMar>
            <w:vAlign w:val="bottom"/>
          </w:tcPr>
          <w:p w14:paraId="22CFA6CA"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6CB"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6CC"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A6CD"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6CE"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6CF" w14:textId="77777777" w:rsidR="002661BA" w:rsidRDefault="00D972BC">
            <w:pPr>
              <w:jc w:val="right"/>
              <w:textAlignment w:val="bottom"/>
            </w:pPr>
            <w:r>
              <w:rPr>
                <w:rFonts w:ascii="Arial" w:eastAsia="宋体" w:hAnsi="Arial" w:cs="Arial"/>
                <w:color w:val="000000"/>
                <w:sz w:val="18"/>
                <w:szCs w:val="18"/>
              </w:rPr>
              <w:t>(3)</w:t>
            </w:r>
          </w:p>
        </w:tc>
        <w:tc>
          <w:tcPr>
            <w:tcW w:w="0" w:type="auto"/>
            <w:shd w:val="clear" w:color="auto" w:fill="FFFFFF"/>
            <w:tcMar>
              <w:top w:w="40" w:type="dxa"/>
              <w:left w:w="0" w:type="dxa"/>
              <w:bottom w:w="40" w:type="dxa"/>
              <w:right w:w="20" w:type="dxa"/>
            </w:tcMar>
            <w:vAlign w:val="bottom"/>
          </w:tcPr>
          <w:p w14:paraId="22CFA6D0"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6D1"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A6D2"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6D3" w14:textId="77777777" w:rsidR="002661BA" w:rsidRDefault="00D972BC">
            <w:pPr>
              <w:jc w:val="right"/>
              <w:textAlignment w:val="bottom"/>
            </w:pPr>
            <w:r>
              <w:rPr>
                <w:rFonts w:ascii="Arial" w:eastAsia="宋体" w:hAnsi="Arial" w:cs="Arial"/>
                <w:color w:val="000000"/>
                <w:sz w:val="18"/>
                <w:szCs w:val="18"/>
              </w:rPr>
              <w:t>87,608 </w:t>
            </w:r>
          </w:p>
        </w:tc>
        <w:tc>
          <w:tcPr>
            <w:tcW w:w="0" w:type="auto"/>
            <w:shd w:val="clear" w:color="auto" w:fill="FFFFFF"/>
            <w:tcMar>
              <w:top w:w="40" w:type="dxa"/>
              <w:left w:w="0" w:type="dxa"/>
              <w:bottom w:w="40" w:type="dxa"/>
              <w:right w:w="20" w:type="dxa"/>
            </w:tcMar>
            <w:vAlign w:val="bottom"/>
          </w:tcPr>
          <w:p w14:paraId="22CFA6D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6D5"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A6D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6D7" w14:textId="77777777" w:rsidR="002661BA" w:rsidRDefault="00D972BC">
            <w:pPr>
              <w:jc w:val="right"/>
              <w:textAlignment w:val="bottom"/>
            </w:pPr>
            <w:r>
              <w:rPr>
                <w:rFonts w:ascii="Arial" w:eastAsia="宋体" w:hAnsi="Arial" w:cs="Arial"/>
                <w:color w:val="000000"/>
                <w:sz w:val="18"/>
                <w:szCs w:val="18"/>
              </w:rPr>
              <w:t>72,134 </w:t>
            </w:r>
          </w:p>
        </w:tc>
        <w:tc>
          <w:tcPr>
            <w:tcW w:w="0" w:type="auto"/>
            <w:shd w:val="clear" w:color="auto" w:fill="FFFFFF"/>
            <w:tcMar>
              <w:top w:w="40" w:type="dxa"/>
              <w:left w:w="0" w:type="dxa"/>
              <w:bottom w:w="40" w:type="dxa"/>
              <w:right w:w="20" w:type="dxa"/>
            </w:tcMar>
            <w:vAlign w:val="bottom"/>
          </w:tcPr>
          <w:p w14:paraId="22CFA6D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6D9"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6DA" w14:textId="77777777" w:rsidR="002661BA" w:rsidRDefault="00D972BC">
            <w:pPr>
              <w:jc w:val="right"/>
              <w:textAlignment w:val="bottom"/>
            </w:pPr>
            <w:r>
              <w:rPr>
                <w:rFonts w:ascii="Arial" w:eastAsia="宋体" w:hAnsi="Arial" w:cs="Arial"/>
                <w:color w:val="000000"/>
                <w:sz w:val="18"/>
                <w:szCs w:val="18"/>
              </w:rPr>
              <w:t>21 </w:t>
            </w:r>
          </w:p>
        </w:tc>
        <w:tc>
          <w:tcPr>
            <w:tcW w:w="0" w:type="auto"/>
            <w:shd w:val="clear" w:color="auto" w:fill="FFFFFF"/>
            <w:tcMar>
              <w:top w:w="40" w:type="dxa"/>
              <w:left w:w="0" w:type="dxa"/>
              <w:bottom w:w="40" w:type="dxa"/>
              <w:right w:w="20" w:type="dxa"/>
            </w:tcMar>
            <w:vAlign w:val="bottom"/>
          </w:tcPr>
          <w:p w14:paraId="22CFA6DB"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6D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6DD" w14:textId="77777777" w:rsidR="002661BA" w:rsidRDefault="00D972BC">
            <w:pPr>
              <w:jc w:val="right"/>
              <w:textAlignment w:val="bottom"/>
            </w:pPr>
            <w:r>
              <w:rPr>
                <w:rFonts w:ascii="Arial" w:eastAsia="宋体" w:hAnsi="Arial" w:cs="Arial"/>
                <w:color w:val="000000"/>
                <w:sz w:val="18"/>
                <w:szCs w:val="18"/>
              </w:rPr>
              <w:t>21 </w:t>
            </w:r>
          </w:p>
        </w:tc>
        <w:tc>
          <w:tcPr>
            <w:tcW w:w="0" w:type="auto"/>
            <w:shd w:val="clear" w:color="auto" w:fill="FFFFFF"/>
            <w:tcMar>
              <w:top w:w="40" w:type="dxa"/>
              <w:left w:w="0" w:type="dxa"/>
              <w:bottom w:w="40" w:type="dxa"/>
              <w:right w:w="20" w:type="dxa"/>
            </w:tcMar>
            <w:vAlign w:val="bottom"/>
          </w:tcPr>
          <w:p w14:paraId="22CFA6DE" w14:textId="77777777" w:rsidR="002661BA" w:rsidRDefault="00D972BC">
            <w:pPr>
              <w:jc w:val="right"/>
              <w:textAlignment w:val="bottom"/>
            </w:pPr>
            <w:r>
              <w:rPr>
                <w:rFonts w:ascii="Arial" w:eastAsia="宋体" w:hAnsi="Arial" w:cs="Arial"/>
                <w:color w:val="000000"/>
                <w:sz w:val="18"/>
                <w:szCs w:val="18"/>
              </w:rPr>
              <w:t>%</w:t>
            </w:r>
          </w:p>
        </w:tc>
      </w:tr>
      <w:tr w:rsidR="002661BA" w14:paraId="22CFA6F6" w14:textId="77777777">
        <w:trPr>
          <w:jc w:val="center"/>
        </w:trPr>
        <w:tc>
          <w:tcPr>
            <w:tcW w:w="0" w:type="auto"/>
            <w:gridSpan w:val="3"/>
            <w:shd w:val="clear" w:color="auto" w:fill="E2E2E2"/>
            <w:tcMar>
              <w:top w:w="40" w:type="dxa"/>
              <w:left w:w="140" w:type="dxa"/>
              <w:bottom w:w="40" w:type="dxa"/>
              <w:right w:w="20" w:type="dxa"/>
            </w:tcMar>
            <w:vAlign w:val="bottom"/>
          </w:tcPr>
          <w:p w14:paraId="22CFA6E0" w14:textId="77777777" w:rsidR="002661BA" w:rsidRDefault="00D972BC">
            <w:pPr>
              <w:textAlignment w:val="bottom"/>
            </w:pPr>
            <w:r>
              <w:rPr>
                <w:rFonts w:ascii="Arial" w:eastAsia="宋体" w:hAnsi="Arial" w:cs="Arial"/>
                <w:color w:val="000000"/>
                <w:sz w:val="18"/>
                <w:szCs w:val="18"/>
              </w:rPr>
              <w:t>Take rate</w:t>
            </w:r>
          </w:p>
        </w:tc>
        <w:tc>
          <w:tcPr>
            <w:tcW w:w="0" w:type="auto"/>
            <w:gridSpan w:val="2"/>
            <w:shd w:val="clear" w:color="auto" w:fill="E2E2E2"/>
            <w:tcMar>
              <w:top w:w="40" w:type="dxa"/>
              <w:left w:w="20" w:type="dxa"/>
              <w:bottom w:w="40" w:type="dxa"/>
              <w:right w:w="0" w:type="dxa"/>
            </w:tcMar>
            <w:vAlign w:val="bottom"/>
          </w:tcPr>
          <w:p w14:paraId="22CFA6E1" w14:textId="77777777" w:rsidR="002661BA" w:rsidRDefault="00D972BC">
            <w:pPr>
              <w:jc w:val="right"/>
              <w:textAlignment w:val="bottom"/>
            </w:pPr>
            <w:r>
              <w:rPr>
                <w:rFonts w:ascii="Arial" w:eastAsia="宋体" w:hAnsi="Arial" w:cs="Arial"/>
                <w:color w:val="000000"/>
                <w:sz w:val="18"/>
                <w:szCs w:val="18"/>
              </w:rPr>
              <w:t>11.19 </w:t>
            </w:r>
          </w:p>
        </w:tc>
        <w:tc>
          <w:tcPr>
            <w:tcW w:w="0" w:type="auto"/>
            <w:shd w:val="clear" w:color="auto" w:fill="E2E2E2"/>
            <w:tcMar>
              <w:top w:w="40" w:type="dxa"/>
              <w:left w:w="0" w:type="dxa"/>
              <w:bottom w:w="40" w:type="dxa"/>
              <w:right w:w="20" w:type="dxa"/>
            </w:tcMar>
            <w:vAlign w:val="bottom"/>
          </w:tcPr>
          <w:p w14:paraId="22CFA6E2"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6E3"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6E4" w14:textId="77777777" w:rsidR="002661BA" w:rsidRDefault="00D972BC">
            <w:pPr>
              <w:jc w:val="right"/>
              <w:textAlignment w:val="bottom"/>
            </w:pPr>
            <w:r>
              <w:rPr>
                <w:rFonts w:ascii="Arial" w:eastAsia="宋体" w:hAnsi="Arial" w:cs="Arial"/>
                <w:color w:val="000000"/>
                <w:sz w:val="18"/>
                <w:szCs w:val="18"/>
              </w:rPr>
              <w:t>9.41 </w:t>
            </w:r>
          </w:p>
        </w:tc>
        <w:tc>
          <w:tcPr>
            <w:tcW w:w="0" w:type="auto"/>
            <w:shd w:val="clear" w:color="auto" w:fill="E2E2E2"/>
            <w:tcMar>
              <w:top w:w="40" w:type="dxa"/>
              <w:left w:w="0" w:type="dxa"/>
              <w:bottom w:w="40" w:type="dxa"/>
              <w:right w:w="20" w:type="dxa"/>
            </w:tcMar>
            <w:vAlign w:val="bottom"/>
          </w:tcPr>
          <w:p w14:paraId="22CFA6E5"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6E6"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6E7" w14:textId="77777777" w:rsidR="002661BA" w:rsidRDefault="00D972BC">
            <w:pPr>
              <w:jc w:val="right"/>
              <w:textAlignment w:val="bottom"/>
            </w:pPr>
            <w:r>
              <w:rPr>
                <w:rFonts w:ascii="Arial" w:eastAsia="宋体" w:hAnsi="Arial" w:cs="Arial"/>
                <w:color w:val="000000"/>
                <w:sz w:val="18"/>
                <w:szCs w:val="18"/>
              </w:rPr>
              <w:t>1.78 </w:t>
            </w:r>
          </w:p>
        </w:tc>
        <w:tc>
          <w:tcPr>
            <w:tcW w:w="0" w:type="auto"/>
            <w:shd w:val="clear" w:color="auto" w:fill="E2E2E2"/>
            <w:tcMar>
              <w:top w:w="40" w:type="dxa"/>
              <w:left w:w="0" w:type="dxa"/>
              <w:bottom w:w="40" w:type="dxa"/>
              <w:right w:w="20" w:type="dxa"/>
            </w:tcMar>
            <w:vAlign w:val="bottom"/>
          </w:tcPr>
          <w:p w14:paraId="22CFA6E8"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6E9"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6EA"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6EB"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6EC" w14:textId="77777777" w:rsidR="002661BA" w:rsidRDefault="00D972BC">
            <w:pPr>
              <w:jc w:val="right"/>
              <w:textAlignment w:val="bottom"/>
            </w:pPr>
            <w:r>
              <w:rPr>
                <w:rFonts w:ascii="Arial" w:eastAsia="宋体" w:hAnsi="Arial" w:cs="Arial"/>
                <w:color w:val="000000"/>
                <w:sz w:val="18"/>
                <w:szCs w:val="18"/>
              </w:rPr>
              <w:t>9.41 </w:t>
            </w:r>
          </w:p>
        </w:tc>
        <w:tc>
          <w:tcPr>
            <w:tcW w:w="0" w:type="auto"/>
            <w:shd w:val="clear" w:color="auto" w:fill="E2E2E2"/>
            <w:tcMar>
              <w:top w:w="40" w:type="dxa"/>
              <w:left w:w="0" w:type="dxa"/>
              <w:bottom w:w="40" w:type="dxa"/>
              <w:right w:w="20" w:type="dxa"/>
            </w:tcMar>
            <w:vAlign w:val="bottom"/>
          </w:tcPr>
          <w:p w14:paraId="22CFA6ED"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6EE"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6EF" w14:textId="77777777" w:rsidR="002661BA" w:rsidRDefault="00D972BC">
            <w:pPr>
              <w:jc w:val="right"/>
              <w:textAlignment w:val="bottom"/>
            </w:pPr>
            <w:r>
              <w:rPr>
                <w:rFonts w:ascii="Arial" w:eastAsia="宋体" w:hAnsi="Arial" w:cs="Arial"/>
                <w:color w:val="000000"/>
                <w:sz w:val="18"/>
                <w:szCs w:val="18"/>
              </w:rPr>
              <w:t>9.12 </w:t>
            </w:r>
          </w:p>
        </w:tc>
        <w:tc>
          <w:tcPr>
            <w:tcW w:w="0" w:type="auto"/>
            <w:shd w:val="clear" w:color="auto" w:fill="E2E2E2"/>
            <w:tcMar>
              <w:top w:w="40" w:type="dxa"/>
              <w:left w:w="0" w:type="dxa"/>
              <w:bottom w:w="40" w:type="dxa"/>
              <w:right w:w="20" w:type="dxa"/>
            </w:tcMar>
            <w:vAlign w:val="bottom"/>
          </w:tcPr>
          <w:p w14:paraId="22CFA6F0"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6F1"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6F2" w14:textId="77777777" w:rsidR="002661BA" w:rsidRDefault="00D972BC">
            <w:pPr>
              <w:jc w:val="right"/>
              <w:textAlignment w:val="bottom"/>
            </w:pPr>
            <w:r>
              <w:rPr>
                <w:rFonts w:ascii="Arial" w:eastAsia="宋体" w:hAnsi="Arial" w:cs="Arial"/>
                <w:color w:val="000000"/>
                <w:sz w:val="18"/>
                <w:szCs w:val="18"/>
              </w:rPr>
              <w:t>0.29 </w:t>
            </w:r>
          </w:p>
        </w:tc>
        <w:tc>
          <w:tcPr>
            <w:tcW w:w="0" w:type="auto"/>
            <w:shd w:val="clear" w:color="auto" w:fill="E2E2E2"/>
            <w:tcMar>
              <w:top w:w="40" w:type="dxa"/>
              <w:left w:w="0" w:type="dxa"/>
              <w:bottom w:w="40" w:type="dxa"/>
              <w:right w:w="20" w:type="dxa"/>
            </w:tcMar>
            <w:vAlign w:val="bottom"/>
          </w:tcPr>
          <w:p w14:paraId="22CFA6F3"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6F4"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6F5" w14:textId="77777777" w:rsidR="002661BA" w:rsidRDefault="002661BA">
            <w:pPr>
              <w:rPr>
                <w:rFonts w:ascii="宋体"/>
              </w:rPr>
            </w:pPr>
          </w:p>
        </w:tc>
      </w:tr>
    </w:tbl>
    <w:p w14:paraId="22CFA6F7" w14:textId="77777777" w:rsidR="002661BA" w:rsidRDefault="00D972BC">
      <w:pPr>
        <w:ind w:hanging="360"/>
        <w:jc w:val="both"/>
      </w:pPr>
      <w:r>
        <w:rPr>
          <w:rFonts w:ascii="Arial" w:eastAsia="宋体" w:hAnsi="Arial" w:cs="Arial"/>
          <w:color w:val="000000"/>
          <w:sz w:val="16"/>
          <w:szCs w:val="16"/>
        </w:rPr>
        <w:t>(1)Marketplace net transaction revenues were net of $65 million, $1</w:t>
      </w:r>
      <w:r>
        <w:rPr>
          <w:rFonts w:ascii="Arial" w:eastAsia="宋体" w:hAnsi="Arial" w:cs="Arial"/>
          <w:color w:val="000000"/>
          <w:sz w:val="16"/>
          <w:szCs w:val="16"/>
        </w:rPr>
        <w:t xml:space="preserve">5 million and $81 million hedging activity during the years ended December 31, 2021, 2020 and 2019 respectively. </w:t>
      </w:r>
    </w:p>
    <w:p w14:paraId="22CFA6F8" w14:textId="77777777" w:rsidR="002661BA" w:rsidRDefault="00D972BC">
      <w:pPr>
        <w:ind w:hanging="360"/>
        <w:jc w:val="both"/>
      </w:pPr>
      <w:r>
        <w:rPr>
          <w:rFonts w:ascii="Arial" w:eastAsia="宋体" w:hAnsi="Arial" w:cs="Arial"/>
          <w:color w:val="000000"/>
          <w:sz w:val="16"/>
          <w:szCs w:val="16"/>
        </w:rPr>
        <w:t>(2)GMV has been retrospectively recast to reflect the new definition of GMV announced in December 2021.</w:t>
      </w:r>
    </w:p>
    <w:p w14:paraId="22CFA6F9" w14:textId="77777777" w:rsidR="002661BA" w:rsidRDefault="00D972BC">
      <w:pPr>
        <w:jc w:val="center"/>
      </w:pPr>
      <w:r>
        <w:rPr>
          <w:rFonts w:ascii="Arial" w:eastAsia="宋体" w:hAnsi="Arial" w:cs="Arial"/>
          <w:color w:val="000000"/>
          <w:sz w:val="18"/>
          <w:szCs w:val="18"/>
        </w:rPr>
        <w:t>35</w:t>
      </w:r>
    </w:p>
    <w:p w14:paraId="22CFA6FA" w14:textId="77777777" w:rsidR="002661BA" w:rsidRDefault="00D972BC">
      <w:r>
        <w:pict w14:anchorId="22CFE4D4">
          <v:rect id="_x0000_i1059" style="width:415.3pt;height:1.5pt" o:hralign="center" o:hrstd="t" o:hr="t" fillcolor="#a0a0a0" stroked="f"/>
        </w:pict>
      </w:r>
    </w:p>
    <w:p w14:paraId="22CFA6FB" w14:textId="77777777" w:rsidR="002661BA" w:rsidRDefault="00D972BC">
      <w:hyperlink r:id="rId61" w:anchor="id0d7a71b05ce452ea9fdb54f3cb359c7_7" w:history="1">
        <w:r>
          <w:rPr>
            <w:rStyle w:val="a5"/>
            <w:rFonts w:ascii="Arial" w:eastAsia="宋体" w:hAnsi="Arial" w:cs="Arial"/>
            <w:sz w:val="18"/>
            <w:szCs w:val="18"/>
          </w:rPr>
          <w:t>Table of Contents</w:t>
        </w:r>
      </w:hyperlink>
    </w:p>
    <w:p w14:paraId="22CFA6FC" w14:textId="77777777" w:rsidR="002661BA" w:rsidRDefault="00D972BC">
      <w:pPr>
        <w:ind w:firstLine="540"/>
        <w:jc w:val="both"/>
      </w:pPr>
      <w:r>
        <w:rPr>
          <w:rFonts w:ascii="Arial" w:eastAsia="宋体" w:hAnsi="Arial" w:cs="Arial"/>
          <w:color w:val="000000"/>
          <w:sz w:val="20"/>
          <w:szCs w:val="20"/>
        </w:rPr>
        <w:t>During 2021, we completed the migration of eBay’s managed payments in all markets, delivering buyers and sellers a sim</w:t>
      </w:r>
      <w:r>
        <w:rPr>
          <w:rFonts w:ascii="Arial" w:eastAsia="宋体" w:hAnsi="Arial" w:cs="Arial"/>
          <w:color w:val="000000"/>
          <w:sz w:val="20"/>
          <w:szCs w:val="20"/>
        </w:rPr>
        <w:t>plified end-to-end payments experience. Net transaction revenues increased $1.5 billion in 2021 compared to 2020 primarily due to the migration of managed payments on a global basis and the associated higher take rate as well as the growth of Promoted List</w:t>
      </w:r>
      <w:r>
        <w:rPr>
          <w:rFonts w:ascii="Arial" w:eastAsia="宋体" w:hAnsi="Arial" w:cs="Arial"/>
          <w:color w:val="000000"/>
          <w:sz w:val="20"/>
          <w:szCs w:val="20"/>
        </w:rPr>
        <w:t>ings. GMV was relatively flat in 2021 compared to 2020 due to improved traffic and buyer acquisition during the first quarter of 2021 offset by a decline in traffic experienced for the remainder of 2021. Traffic has fluctuated throughout 2021 and 2020 in r</w:t>
      </w:r>
      <w:r>
        <w:rPr>
          <w:rFonts w:ascii="Arial" w:eastAsia="宋体" w:hAnsi="Arial" w:cs="Arial"/>
          <w:color w:val="000000"/>
          <w:sz w:val="20"/>
          <w:szCs w:val="20"/>
        </w:rPr>
        <w:t>esponse to the pervasive macroeconomic impacts of COVID-19, including mobility restrictions which influence consumer engagement in online shopping. GMV in both 2021 and 2020 was elevated compared to 2019 as improved business dynamics influenced growth acro</w:t>
      </w:r>
      <w:r>
        <w:rPr>
          <w:rFonts w:ascii="Arial" w:eastAsia="宋体" w:hAnsi="Arial" w:cs="Arial"/>
          <w:color w:val="000000"/>
          <w:sz w:val="20"/>
          <w:szCs w:val="20"/>
        </w:rPr>
        <w:t>ss all major product categories. While GMV growth rates were relatively flat across many categories in 2021 compared to 2020, market trends influenced stronger contributions from the collectibles category in 2021 compared to 2020, particularly in the U.S.</w:t>
      </w:r>
    </w:p>
    <w:p w14:paraId="22CFA6FD" w14:textId="77777777" w:rsidR="002661BA" w:rsidRDefault="002661BA">
      <w:pPr>
        <w:ind w:firstLine="540"/>
        <w:jc w:val="both"/>
      </w:pPr>
    </w:p>
    <w:p w14:paraId="22CFA6FE" w14:textId="77777777" w:rsidR="002661BA" w:rsidRDefault="00D972BC">
      <w:pPr>
        <w:ind w:firstLine="540"/>
        <w:jc w:val="both"/>
      </w:pPr>
      <w:r>
        <w:rPr>
          <w:rFonts w:ascii="Arial" w:eastAsia="宋体" w:hAnsi="Arial" w:cs="Arial"/>
          <w:color w:val="000000"/>
          <w:sz w:val="20"/>
          <w:szCs w:val="20"/>
        </w:rPr>
        <w:t>Transaction take rate was higher in 2021 compared to 2020 as a result of revenue initiatives such as global payments which resulted in the majority of global on-platform volume processed through managed payments and Promoted Listings, which along with fin</w:t>
      </w:r>
      <w:r>
        <w:rPr>
          <w:rFonts w:ascii="Arial" w:eastAsia="宋体" w:hAnsi="Arial" w:cs="Arial"/>
          <w:color w:val="000000"/>
          <w:sz w:val="20"/>
          <w:szCs w:val="20"/>
        </w:rPr>
        <w:t xml:space="preserve">al value fees are calculated as a percentage of an item’s sale price and category mix. </w:t>
      </w:r>
    </w:p>
    <w:p w14:paraId="22CFA6FF" w14:textId="77777777" w:rsidR="002661BA" w:rsidRDefault="002661BA">
      <w:pPr>
        <w:ind w:firstLine="540"/>
        <w:jc w:val="both"/>
      </w:pPr>
    </w:p>
    <w:p w14:paraId="22CFA700" w14:textId="77777777" w:rsidR="002661BA" w:rsidRDefault="00D972BC">
      <w:pPr>
        <w:ind w:firstLine="540"/>
        <w:jc w:val="both"/>
      </w:pPr>
      <w:r>
        <w:rPr>
          <w:rFonts w:ascii="Arial" w:eastAsia="宋体" w:hAnsi="Arial" w:cs="Arial"/>
          <w:color w:val="000000"/>
          <w:sz w:val="20"/>
          <w:szCs w:val="20"/>
        </w:rPr>
        <w:t xml:space="preserve">The increase in net transaction revenues in 2021 compared to 2020 was due to take rate considerations discussed above, despite relatively flat GMV. We expect that the </w:t>
      </w:r>
      <w:r>
        <w:rPr>
          <w:rFonts w:ascii="Arial" w:eastAsia="宋体" w:hAnsi="Arial" w:cs="Arial"/>
          <w:color w:val="000000"/>
          <w:sz w:val="20"/>
          <w:szCs w:val="20"/>
        </w:rPr>
        <w:t>divergence between net transaction revenues and GMV to continue into 2022. Despite GMV’s divergence from net transaction revenues, we still believe the metric provides a useful measure of overall volume of paid transactions that flow through the platform i</w:t>
      </w:r>
      <w:r>
        <w:rPr>
          <w:rFonts w:ascii="Arial" w:eastAsia="宋体" w:hAnsi="Arial" w:cs="Arial"/>
          <w:color w:val="000000"/>
          <w:sz w:val="20"/>
          <w:szCs w:val="20"/>
        </w:rPr>
        <w:t>n a given period.</w:t>
      </w:r>
    </w:p>
    <w:p w14:paraId="22CFA701" w14:textId="77777777" w:rsidR="002661BA" w:rsidRDefault="002661BA">
      <w:pPr>
        <w:ind w:firstLine="540"/>
        <w:jc w:val="both"/>
      </w:pPr>
    </w:p>
    <w:p w14:paraId="22CFA702" w14:textId="77777777" w:rsidR="002661BA" w:rsidRDefault="00D972BC">
      <w:pPr>
        <w:ind w:firstLine="270"/>
        <w:jc w:val="both"/>
      </w:pPr>
      <w:r>
        <w:rPr>
          <w:rFonts w:ascii="Arial" w:eastAsia="宋体" w:hAnsi="Arial" w:cs="Arial"/>
          <w:b/>
          <w:bCs/>
          <w:i/>
          <w:iCs/>
          <w:color w:val="000000"/>
          <w:sz w:val="20"/>
          <w:szCs w:val="20"/>
        </w:rPr>
        <w:t>Marketing Services and Other Revenues</w:t>
      </w:r>
    </w:p>
    <w:p w14:paraId="22CFA703" w14:textId="77777777" w:rsidR="002661BA" w:rsidRDefault="002661BA">
      <w:pPr>
        <w:jc w:val="both"/>
      </w:pPr>
    </w:p>
    <w:p w14:paraId="22CFA704" w14:textId="77777777" w:rsidR="002661BA" w:rsidRDefault="00D972BC">
      <w:pPr>
        <w:spacing w:after="120"/>
        <w:ind w:firstLine="540"/>
        <w:jc w:val="both"/>
      </w:pPr>
      <w:r>
        <w:rPr>
          <w:rFonts w:ascii="Arial" w:eastAsia="宋体" w:hAnsi="Arial" w:cs="Arial"/>
          <w:color w:val="000000"/>
          <w:sz w:val="20"/>
          <w:szCs w:val="20"/>
        </w:rPr>
        <w:t>The following table presents MS&amp;O revenues for the periods indicated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57"/>
        <w:gridCol w:w="836"/>
        <w:gridCol w:w="37"/>
        <w:gridCol w:w="121"/>
        <w:gridCol w:w="349"/>
        <w:gridCol w:w="180"/>
        <w:gridCol w:w="36"/>
        <w:gridCol w:w="36"/>
        <w:gridCol w:w="36"/>
        <w:gridCol w:w="121"/>
        <w:gridCol w:w="349"/>
        <w:gridCol w:w="180"/>
        <w:gridCol w:w="36"/>
        <w:gridCol w:w="36"/>
        <w:gridCol w:w="36"/>
        <w:gridCol w:w="85"/>
        <w:gridCol w:w="691"/>
        <w:gridCol w:w="181"/>
        <w:gridCol w:w="37"/>
        <w:gridCol w:w="36"/>
        <w:gridCol w:w="36"/>
        <w:gridCol w:w="95"/>
        <w:gridCol w:w="792"/>
        <w:gridCol w:w="180"/>
        <w:gridCol w:w="36"/>
        <w:gridCol w:w="36"/>
        <w:gridCol w:w="36"/>
        <w:gridCol w:w="121"/>
        <w:gridCol w:w="349"/>
        <w:gridCol w:w="180"/>
        <w:gridCol w:w="36"/>
        <w:gridCol w:w="36"/>
        <w:gridCol w:w="36"/>
        <w:gridCol w:w="121"/>
        <w:gridCol w:w="349"/>
        <w:gridCol w:w="180"/>
        <w:gridCol w:w="36"/>
        <w:gridCol w:w="36"/>
        <w:gridCol w:w="36"/>
        <w:gridCol w:w="85"/>
        <w:gridCol w:w="691"/>
        <w:gridCol w:w="181"/>
        <w:gridCol w:w="37"/>
        <w:gridCol w:w="36"/>
        <w:gridCol w:w="36"/>
        <w:gridCol w:w="95"/>
        <w:gridCol w:w="792"/>
        <w:gridCol w:w="180"/>
      </w:tblGrid>
      <w:tr w:rsidR="002661BA" w14:paraId="22CFA735" w14:textId="77777777">
        <w:trPr>
          <w:jc w:val="center"/>
        </w:trPr>
        <w:tc>
          <w:tcPr>
            <w:tcW w:w="50" w:type="pct"/>
            <w:shd w:val="clear" w:color="auto" w:fill="auto"/>
            <w:vAlign w:val="bottom"/>
          </w:tcPr>
          <w:p w14:paraId="22CFA705" w14:textId="77777777" w:rsidR="002661BA" w:rsidRDefault="002661BA">
            <w:pPr>
              <w:rPr>
                <w:rFonts w:ascii="宋体"/>
              </w:rPr>
            </w:pPr>
          </w:p>
        </w:tc>
        <w:tc>
          <w:tcPr>
            <w:tcW w:w="763" w:type="pct"/>
            <w:shd w:val="clear" w:color="auto" w:fill="auto"/>
            <w:vAlign w:val="bottom"/>
          </w:tcPr>
          <w:p w14:paraId="22CFA706" w14:textId="77777777" w:rsidR="002661BA" w:rsidRDefault="002661BA">
            <w:pPr>
              <w:rPr>
                <w:rFonts w:ascii="宋体"/>
              </w:rPr>
            </w:pPr>
          </w:p>
        </w:tc>
        <w:tc>
          <w:tcPr>
            <w:tcW w:w="5" w:type="pct"/>
            <w:shd w:val="clear" w:color="auto" w:fill="auto"/>
            <w:vAlign w:val="bottom"/>
          </w:tcPr>
          <w:p w14:paraId="22CFA707" w14:textId="77777777" w:rsidR="002661BA" w:rsidRDefault="002661BA">
            <w:pPr>
              <w:rPr>
                <w:rFonts w:ascii="宋体"/>
              </w:rPr>
            </w:pPr>
          </w:p>
        </w:tc>
        <w:tc>
          <w:tcPr>
            <w:tcW w:w="50" w:type="pct"/>
            <w:shd w:val="clear" w:color="auto" w:fill="auto"/>
            <w:vAlign w:val="bottom"/>
          </w:tcPr>
          <w:p w14:paraId="22CFA708" w14:textId="77777777" w:rsidR="002661BA" w:rsidRDefault="002661BA">
            <w:pPr>
              <w:rPr>
                <w:rFonts w:ascii="宋体"/>
              </w:rPr>
            </w:pPr>
          </w:p>
        </w:tc>
        <w:tc>
          <w:tcPr>
            <w:tcW w:w="471" w:type="pct"/>
            <w:shd w:val="clear" w:color="auto" w:fill="auto"/>
            <w:vAlign w:val="bottom"/>
          </w:tcPr>
          <w:p w14:paraId="22CFA709" w14:textId="77777777" w:rsidR="002661BA" w:rsidRDefault="002661BA">
            <w:pPr>
              <w:rPr>
                <w:rFonts w:ascii="宋体"/>
              </w:rPr>
            </w:pPr>
          </w:p>
        </w:tc>
        <w:tc>
          <w:tcPr>
            <w:tcW w:w="5" w:type="pct"/>
            <w:shd w:val="clear" w:color="auto" w:fill="auto"/>
            <w:vAlign w:val="bottom"/>
          </w:tcPr>
          <w:p w14:paraId="22CFA70A" w14:textId="77777777" w:rsidR="002661BA" w:rsidRDefault="002661BA">
            <w:pPr>
              <w:rPr>
                <w:rFonts w:ascii="宋体"/>
              </w:rPr>
            </w:pPr>
          </w:p>
        </w:tc>
        <w:tc>
          <w:tcPr>
            <w:tcW w:w="5" w:type="pct"/>
            <w:shd w:val="clear" w:color="auto" w:fill="auto"/>
            <w:vAlign w:val="bottom"/>
          </w:tcPr>
          <w:p w14:paraId="22CFA70B" w14:textId="77777777" w:rsidR="002661BA" w:rsidRDefault="002661BA">
            <w:pPr>
              <w:rPr>
                <w:rFonts w:ascii="宋体"/>
              </w:rPr>
            </w:pPr>
          </w:p>
        </w:tc>
        <w:tc>
          <w:tcPr>
            <w:tcW w:w="19" w:type="pct"/>
            <w:shd w:val="clear" w:color="auto" w:fill="auto"/>
            <w:vAlign w:val="bottom"/>
          </w:tcPr>
          <w:p w14:paraId="22CFA70C" w14:textId="77777777" w:rsidR="002661BA" w:rsidRDefault="002661BA">
            <w:pPr>
              <w:rPr>
                <w:rFonts w:ascii="宋体"/>
              </w:rPr>
            </w:pPr>
          </w:p>
        </w:tc>
        <w:tc>
          <w:tcPr>
            <w:tcW w:w="5" w:type="pct"/>
            <w:shd w:val="clear" w:color="auto" w:fill="auto"/>
            <w:vAlign w:val="bottom"/>
          </w:tcPr>
          <w:p w14:paraId="22CFA70D" w14:textId="77777777" w:rsidR="002661BA" w:rsidRDefault="002661BA">
            <w:pPr>
              <w:rPr>
                <w:rFonts w:ascii="宋体"/>
              </w:rPr>
            </w:pPr>
          </w:p>
        </w:tc>
        <w:tc>
          <w:tcPr>
            <w:tcW w:w="50" w:type="pct"/>
            <w:shd w:val="clear" w:color="auto" w:fill="auto"/>
            <w:vAlign w:val="bottom"/>
          </w:tcPr>
          <w:p w14:paraId="22CFA70E" w14:textId="77777777" w:rsidR="002661BA" w:rsidRDefault="002661BA">
            <w:pPr>
              <w:rPr>
                <w:rFonts w:ascii="宋体"/>
              </w:rPr>
            </w:pPr>
          </w:p>
        </w:tc>
        <w:tc>
          <w:tcPr>
            <w:tcW w:w="463" w:type="pct"/>
            <w:shd w:val="clear" w:color="auto" w:fill="auto"/>
            <w:vAlign w:val="bottom"/>
          </w:tcPr>
          <w:p w14:paraId="22CFA70F" w14:textId="77777777" w:rsidR="002661BA" w:rsidRDefault="002661BA">
            <w:pPr>
              <w:rPr>
                <w:rFonts w:ascii="宋体"/>
              </w:rPr>
            </w:pPr>
          </w:p>
        </w:tc>
        <w:tc>
          <w:tcPr>
            <w:tcW w:w="5" w:type="pct"/>
            <w:shd w:val="clear" w:color="auto" w:fill="auto"/>
            <w:vAlign w:val="bottom"/>
          </w:tcPr>
          <w:p w14:paraId="22CFA710" w14:textId="77777777" w:rsidR="002661BA" w:rsidRDefault="002661BA">
            <w:pPr>
              <w:rPr>
                <w:rFonts w:ascii="宋体"/>
              </w:rPr>
            </w:pPr>
          </w:p>
        </w:tc>
        <w:tc>
          <w:tcPr>
            <w:tcW w:w="5" w:type="pct"/>
            <w:shd w:val="clear" w:color="auto" w:fill="auto"/>
            <w:vAlign w:val="bottom"/>
          </w:tcPr>
          <w:p w14:paraId="22CFA711" w14:textId="77777777" w:rsidR="002661BA" w:rsidRDefault="002661BA">
            <w:pPr>
              <w:rPr>
                <w:rFonts w:ascii="宋体"/>
              </w:rPr>
            </w:pPr>
          </w:p>
        </w:tc>
        <w:tc>
          <w:tcPr>
            <w:tcW w:w="19" w:type="pct"/>
            <w:shd w:val="clear" w:color="auto" w:fill="auto"/>
            <w:vAlign w:val="bottom"/>
          </w:tcPr>
          <w:p w14:paraId="22CFA712" w14:textId="77777777" w:rsidR="002661BA" w:rsidRDefault="002661BA">
            <w:pPr>
              <w:rPr>
                <w:rFonts w:ascii="宋体"/>
              </w:rPr>
            </w:pPr>
          </w:p>
        </w:tc>
        <w:tc>
          <w:tcPr>
            <w:tcW w:w="5" w:type="pct"/>
            <w:shd w:val="clear" w:color="auto" w:fill="auto"/>
            <w:vAlign w:val="bottom"/>
          </w:tcPr>
          <w:p w14:paraId="22CFA713" w14:textId="77777777" w:rsidR="002661BA" w:rsidRDefault="002661BA">
            <w:pPr>
              <w:rPr>
                <w:rFonts w:ascii="宋体"/>
              </w:rPr>
            </w:pPr>
          </w:p>
        </w:tc>
        <w:tc>
          <w:tcPr>
            <w:tcW w:w="50" w:type="pct"/>
            <w:shd w:val="clear" w:color="auto" w:fill="auto"/>
            <w:vAlign w:val="bottom"/>
          </w:tcPr>
          <w:p w14:paraId="22CFA714" w14:textId="77777777" w:rsidR="002661BA" w:rsidRDefault="002661BA">
            <w:pPr>
              <w:rPr>
                <w:rFonts w:ascii="宋体"/>
              </w:rPr>
            </w:pPr>
          </w:p>
        </w:tc>
        <w:tc>
          <w:tcPr>
            <w:tcW w:w="412" w:type="pct"/>
            <w:shd w:val="clear" w:color="auto" w:fill="auto"/>
            <w:vAlign w:val="bottom"/>
          </w:tcPr>
          <w:p w14:paraId="22CFA715" w14:textId="77777777" w:rsidR="002661BA" w:rsidRDefault="002661BA">
            <w:pPr>
              <w:rPr>
                <w:rFonts w:ascii="宋体"/>
              </w:rPr>
            </w:pPr>
          </w:p>
        </w:tc>
        <w:tc>
          <w:tcPr>
            <w:tcW w:w="5" w:type="pct"/>
            <w:shd w:val="clear" w:color="auto" w:fill="auto"/>
            <w:vAlign w:val="bottom"/>
          </w:tcPr>
          <w:p w14:paraId="22CFA716" w14:textId="77777777" w:rsidR="002661BA" w:rsidRDefault="002661BA">
            <w:pPr>
              <w:rPr>
                <w:rFonts w:ascii="宋体"/>
              </w:rPr>
            </w:pPr>
          </w:p>
        </w:tc>
        <w:tc>
          <w:tcPr>
            <w:tcW w:w="5" w:type="pct"/>
            <w:shd w:val="clear" w:color="auto" w:fill="auto"/>
            <w:vAlign w:val="bottom"/>
          </w:tcPr>
          <w:p w14:paraId="22CFA717" w14:textId="77777777" w:rsidR="002661BA" w:rsidRDefault="002661BA">
            <w:pPr>
              <w:rPr>
                <w:rFonts w:ascii="宋体"/>
              </w:rPr>
            </w:pPr>
          </w:p>
        </w:tc>
        <w:tc>
          <w:tcPr>
            <w:tcW w:w="19" w:type="pct"/>
            <w:shd w:val="clear" w:color="auto" w:fill="auto"/>
            <w:vAlign w:val="bottom"/>
          </w:tcPr>
          <w:p w14:paraId="22CFA718" w14:textId="77777777" w:rsidR="002661BA" w:rsidRDefault="002661BA">
            <w:pPr>
              <w:rPr>
                <w:rFonts w:ascii="宋体"/>
              </w:rPr>
            </w:pPr>
          </w:p>
        </w:tc>
        <w:tc>
          <w:tcPr>
            <w:tcW w:w="5" w:type="pct"/>
            <w:shd w:val="clear" w:color="auto" w:fill="auto"/>
            <w:vAlign w:val="bottom"/>
          </w:tcPr>
          <w:p w14:paraId="22CFA719" w14:textId="77777777" w:rsidR="002661BA" w:rsidRDefault="002661BA">
            <w:pPr>
              <w:rPr>
                <w:rFonts w:ascii="宋体"/>
              </w:rPr>
            </w:pPr>
          </w:p>
        </w:tc>
        <w:tc>
          <w:tcPr>
            <w:tcW w:w="50" w:type="pct"/>
            <w:shd w:val="clear" w:color="auto" w:fill="auto"/>
            <w:vAlign w:val="bottom"/>
          </w:tcPr>
          <w:p w14:paraId="22CFA71A" w14:textId="77777777" w:rsidR="002661BA" w:rsidRDefault="002661BA">
            <w:pPr>
              <w:rPr>
                <w:rFonts w:ascii="宋体"/>
              </w:rPr>
            </w:pPr>
          </w:p>
        </w:tc>
        <w:tc>
          <w:tcPr>
            <w:tcW w:w="420" w:type="pct"/>
            <w:shd w:val="clear" w:color="auto" w:fill="auto"/>
            <w:vAlign w:val="bottom"/>
          </w:tcPr>
          <w:p w14:paraId="22CFA71B" w14:textId="77777777" w:rsidR="002661BA" w:rsidRDefault="002661BA">
            <w:pPr>
              <w:rPr>
                <w:rFonts w:ascii="宋体"/>
              </w:rPr>
            </w:pPr>
          </w:p>
        </w:tc>
        <w:tc>
          <w:tcPr>
            <w:tcW w:w="5" w:type="pct"/>
            <w:shd w:val="clear" w:color="auto" w:fill="auto"/>
            <w:vAlign w:val="bottom"/>
          </w:tcPr>
          <w:p w14:paraId="22CFA71C" w14:textId="77777777" w:rsidR="002661BA" w:rsidRDefault="002661BA">
            <w:pPr>
              <w:rPr>
                <w:rFonts w:ascii="宋体"/>
              </w:rPr>
            </w:pPr>
          </w:p>
        </w:tc>
        <w:tc>
          <w:tcPr>
            <w:tcW w:w="5" w:type="pct"/>
            <w:shd w:val="clear" w:color="auto" w:fill="auto"/>
            <w:vAlign w:val="bottom"/>
          </w:tcPr>
          <w:p w14:paraId="22CFA71D" w14:textId="77777777" w:rsidR="002661BA" w:rsidRDefault="002661BA">
            <w:pPr>
              <w:rPr>
                <w:rFonts w:ascii="宋体"/>
              </w:rPr>
            </w:pPr>
          </w:p>
        </w:tc>
        <w:tc>
          <w:tcPr>
            <w:tcW w:w="19" w:type="pct"/>
            <w:shd w:val="clear" w:color="auto" w:fill="auto"/>
            <w:vAlign w:val="bottom"/>
          </w:tcPr>
          <w:p w14:paraId="22CFA71E" w14:textId="77777777" w:rsidR="002661BA" w:rsidRDefault="002661BA">
            <w:pPr>
              <w:rPr>
                <w:rFonts w:ascii="宋体"/>
              </w:rPr>
            </w:pPr>
          </w:p>
        </w:tc>
        <w:tc>
          <w:tcPr>
            <w:tcW w:w="5" w:type="pct"/>
            <w:shd w:val="clear" w:color="auto" w:fill="auto"/>
            <w:vAlign w:val="bottom"/>
          </w:tcPr>
          <w:p w14:paraId="22CFA71F" w14:textId="77777777" w:rsidR="002661BA" w:rsidRDefault="002661BA">
            <w:pPr>
              <w:rPr>
                <w:rFonts w:ascii="宋体"/>
              </w:rPr>
            </w:pPr>
          </w:p>
        </w:tc>
        <w:tc>
          <w:tcPr>
            <w:tcW w:w="50" w:type="pct"/>
            <w:shd w:val="clear" w:color="auto" w:fill="auto"/>
            <w:vAlign w:val="bottom"/>
          </w:tcPr>
          <w:p w14:paraId="22CFA720" w14:textId="77777777" w:rsidR="002661BA" w:rsidRDefault="002661BA">
            <w:pPr>
              <w:rPr>
                <w:rFonts w:ascii="宋体"/>
              </w:rPr>
            </w:pPr>
          </w:p>
        </w:tc>
        <w:tc>
          <w:tcPr>
            <w:tcW w:w="471" w:type="pct"/>
            <w:shd w:val="clear" w:color="auto" w:fill="auto"/>
            <w:vAlign w:val="bottom"/>
          </w:tcPr>
          <w:p w14:paraId="22CFA721" w14:textId="77777777" w:rsidR="002661BA" w:rsidRDefault="002661BA">
            <w:pPr>
              <w:rPr>
                <w:rFonts w:ascii="宋体"/>
              </w:rPr>
            </w:pPr>
          </w:p>
        </w:tc>
        <w:tc>
          <w:tcPr>
            <w:tcW w:w="5" w:type="pct"/>
            <w:shd w:val="clear" w:color="auto" w:fill="auto"/>
            <w:vAlign w:val="bottom"/>
          </w:tcPr>
          <w:p w14:paraId="22CFA722" w14:textId="77777777" w:rsidR="002661BA" w:rsidRDefault="002661BA">
            <w:pPr>
              <w:rPr>
                <w:rFonts w:ascii="宋体"/>
              </w:rPr>
            </w:pPr>
          </w:p>
        </w:tc>
        <w:tc>
          <w:tcPr>
            <w:tcW w:w="5" w:type="pct"/>
            <w:shd w:val="clear" w:color="auto" w:fill="auto"/>
            <w:vAlign w:val="bottom"/>
          </w:tcPr>
          <w:p w14:paraId="22CFA723" w14:textId="77777777" w:rsidR="002661BA" w:rsidRDefault="002661BA">
            <w:pPr>
              <w:rPr>
                <w:rFonts w:ascii="宋体"/>
              </w:rPr>
            </w:pPr>
          </w:p>
        </w:tc>
        <w:tc>
          <w:tcPr>
            <w:tcW w:w="19" w:type="pct"/>
            <w:shd w:val="clear" w:color="auto" w:fill="auto"/>
            <w:vAlign w:val="bottom"/>
          </w:tcPr>
          <w:p w14:paraId="22CFA724" w14:textId="77777777" w:rsidR="002661BA" w:rsidRDefault="002661BA">
            <w:pPr>
              <w:rPr>
                <w:rFonts w:ascii="宋体"/>
              </w:rPr>
            </w:pPr>
          </w:p>
        </w:tc>
        <w:tc>
          <w:tcPr>
            <w:tcW w:w="5" w:type="pct"/>
            <w:shd w:val="clear" w:color="auto" w:fill="auto"/>
            <w:vAlign w:val="bottom"/>
          </w:tcPr>
          <w:p w14:paraId="22CFA725" w14:textId="77777777" w:rsidR="002661BA" w:rsidRDefault="002661BA">
            <w:pPr>
              <w:rPr>
                <w:rFonts w:ascii="宋体"/>
              </w:rPr>
            </w:pPr>
          </w:p>
        </w:tc>
        <w:tc>
          <w:tcPr>
            <w:tcW w:w="50" w:type="pct"/>
            <w:shd w:val="clear" w:color="auto" w:fill="auto"/>
            <w:vAlign w:val="bottom"/>
          </w:tcPr>
          <w:p w14:paraId="22CFA726" w14:textId="77777777" w:rsidR="002661BA" w:rsidRDefault="002661BA">
            <w:pPr>
              <w:rPr>
                <w:rFonts w:ascii="宋体"/>
              </w:rPr>
            </w:pPr>
          </w:p>
        </w:tc>
        <w:tc>
          <w:tcPr>
            <w:tcW w:w="463" w:type="pct"/>
            <w:shd w:val="clear" w:color="auto" w:fill="auto"/>
            <w:vAlign w:val="bottom"/>
          </w:tcPr>
          <w:p w14:paraId="22CFA727" w14:textId="77777777" w:rsidR="002661BA" w:rsidRDefault="002661BA">
            <w:pPr>
              <w:rPr>
                <w:rFonts w:ascii="宋体"/>
              </w:rPr>
            </w:pPr>
          </w:p>
        </w:tc>
        <w:tc>
          <w:tcPr>
            <w:tcW w:w="5" w:type="pct"/>
            <w:shd w:val="clear" w:color="auto" w:fill="auto"/>
            <w:vAlign w:val="bottom"/>
          </w:tcPr>
          <w:p w14:paraId="22CFA728" w14:textId="77777777" w:rsidR="002661BA" w:rsidRDefault="002661BA">
            <w:pPr>
              <w:rPr>
                <w:rFonts w:ascii="宋体"/>
              </w:rPr>
            </w:pPr>
          </w:p>
        </w:tc>
        <w:tc>
          <w:tcPr>
            <w:tcW w:w="5" w:type="pct"/>
            <w:shd w:val="clear" w:color="auto" w:fill="auto"/>
            <w:vAlign w:val="bottom"/>
          </w:tcPr>
          <w:p w14:paraId="22CFA729" w14:textId="77777777" w:rsidR="002661BA" w:rsidRDefault="002661BA">
            <w:pPr>
              <w:rPr>
                <w:rFonts w:ascii="宋体"/>
              </w:rPr>
            </w:pPr>
          </w:p>
        </w:tc>
        <w:tc>
          <w:tcPr>
            <w:tcW w:w="19" w:type="pct"/>
            <w:shd w:val="clear" w:color="auto" w:fill="auto"/>
            <w:vAlign w:val="bottom"/>
          </w:tcPr>
          <w:p w14:paraId="22CFA72A" w14:textId="77777777" w:rsidR="002661BA" w:rsidRDefault="002661BA">
            <w:pPr>
              <w:rPr>
                <w:rFonts w:ascii="宋体"/>
              </w:rPr>
            </w:pPr>
          </w:p>
        </w:tc>
        <w:tc>
          <w:tcPr>
            <w:tcW w:w="5" w:type="pct"/>
            <w:shd w:val="clear" w:color="auto" w:fill="auto"/>
            <w:vAlign w:val="bottom"/>
          </w:tcPr>
          <w:p w14:paraId="22CFA72B" w14:textId="77777777" w:rsidR="002661BA" w:rsidRDefault="002661BA">
            <w:pPr>
              <w:rPr>
                <w:rFonts w:ascii="宋体"/>
              </w:rPr>
            </w:pPr>
          </w:p>
        </w:tc>
        <w:tc>
          <w:tcPr>
            <w:tcW w:w="50" w:type="pct"/>
            <w:shd w:val="clear" w:color="auto" w:fill="auto"/>
            <w:vAlign w:val="bottom"/>
          </w:tcPr>
          <w:p w14:paraId="22CFA72C" w14:textId="77777777" w:rsidR="002661BA" w:rsidRDefault="002661BA">
            <w:pPr>
              <w:rPr>
                <w:rFonts w:ascii="宋体"/>
              </w:rPr>
            </w:pPr>
          </w:p>
        </w:tc>
        <w:tc>
          <w:tcPr>
            <w:tcW w:w="412" w:type="pct"/>
            <w:shd w:val="clear" w:color="auto" w:fill="auto"/>
            <w:vAlign w:val="bottom"/>
          </w:tcPr>
          <w:p w14:paraId="22CFA72D" w14:textId="77777777" w:rsidR="002661BA" w:rsidRDefault="002661BA">
            <w:pPr>
              <w:rPr>
                <w:rFonts w:ascii="宋体"/>
              </w:rPr>
            </w:pPr>
          </w:p>
        </w:tc>
        <w:tc>
          <w:tcPr>
            <w:tcW w:w="5" w:type="pct"/>
            <w:shd w:val="clear" w:color="auto" w:fill="auto"/>
            <w:vAlign w:val="bottom"/>
          </w:tcPr>
          <w:p w14:paraId="22CFA72E" w14:textId="77777777" w:rsidR="002661BA" w:rsidRDefault="002661BA">
            <w:pPr>
              <w:rPr>
                <w:rFonts w:ascii="宋体"/>
              </w:rPr>
            </w:pPr>
          </w:p>
        </w:tc>
        <w:tc>
          <w:tcPr>
            <w:tcW w:w="5" w:type="pct"/>
            <w:shd w:val="clear" w:color="auto" w:fill="auto"/>
            <w:vAlign w:val="bottom"/>
          </w:tcPr>
          <w:p w14:paraId="22CFA72F" w14:textId="77777777" w:rsidR="002661BA" w:rsidRDefault="002661BA">
            <w:pPr>
              <w:rPr>
                <w:rFonts w:ascii="宋体"/>
              </w:rPr>
            </w:pPr>
          </w:p>
        </w:tc>
        <w:tc>
          <w:tcPr>
            <w:tcW w:w="19" w:type="pct"/>
            <w:shd w:val="clear" w:color="auto" w:fill="auto"/>
            <w:vAlign w:val="bottom"/>
          </w:tcPr>
          <w:p w14:paraId="22CFA730" w14:textId="77777777" w:rsidR="002661BA" w:rsidRDefault="002661BA">
            <w:pPr>
              <w:rPr>
                <w:rFonts w:ascii="宋体"/>
              </w:rPr>
            </w:pPr>
          </w:p>
        </w:tc>
        <w:tc>
          <w:tcPr>
            <w:tcW w:w="5" w:type="pct"/>
            <w:shd w:val="clear" w:color="auto" w:fill="auto"/>
            <w:vAlign w:val="bottom"/>
          </w:tcPr>
          <w:p w14:paraId="22CFA731" w14:textId="77777777" w:rsidR="002661BA" w:rsidRDefault="002661BA">
            <w:pPr>
              <w:rPr>
                <w:rFonts w:ascii="宋体"/>
              </w:rPr>
            </w:pPr>
          </w:p>
        </w:tc>
        <w:tc>
          <w:tcPr>
            <w:tcW w:w="50" w:type="pct"/>
            <w:shd w:val="clear" w:color="auto" w:fill="auto"/>
            <w:vAlign w:val="bottom"/>
          </w:tcPr>
          <w:p w14:paraId="22CFA732" w14:textId="77777777" w:rsidR="002661BA" w:rsidRDefault="002661BA">
            <w:pPr>
              <w:rPr>
                <w:rFonts w:ascii="宋体"/>
              </w:rPr>
            </w:pPr>
          </w:p>
        </w:tc>
        <w:tc>
          <w:tcPr>
            <w:tcW w:w="420" w:type="pct"/>
            <w:shd w:val="clear" w:color="auto" w:fill="auto"/>
            <w:vAlign w:val="bottom"/>
          </w:tcPr>
          <w:p w14:paraId="22CFA733" w14:textId="77777777" w:rsidR="002661BA" w:rsidRDefault="002661BA">
            <w:pPr>
              <w:rPr>
                <w:rFonts w:ascii="宋体"/>
              </w:rPr>
            </w:pPr>
          </w:p>
        </w:tc>
        <w:tc>
          <w:tcPr>
            <w:tcW w:w="5" w:type="pct"/>
            <w:shd w:val="clear" w:color="auto" w:fill="auto"/>
            <w:vAlign w:val="bottom"/>
          </w:tcPr>
          <w:p w14:paraId="22CFA734" w14:textId="77777777" w:rsidR="002661BA" w:rsidRDefault="002661BA">
            <w:pPr>
              <w:rPr>
                <w:rFonts w:ascii="宋体"/>
              </w:rPr>
            </w:pPr>
          </w:p>
        </w:tc>
      </w:tr>
      <w:tr w:rsidR="002661BA" w14:paraId="22CFA73E" w14:textId="77777777">
        <w:trPr>
          <w:jc w:val="center"/>
        </w:trPr>
        <w:tc>
          <w:tcPr>
            <w:tcW w:w="0" w:type="auto"/>
            <w:gridSpan w:val="3"/>
            <w:shd w:val="clear" w:color="auto" w:fill="auto"/>
            <w:tcMar>
              <w:top w:w="0" w:type="dxa"/>
              <w:left w:w="20" w:type="dxa"/>
              <w:bottom w:w="0" w:type="dxa"/>
              <w:right w:w="20" w:type="dxa"/>
            </w:tcMar>
            <w:vAlign w:val="bottom"/>
          </w:tcPr>
          <w:p w14:paraId="22CFA736"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A737" w14:textId="77777777" w:rsidR="002661BA" w:rsidRDefault="00D972BC">
            <w:pPr>
              <w:jc w:val="center"/>
              <w:textAlignment w:val="bottom"/>
            </w:pPr>
            <w:r>
              <w:rPr>
                <w:rFonts w:ascii="Arial" w:eastAsia="宋体" w:hAnsi="Arial" w:cs="Arial"/>
                <w:b/>
                <w:bCs/>
                <w:color w:val="000000"/>
                <w:sz w:val="17"/>
                <w:szCs w:val="17"/>
              </w:rPr>
              <w:t>Year Ended December 31,</w:t>
            </w:r>
          </w:p>
        </w:tc>
        <w:tc>
          <w:tcPr>
            <w:tcW w:w="0" w:type="auto"/>
            <w:gridSpan w:val="3"/>
            <w:shd w:val="clear" w:color="auto" w:fill="auto"/>
            <w:tcMar>
              <w:top w:w="0" w:type="dxa"/>
              <w:left w:w="20" w:type="dxa"/>
              <w:bottom w:w="0" w:type="dxa"/>
              <w:right w:w="20" w:type="dxa"/>
            </w:tcMar>
            <w:vAlign w:val="bottom"/>
          </w:tcPr>
          <w:p w14:paraId="22CFA738"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A739" w14:textId="77777777" w:rsidR="002661BA" w:rsidRDefault="00D972BC">
            <w:pPr>
              <w:jc w:val="center"/>
              <w:textAlignment w:val="bottom"/>
            </w:pPr>
            <w:r>
              <w:rPr>
                <w:rFonts w:ascii="Arial" w:eastAsia="宋体" w:hAnsi="Arial" w:cs="Arial"/>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22CFA73A"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A73B" w14:textId="77777777" w:rsidR="002661BA" w:rsidRDefault="00D972BC">
            <w:pPr>
              <w:jc w:val="center"/>
              <w:textAlignment w:val="bottom"/>
            </w:pPr>
            <w:r>
              <w:rPr>
                <w:rFonts w:ascii="Arial" w:eastAsia="宋体" w:hAnsi="Arial" w:cs="Arial"/>
                <w:b/>
                <w:bCs/>
                <w:color w:val="000000"/>
                <w:sz w:val="17"/>
                <w:szCs w:val="17"/>
              </w:rPr>
              <w:t>Year Ended December 31,</w:t>
            </w:r>
          </w:p>
        </w:tc>
        <w:tc>
          <w:tcPr>
            <w:tcW w:w="0" w:type="auto"/>
            <w:gridSpan w:val="3"/>
            <w:shd w:val="clear" w:color="auto" w:fill="auto"/>
            <w:tcMar>
              <w:top w:w="0" w:type="dxa"/>
              <w:left w:w="20" w:type="dxa"/>
              <w:bottom w:w="0" w:type="dxa"/>
              <w:right w:w="20" w:type="dxa"/>
            </w:tcMar>
            <w:vAlign w:val="bottom"/>
          </w:tcPr>
          <w:p w14:paraId="22CFA73C"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A73D" w14:textId="77777777" w:rsidR="002661BA" w:rsidRDefault="00D972BC">
            <w:pPr>
              <w:jc w:val="center"/>
              <w:textAlignment w:val="bottom"/>
            </w:pPr>
            <w:r>
              <w:rPr>
                <w:rFonts w:ascii="Arial" w:eastAsia="宋体" w:hAnsi="Arial" w:cs="Arial"/>
                <w:b/>
                <w:bCs/>
                <w:color w:val="000000"/>
                <w:sz w:val="17"/>
                <w:szCs w:val="17"/>
              </w:rPr>
              <w:t>% Change</w:t>
            </w:r>
          </w:p>
        </w:tc>
      </w:tr>
      <w:tr w:rsidR="002661BA" w14:paraId="22CFA74F" w14:textId="77777777">
        <w:trPr>
          <w:jc w:val="center"/>
        </w:trPr>
        <w:tc>
          <w:tcPr>
            <w:tcW w:w="0" w:type="auto"/>
            <w:gridSpan w:val="3"/>
            <w:shd w:val="clear" w:color="auto" w:fill="auto"/>
            <w:tcMar>
              <w:top w:w="40" w:type="dxa"/>
              <w:left w:w="20" w:type="dxa"/>
              <w:bottom w:w="40" w:type="dxa"/>
              <w:right w:w="20" w:type="dxa"/>
            </w:tcMar>
            <w:vAlign w:val="center"/>
          </w:tcPr>
          <w:p w14:paraId="22CFA73F" w14:textId="77777777" w:rsidR="002661BA" w:rsidRDefault="00D972BC">
            <w:pPr>
              <w:textAlignment w:val="center"/>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740"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741"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742"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22CFA743"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744" w14:textId="77777777" w:rsidR="002661BA" w:rsidRDefault="00D972BC">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745"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746" w14:textId="77777777" w:rsidR="002661BA" w:rsidRDefault="00D972BC">
            <w:pPr>
              <w:jc w:val="center"/>
              <w:textAlignment w:val="bottom"/>
            </w:pPr>
            <w:r>
              <w:rPr>
                <w:rFonts w:ascii="Arial" w:eastAsia="宋体" w:hAnsi="Arial" w:cs="Arial"/>
                <w:b/>
                <w:bCs/>
                <w:color w:val="000000"/>
                <w:sz w:val="17"/>
                <w:szCs w:val="17"/>
              </w:rPr>
              <w:t>FX-Neutral</w:t>
            </w:r>
          </w:p>
        </w:tc>
        <w:tc>
          <w:tcPr>
            <w:tcW w:w="0" w:type="auto"/>
            <w:gridSpan w:val="3"/>
            <w:shd w:val="clear" w:color="auto" w:fill="auto"/>
            <w:tcMar>
              <w:top w:w="0" w:type="dxa"/>
              <w:left w:w="20" w:type="dxa"/>
              <w:bottom w:w="0" w:type="dxa"/>
              <w:right w:w="20" w:type="dxa"/>
            </w:tcMar>
            <w:vAlign w:val="bottom"/>
          </w:tcPr>
          <w:p w14:paraId="22CFA747"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748"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749"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74A" w14:textId="77777777" w:rsidR="002661BA" w:rsidRDefault="00D972BC">
            <w:pPr>
              <w:jc w:val="center"/>
              <w:textAlignment w:val="bottom"/>
            </w:pPr>
            <w:r>
              <w:rPr>
                <w:rFonts w:ascii="Arial" w:eastAsia="宋体" w:hAnsi="Arial" w:cs="Arial"/>
                <w:b/>
                <w:bCs/>
                <w:color w:val="000000"/>
                <w:sz w:val="17"/>
                <w:szCs w:val="17"/>
              </w:rPr>
              <w:t>2019</w:t>
            </w:r>
          </w:p>
        </w:tc>
        <w:tc>
          <w:tcPr>
            <w:tcW w:w="0" w:type="auto"/>
            <w:gridSpan w:val="3"/>
            <w:shd w:val="clear" w:color="auto" w:fill="auto"/>
            <w:tcMar>
              <w:top w:w="0" w:type="dxa"/>
              <w:left w:w="20" w:type="dxa"/>
              <w:bottom w:w="0" w:type="dxa"/>
              <w:right w:w="20" w:type="dxa"/>
            </w:tcMar>
            <w:vAlign w:val="bottom"/>
          </w:tcPr>
          <w:p w14:paraId="22CFA74B"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74C" w14:textId="77777777" w:rsidR="002661BA" w:rsidRDefault="00D972BC">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74D"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74E" w14:textId="77777777" w:rsidR="002661BA" w:rsidRDefault="00D972BC">
            <w:pPr>
              <w:jc w:val="center"/>
              <w:textAlignment w:val="bottom"/>
            </w:pPr>
            <w:r>
              <w:rPr>
                <w:rFonts w:ascii="Arial" w:eastAsia="宋体" w:hAnsi="Arial" w:cs="Arial"/>
                <w:b/>
                <w:bCs/>
                <w:color w:val="000000"/>
                <w:sz w:val="17"/>
                <w:szCs w:val="17"/>
              </w:rPr>
              <w:t>FX-Neutral</w:t>
            </w:r>
          </w:p>
        </w:tc>
      </w:tr>
      <w:tr w:rsidR="002661BA" w14:paraId="22CFA760" w14:textId="77777777">
        <w:trPr>
          <w:jc w:val="center"/>
          <w:hidden/>
        </w:trPr>
        <w:tc>
          <w:tcPr>
            <w:tcW w:w="0" w:type="auto"/>
            <w:gridSpan w:val="3"/>
            <w:shd w:val="clear" w:color="auto" w:fill="auto"/>
            <w:vAlign w:val="bottom"/>
          </w:tcPr>
          <w:p w14:paraId="22CFA750" w14:textId="77777777" w:rsidR="002661BA" w:rsidRDefault="002661BA">
            <w:pPr>
              <w:rPr>
                <w:rFonts w:ascii="宋体"/>
                <w:vanish/>
              </w:rPr>
            </w:pPr>
          </w:p>
        </w:tc>
        <w:tc>
          <w:tcPr>
            <w:tcW w:w="0" w:type="auto"/>
            <w:gridSpan w:val="3"/>
            <w:shd w:val="clear" w:color="auto" w:fill="auto"/>
            <w:vAlign w:val="bottom"/>
          </w:tcPr>
          <w:p w14:paraId="22CFA751" w14:textId="77777777" w:rsidR="002661BA" w:rsidRDefault="002661BA">
            <w:pPr>
              <w:rPr>
                <w:rFonts w:ascii="宋体"/>
                <w:vanish/>
              </w:rPr>
            </w:pPr>
          </w:p>
        </w:tc>
        <w:tc>
          <w:tcPr>
            <w:tcW w:w="0" w:type="auto"/>
            <w:gridSpan w:val="3"/>
            <w:shd w:val="clear" w:color="auto" w:fill="auto"/>
            <w:vAlign w:val="bottom"/>
          </w:tcPr>
          <w:p w14:paraId="22CFA752" w14:textId="77777777" w:rsidR="002661BA" w:rsidRDefault="002661BA">
            <w:pPr>
              <w:rPr>
                <w:rFonts w:ascii="宋体"/>
                <w:vanish/>
              </w:rPr>
            </w:pPr>
          </w:p>
        </w:tc>
        <w:tc>
          <w:tcPr>
            <w:tcW w:w="0" w:type="auto"/>
            <w:gridSpan w:val="3"/>
            <w:shd w:val="clear" w:color="auto" w:fill="auto"/>
            <w:vAlign w:val="bottom"/>
          </w:tcPr>
          <w:p w14:paraId="22CFA753" w14:textId="77777777" w:rsidR="002661BA" w:rsidRDefault="002661BA">
            <w:pPr>
              <w:rPr>
                <w:rFonts w:ascii="宋体"/>
                <w:vanish/>
              </w:rPr>
            </w:pPr>
          </w:p>
        </w:tc>
        <w:tc>
          <w:tcPr>
            <w:tcW w:w="0" w:type="auto"/>
            <w:gridSpan w:val="3"/>
            <w:shd w:val="clear" w:color="auto" w:fill="auto"/>
            <w:vAlign w:val="bottom"/>
          </w:tcPr>
          <w:p w14:paraId="22CFA754" w14:textId="77777777" w:rsidR="002661BA" w:rsidRDefault="002661BA">
            <w:pPr>
              <w:rPr>
                <w:rFonts w:ascii="宋体"/>
                <w:vanish/>
              </w:rPr>
            </w:pPr>
          </w:p>
        </w:tc>
        <w:tc>
          <w:tcPr>
            <w:tcW w:w="0" w:type="auto"/>
            <w:gridSpan w:val="3"/>
            <w:shd w:val="clear" w:color="auto" w:fill="auto"/>
            <w:vAlign w:val="bottom"/>
          </w:tcPr>
          <w:p w14:paraId="22CFA755" w14:textId="77777777" w:rsidR="002661BA" w:rsidRDefault="002661BA">
            <w:pPr>
              <w:rPr>
                <w:rFonts w:ascii="宋体"/>
                <w:vanish/>
              </w:rPr>
            </w:pPr>
          </w:p>
        </w:tc>
        <w:tc>
          <w:tcPr>
            <w:tcW w:w="0" w:type="auto"/>
            <w:gridSpan w:val="3"/>
            <w:shd w:val="clear" w:color="auto" w:fill="auto"/>
            <w:vAlign w:val="bottom"/>
          </w:tcPr>
          <w:p w14:paraId="22CFA756" w14:textId="77777777" w:rsidR="002661BA" w:rsidRDefault="002661BA">
            <w:pPr>
              <w:rPr>
                <w:rFonts w:ascii="宋体"/>
                <w:vanish/>
              </w:rPr>
            </w:pPr>
          </w:p>
        </w:tc>
        <w:tc>
          <w:tcPr>
            <w:tcW w:w="0" w:type="auto"/>
            <w:gridSpan w:val="3"/>
            <w:shd w:val="clear" w:color="auto" w:fill="auto"/>
            <w:vAlign w:val="bottom"/>
          </w:tcPr>
          <w:p w14:paraId="22CFA757" w14:textId="77777777" w:rsidR="002661BA" w:rsidRDefault="002661BA">
            <w:pPr>
              <w:rPr>
                <w:rFonts w:ascii="宋体"/>
                <w:vanish/>
              </w:rPr>
            </w:pPr>
          </w:p>
        </w:tc>
        <w:tc>
          <w:tcPr>
            <w:tcW w:w="0" w:type="auto"/>
            <w:gridSpan w:val="3"/>
            <w:shd w:val="clear" w:color="auto" w:fill="auto"/>
            <w:vAlign w:val="bottom"/>
          </w:tcPr>
          <w:p w14:paraId="22CFA758" w14:textId="77777777" w:rsidR="002661BA" w:rsidRDefault="002661BA">
            <w:pPr>
              <w:rPr>
                <w:rFonts w:ascii="宋体"/>
                <w:vanish/>
              </w:rPr>
            </w:pPr>
          </w:p>
        </w:tc>
        <w:tc>
          <w:tcPr>
            <w:tcW w:w="0" w:type="auto"/>
            <w:gridSpan w:val="3"/>
            <w:shd w:val="clear" w:color="auto" w:fill="auto"/>
            <w:vAlign w:val="bottom"/>
          </w:tcPr>
          <w:p w14:paraId="22CFA759" w14:textId="77777777" w:rsidR="002661BA" w:rsidRDefault="002661BA">
            <w:pPr>
              <w:rPr>
                <w:rFonts w:ascii="宋体"/>
                <w:vanish/>
              </w:rPr>
            </w:pPr>
          </w:p>
        </w:tc>
        <w:tc>
          <w:tcPr>
            <w:tcW w:w="0" w:type="auto"/>
            <w:gridSpan w:val="3"/>
            <w:shd w:val="clear" w:color="auto" w:fill="auto"/>
            <w:vAlign w:val="bottom"/>
          </w:tcPr>
          <w:p w14:paraId="22CFA75A" w14:textId="77777777" w:rsidR="002661BA" w:rsidRDefault="002661BA">
            <w:pPr>
              <w:rPr>
                <w:rFonts w:ascii="宋体"/>
                <w:vanish/>
              </w:rPr>
            </w:pPr>
          </w:p>
        </w:tc>
        <w:tc>
          <w:tcPr>
            <w:tcW w:w="0" w:type="auto"/>
            <w:gridSpan w:val="3"/>
            <w:shd w:val="clear" w:color="auto" w:fill="auto"/>
            <w:vAlign w:val="bottom"/>
          </w:tcPr>
          <w:p w14:paraId="22CFA75B" w14:textId="77777777" w:rsidR="002661BA" w:rsidRDefault="002661BA">
            <w:pPr>
              <w:rPr>
                <w:rFonts w:ascii="宋体"/>
                <w:vanish/>
              </w:rPr>
            </w:pPr>
          </w:p>
        </w:tc>
        <w:tc>
          <w:tcPr>
            <w:tcW w:w="0" w:type="auto"/>
            <w:gridSpan w:val="3"/>
            <w:shd w:val="clear" w:color="auto" w:fill="auto"/>
            <w:vAlign w:val="bottom"/>
          </w:tcPr>
          <w:p w14:paraId="22CFA75C" w14:textId="77777777" w:rsidR="002661BA" w:rsidRDefault="002661BA">
            <w:pPr>
              <w:rPr>
                <w:rFonts w:ascii="宋体"/>
                <w:vanish/>
              </w:rPr>
            </w:pPr>
          </w:p>
        </w:tc>
        <w:tc>
          <w:tcPr>
            <w:tcW w:w="0" w:type="auto"/>
            <w:gridSpan w:val="3"/>
            <w:shd w:val="clear" w:color="auto" w:fill="auto"/>
            <w:vAlign w:val="bottom"/>
          </w:tcPr>
          <w:p w14:paraId="22CFA75D" w14:textId="77777777" w:rsidR="002661BA" w:rsidRDefault="002661BA">
            <w:pPr>
              <w:rPr>
                <w:rFonts w:ascii="宋体"/>
                <w:vanish/>
              </w:rPr>
            </w:pPr>
          </w:p>
        </w:tc>
        <w:tc>
          <w:tcPr>
            <w:tcW w:w="0" w:type="auto"/>
            <w:gridSpan w:val="3"/>
            <w:shd w:val="clear" w:color="auto" w:fill="auto"/>
            <w:vAlign w:val="bottom"/>
          </w:tcPr>
          <w:p w14:paraId="22CFA75E" w14:textId="77777777" w:rsidR="002661BA" w:rsidRDefault="002661BA">
            <w:pPr>
              <w:rPr>
                <w:rFonts w:ascii="宋体"/>
                <w:vanish/>
              </w:rPr>
            </w:pPr>
          </w:p>
        </w:tc>
        <w:tc>
          <w:tcPr>
            <w:tcW w:w="0" w:type="auto"/>
            <w:gridSpan w:val="3"/>
            <w:shd w:val="clear" w:color="auto" w:fill="auto"/>
            <w:vAlign w:val="bottom"/>
          </w:tcPr>
          <w:p w14:paraId="22CFA75F" w14:textId="77777777" w:rsidR="002661BA" w:rsidRDefault="002661BA">
            <w:pPr>
              <w:rPr>
                <w:rFonts w:ascii="宋体"/>
                <w:vanish/>
              </w:rPr>
            </w:pPr>
          </w:p>
        </w:tc>
      </w:tr>
      <w:tr w:rsidR="002661BA" w14:paraId="22CFA771" w14:textId="77777777">
        <w:trPr>
          <w:jc w:val="center"/>
          <w:hidden/>
        </w:trPr>
        <w:tc>
          <w:tcPr>
            <w:tcW w:w="0" w:type="auto"/>
            <w:gridSpan w:val="3"/>
            <w:shd w:val="clear" w:color="auto" w:fill="auto"/>
            <w:vAlign w:val="bottom"/>
          </w:tcPr>
          <w:p w14:paraId="22CFA761" w14:textId="77777777" w:rsidR="002661BA" w:rsidRDefault="002661BA">
            <w:pPr>
              <w:rPr>
                <w:rFonts w:ascii="宋体"/>
                <w:vanish/>
              </w:rPr>
            </w:pPr>
          </w:p>
        </w:tc>
        <w:tc>
          <w:tcPr>
            <w:tcW w:w="0" w:type="auto"/>
            <w:gridSpan w:val="3"/>
            <w:shd w:val="clear" w:color="auto" w:fill="auto"/>
            <w:vAlign w:val="bottom"/>
          </w:tcPr>
          <w:p w14:paraId="22CFA762" w14:textId="77777777" w:rsidR="002661BA" w:rsidRDefault="002661BA">
            <w:pPr>
              <w:rPr>
                <w:rFonts w:ascii="宋体"/>
                <w:vanish/>
              </w:rPr>
            </w:pPr>
          </w:p>
        </w:tc>
        <w:tc>
          <w:tcPr>
            <w:tcW w:w="0" w:type="auto"/>
            <w:gridSpan w:val="3"/>
            <w:shd w:val="clear" w:color="auto" w:fill="auto"/>
            <w:vAlign w:val="bottom"/>
          </w:tcPr>
          <w:p w14:paraId="22CFA763" w14:textId="77777777" w:rsidR="002661BA" w:rsidRDefault="002661BA">
            <w:pPr>
              <w:rPr>
                <w:rFonts w:ascii="宋体"/>
                <w:vanish/>
              </w:rPr>
            </w:pPr>
          </w:p>
        </w:tc>
        <w:tc>
          <w:tcPr>
            <w:tcW w:w="0" w:type="auto"/>
            <w:gridSpan w:val="3"/>
            <w:shd w:val="clear" w:color="auto" w:fill="auto"/>
            <w:vAlign w:val="bottom"/>
          </w:tcPr>
          <w:p w14:paraId="22CFA764" w14:textId="77777777" w:rsidR="002661BA" w:rsidRDefault="002661BA">
            <w:pPr>
              <w:rPr>
                <w:rFonts w:ascii="宋体"/>
                <w:vanish/>
              </w:rPr>
            </w:pPr>
          </w:p>
        </w:tc>
        <w:tc>
          <w:tcPr>
            <w:tcW w:w="0" w:type="auto"/>
            <w:gridSpan w:val="3"/>
            <w:shd w:val="clear" w:color="auto" w:fill="auto"/>
            <w:vAlign w:val="bottom"/>
          </w:tcPr>
          <w:p w14:paraId="22CFA765" w14:textId="77777777" w:rsidR="002661BA" w:rsidRDefault="002661BA">
            <w:pPr>
              <w:rPr>
                <w:rFonts w:ascii="宋体"/>
                <w:vanish/>
              </w:rPr>
            </w:pPr>
          </w:p>
        </w:tc>
        <w:tc>
          <w:tcPr>
            <w:tcW w:w="0" w:type="auto"/>
            <w:gridSpan w:val="3"/>
            <w:shd w:val="clear" w:color="auto" w:fill="auto"/>
            <w:vAlign w:val="bottom"/>
          </w:tcPr>
          <w:p w14:paraId="22CFA766" w14:textId="77777777" w:rsidR="002661BA" w:rsidRDefault="002661BA">
            <w:pPr>
              <w:rPr>
                <w:rFonts w:ascii="宋体"/>
                <w:vanish/>
              </w:rPr>
            </w:pPr>
          </w:p>
        </w:tc>
        <w:tc>
          <w:tcPr>
            <w:tcW w:w="0" w:type="auto"/>
            <w:gridSpan w:val="3"/>
            <w:shd w:val="clear" w:color="auto" w:fill="auto"/>
            <w:vAlign w:val="bottom"/>
          </w:tcPr>
          <w:p w14:paraId="22CFA767" w14:textId="77777777" w:rsidR="002661BA" w:rsidRDefault="002661BA">
            <w:pPr>
              <w:rPr>
                <w:rFonts w:ascii="宋体"/>
                <w:vanish/>
              </w:rPr>
            </w:pPr>
          </w:p>
        </w:tc>
        <w:tc>
          <w:tcPr>
            <w:tcW w:w="0" w:type="auto"/>
            <w:gridSpan w:val="3"/>
            <w:shd w:val="clear" w:color="auto" w:fill="auto"/>
            <w:vAlign w:val="bottom"/>
          </w:tcPr>
          <w:p w14:paraId="22CFA768" w14:textId="77777777" w:rsidR="002661BA" w:rsidRDefault="002661BA">
            <w:pPr>
              <w:rPr>
                <w:rFonts w:ascii="宋体"/>
                <w:vanish/>
              </w:rPr>
            </w:pPr>
          </w:p>
        </w:tc>
        <w:tc>
          <w:tcPr>
            <w:tcW w:w="0" w:type="auto"/>
            <w:gridSpan w:val="3"/>
            <w:shd w:val="clear" w:color="auto" w:fill="auto"/>
            <w:vAlign w:val="bottom"/>
          </w:tcPr>
          <w:p w14:paraId="22CFA769" w14:textId="77777777" w:rsidR="002661BA" w:rsidRDefault="002661BA">
            <w:pPr>
              <w:rPr>
                <w:rFonts w:ascii="宋体"/>
                <w:vanish/>
              </w:rPr>
            </w:pPr>
          </w:p>
        </w:tc>
        <w:tc>
          <w:tcPr>
            <w:tcW w:w="0" w:type="auto"/>
            <w:gridSpan w:val="3"/>
            <w:shd w:val="clear" w:color="auto" w:fill="auto"/>
            <w:vAlign w:val="bottom"/>
          </w:tcPr>
          <w:p w14:paraId="22CFA76A" w14:textId="77777777" w:rsidR="002661BA" w:rsidRDefault="002661BA">
            <w:pPr>
              <w:rPr>
                <w:rFonts w:ascii="宋体"/>
                <w:vanish/>
              </w:rPr>
            </w:pPr>
          </w:p>
        </w:tc>
        <w:tc>
          <w:tcPr>
            <w:tcW w:w="0" w:type="auto"/>
            <w:gridSpan w:val="3"/>
            <w:shd w:val="clear" w:color="auto" w:fill="auto"/>
            <w:vAlign w:val="bottom"/>
          </w:tcPr>
          <w:p w14:paraId="22CFA76B" w14:textId="77777777" w:rsidR="002661BA" w:rsidRDefault="002661BA">
            <w:pPr>
              <w:rPr>
                <w:rFonts w:ascii="宋体"/>
                <w:vanish/>
              </w:rPr>
            </w:pPr>
          </w:p>
        </w:tc>
        <w:tc>
          <w:tcPr>
            <w:tcW w:w="0" w:type="auto"/>
            <w:gridSpan w:val="3"/>
            <w:shd w:val="clear" w:color="auto" w:fill="auto"/>
            <w:vAlign w:val="bottom"/>
          </w:tcPr>
          <w:p w14:paraId="22CFA76C" w14:textId="77777777" w:rsidR="002661BA" w:rsidRDefault="002661BA">
            <w:pPr>
              <w:rPr>
                <w:rFonts w:ascii="宋体"/>
                <w:vanish/>
              </w:rPr>
            </w:pPr>
          </w:p>
        </w:tc>
        <w:tc>
          <w:tcPr>
            <w:tcW w:w="0" w:type="auto"/>
            <w:gridSpan w:val="3"/>
            <w:shd w:val="clear" w:color="auto" w:fill="auto"/>
            <w:vAlign w:val="bottom"/>
          </w:tcPr>
          <w:p w14:paraId="22CFA76D" w14:textId="77777777" w:rsidR="002661BA" w:rsidRDefault="002661BA">
            <w:pPr>
              <w:rPr>
                <w:rFonts w:ascii="宋体"/>
                <w:vanish/>
              </w:rPr>
            </w:pPr>
          </w:p>
        </w:tc>
        <w:tc>
          <w:tcPr>
            <w:tcW w:w="0" w:type="auto"/>
            <w:gridSpan w:val="3"/>
            <w:shd w:val="clear" w:color="auto" w:fill="auto"/>
            <w:vAlign w:val="bottom"/>
          </w:tcPr>
          <w:p w14:paraId="22CFA76E" w14:textId="77777777" w:rsidR="002661BA" w:rsidRDefault="002661BA">
            <w:pPr>
              <w:rPr>
                <w:rFonts w:ascii="宋体"/>
                <w:vanish/>
              </w:rPr>
            </w:pPr>
          </w:p>
        </w:tc>
        <w:tc>
          <w:tcPr>
            <w:tcW w:w="0" w:type="auto"/>
            <w:gridSpan w:val="3"/>
            <w:shd w:val="clear" w:color="auto" w:fill="auto"/>
            <w:vAlign w:val="bottom"/>
          </w:tcPr>
          <w:p w14:paraId="22CFA76F" w14:textId="77777777" w:rsidR="002661BA" w:rsidRDefault="002661BA">
            <w:pPr>
              <w:rPr>
                <w:rFonts w:ascii="宋体"/>
                <w:vanish/>
              </w:rPr>
            </w:pPr>
          </w:p>
        </w:tc>
        <w:tc>
          <w:tcPr>
            <w:tcW w:w="0" w:type="auto"/>
            <w:gridSpan w:val="3"/>
            <w:shd w:val="clear" w:color="auto" w:fill="auto"/>
            <w:vAlign w:val="bottom"/>
          </w:tcPr>
          <w:p w14:paraId="22CFA770" w14:textId="77777777" w:rsidR="002661BA" w:rsidRDefault="002661BA">
            <w:pPr>
              <w:rPr>
                <w:rFonts w:ascii="宋体"/>
                <w:vanish/>
              </w:rPr>
            </w:pPr>
          </w:p>
        </w:tc>
      </w:tr>
      <w:tr w:rsidR="002661BA" w14:paraId="22CFA782" w14:textId="77777777">
        <w:trPr>
          <w:jc w:val="center"/>
          <w:hidden/>
        </w:trPr>
        <w:tc>
          <w:tcPr>
            <w:tcW w:w="0" w:type="auto"/>
            <w:gridSpan w:val="3"/>
            <w:shd w:val="clear" w:color="auto" w:fill="auto"/>
            <w:vAlign w:val="bottom"/>
          </w:tcPr>
          <w:p w14:paraId="22CFA772" w14:textId="77777777" w:rsidR="002661BA" w:rsidRDefault="002661BA">
            <w:pPr>
              <w:rPr>
                <w:rFonts w:ascii="宋体"/>
                <w:vanish/>
              </w:rPr>
            </w:pPr>
          </w:p>
        </w:tc>
        <w:tc>
          <w:tcPr>
            <w:tcW w:w="0" w:type="auto"/>
            <w:gridSpan w:val="3"/>
            <w:shd w:val="clear" w:color="auto" w:fill="auto"/>
            <w:vAlign w:val="bottom"/>
          </w:tcPr>
          <w:p w14:paraId="22CFA773" w14:textId="77777777" w:rsidR="002661BA" w:rsidRDefault="002661BA">
            <w:pPr>
              <w:rPr>
                <w:rFonts w:ascii="宋体"/>
                <w:vanish/>
              </w:rPr>
            </w:pPr>
          </w:p>
        </w:tc>
        <w:tc>
          <w:tcPr>
            <w:tcW w:w="0" w:type="auto"/>
            <w:gridSpan w:val="3"/>
            <w:shd w:val="clear" w:color="auto" w:fill="auto"/>
            <w:vAlign w:val="bottom"/>
          </w:tcPr>
          <w:p w14:paraId="22CFA774" w14:textId="77777777" w:rsidR="002661BA" w:rsidRDefault="002661BA">
            <w:pPr>
              <w:rPr>
                <w:rFonts w:ascii="宋体"/>
                <w:vanish/>
              </w:rPr>
            </w:pPr>
          </w:p>
        </w:tc>
        <w:tc>
          <w:tcPr>
            <w:tcW w:w="0" w:type="auto"/>
            <w:gridSpan w:val="3"/>
            <w:shd w:val="clear" w:color="auto" w:fill="auto"/>
            <w:vAlign w:val="bottom"/>
          </w:tcPr>
          <w:p w14:paraId="22CFA775" w14:textId="77777777" w:rsidR="002661BA" w:rsidRDefault="002661BA">
            <w:pPr>
              <w:rPr>
                <w:rFonts w:ascii="宋体"/>
                <w:vanish/>
              </w:rPr>
            </w:pPr>
          </w:p>
        </w:tc>
        <w:tc>
          <w:tcPr>
            <w:tcW w:w="0" w:type="auto"/>
            <w:gridSpan w:val="3"/>
            <w:shd w:val="clear" w:color="auto" w:fill="auto"/>
            <w:vAlign w:val="bottom"/>
          </w:tcPr>
          <w:p w14:paraId="22CFA776" w14:textId="77777777" w:rsidR="002661BA" w:rsidRDefault="002661BA">
            <w:pPr>
              <w:rPr>
                <w:rFonts w:ascii="宋体"/>
                <w:vanish/>
              </w:rPr>
            </w:pPr>
          </w:p>
        </w:tc>
        <w:tc>
          <w:tcPr>
            <w:tcW w:w="0" w:type="auto"/>
            <w:gridSpan w:val="3"/>
            <w:shd w:val="clear" w:color="auto" w:fill="auto"/>
            <w:vAlign w:val="bottom"/>
          </w:tcPr>
          <w:p w14:paraId="22CFA777" w14:textId="77777777" w:rsidR="002661BA" w:rsidRDefault="002661BA">
            <w:pPr>
              <w:rPr>
                <w:rFonts w:ascii="宋体"/>
                <w:vanish/>
              </w:rPr>
            </w:pPr>
          </w:p>
        </w:tc>
        <w:tc>
          <w:tcPr>
            <w:tcW w:w="0" w:type="auto"/>
            <w:gridSpan w:val="3"/>
            <w:shd w:val="clear" w:color="auto" w:fill="auto"/>
            <w:vAlign w:val="bottom"/>
          </w:tcPr>
          <w:p w14:paraId="22CFA778" w14:textId="77777777" w:rsidR="002661BA" w:rsidRDefault="002661BA">
            <w:pPr>
              <w:rPr>
                <w:rFonts w:ascii="宋体"/>
                <w:vanish/>
              </w:rPr>
            </w:pPr>
          </w:p>
        </w:tc>
        <w:tc>
          <w:tcPr>
            <w:tcW w:w="0" w:type="auto"/>
            <w:gridSpan w:val="3"/>
            <w:shd w:val="clear" w:color="auto" w:fill="auto"/>
            <w:vAlign w:val="bottom"/>
          </w:tcPr>
          <w:p w14:paraId="22CFA779" w14:textId="77777777" w:rsidR="002661BA" w:rsidRDefault="002661BA">
            <w:pPr>
              <w:rPr>
                <w:rFonts w:ascii="宋体"/>
                <w:vanish/>
              </w:rPr>
            </w:pPr>
          </w:p>
        </w:tc>
        <w:tc>
          <w:tcPr>
            <w:tcW w:w="0" w:type="auto"/>
            <w:gridSpan w:val="3"/>
            <w:shd w:val="clear" w:color="auto" w:fill="auto"/>
            <w:vAlign w:val="bottom"/>
          </w:tcPr>
          <w:p w14:paraId="22CFA77A" w14:textId="77777777" w:rsidR="002661BA" w:rsidRDefault="002661BA">
            <w:pPr>
              <w:rPr>
                <w:rFonts w:ascii="宋体"/>
                <w:vanish/>
              </w:rPr>
            </w:pPr>
          </w:p>
        </w:tc>
        <w:tc>
          <w:tcPr>
            <w:tcW w:w="0" w:type="auto"/>
            <w:gridSpan w:val="3"/>
            <w:shd w:val="clear" w:color="auto" w:fill="auto"/>
            <w:vAlign w:val="bottom"/>
          </w:tcPr>
          <w:p w14:paraId="22CFA77B" w14:textId="77777777" w:rsidR="002661BA" w:rsidRDefault="002661BA">
            <w:pPr>
              <w:rPr>
                <w:rFonts w:ascii="宋体"/>
                <w:vanish/>
              </w:rPr>
            </w:pPr>
          </w:p>
        </w:tc>
        <w:tc>
          <w:tcPr>
            <w:tcW w:w="0" w:type="auto"/>
            <w:gridSpan w:val="3"/>
            <w:shd w:val="clear" w:color="auto" w:fill="auto"/>
            <w:vAlign w:val="bottom"/>
          </w:tcPr>
          <w:p w14:paraId="22CFA77C" w14:textId="77777777" w:rsidR="002661BA" w:rsidRDefault="002661BA">
            <w:pPr>
              <w:rPr>
                <w:rFonts w:ascii="宋体"/>
                <w:vanish/>
              </w:rPr>
            </w:pPr>
          </w:p>
        </w:tc>
        <w:tc>
          <w:tcPr>
            <w:tcW w:w="0" w:type="auto"/>
            <w:gridSpan w:val="3"/>
            <w:shd w:val="clear" w:color="auto" w:fill="auto"/>
            <w:vAlign w:val="bottom"/>
          </w:tcPr>
          <w:p w14:paraId="22CFA77D" w14:textId="77777777" w:rsidR="002661BA" w:rsidRDefault="002661BA">
            <w:pPr>
              <w:rPr>
                <w:rFonts w:ascii="宋体"/>
                <w:vanish/>
              </w:rPr>
            </w:pPr>
          </w:p>
        </w:tc>
        <w:tc>
          <w:tcPr>
            <w:tcW w:w="0" w:type="auto"/>
            <w:gridSpan w:val="3"/>
            <w:shd w:val="clear" w:color="auto" w:fill="auto"/>
            <w:vAlign w:val="bottom"/>
          </w:tcPr>
          <w:p w14:paraId="22CFA77E" w14:textId="77777777" w:rsidR="002661BA" w:rsidRDefault="002661BA">
            <w:pPr>
              <w:rPr>
                <w:rFonts w:ascii="宋体"/>
                <w:vanish/>
              </w:rPr>
            </w:pPr>
          </w:p>
        </w:tc>
        <w:tc>
          <w:tcPr>
            <w:tcW w:w="0" w:type="auto"/>
            <w:gridSpan w:val="3"/>
            <w:shd w:val="clear" w:color="auto" w:fill="auto"/>
            <w:vAlign w:val="bottom"/>
          </w:tcPr>
          <w:p w14:paraId="22CFA77F" w14:textId="77777777" w:rsidR="002661BA" w:rsidRDefault="002661BA">
            <w:pPr>
              <w:rPr>
                <w:rFonts w:ascii="宋体"/>
                <w:vanish/>
              </w:rPr>
            </w:pPr>
          </w:p>
        </w:tc>
        <w:tc>
          <w:tcPr>
            <w:tcW w:w="0" w:type="auto"/>
            <w:gridSpan w:val="3"/>
            <w:shd w:val="clear" w:color="auto" w:fill="auto"/>
            <w:vAlign w:val="bottom"/>
          </w:tcPr>
          <w:p w14:paraId="22CFA780" w14:textId="77777777" w:rsidR="002661BA" w:rsidRDefault="002661BA">
            <w:pPr>
              <w:rPr>
                <w:rFonts w:ascii="宋体"/>
                <w:vanish/>
              </w:rPr>
            </w:pPr>
          </w:p>
        </w:tc>
        <w:tc>
          <w:tcPr>
            <w:tcW w:w="0" w:type="auto"/>
            <w:gridSpan w:val="3"/>
            <w:shd w:val="clear" w:color="auto" w:fill="auto"/>
            <w:vAlign w:val="bottom"/>
          </w:tcPr>
          <w:p w14:paraId="22CFA781" w14:textId="77777777" w:rsidR="002661BA" w:rsidRDefault="002661BA">
            <w:pPr>
              <w:rPr>
                <w:rFonts w:ascii="宋体"/>
                <w:vanish/>
              </w:rPr>
            </w:pPr>
          </w:p>
        </w:tc>
      </w:tr>
      <w:tr w:rsidR="002661BA" w14:paraId="22CFA793" w14:textId="77777777">
        <w:trPr>
          <w:jc w:val="center"/>
          <w:hidden/>
        </w:trPr>
        <w:tc>
          <w:tcPr>
            <w:tcW w:w="0" w:type="auto"/>
            <w:gridSpan w:val="3"/>
            <w:shd w:val="clear" w:color="auto" w:fill="auto"/>
            <w:vAlign w:val="bottom"/>
          </w:tcPr>
          <w:p w14:paraId="22CFA783" w14:textId="77777777" w:rsidR="002661BA" w:rsidRDefault="002661BA">
            <w:pPr>
              <w:rPr>
                <w:rFonts w:ascii="宋体"/>
                <w:vanish/>
              </w:rPr>
            </w:pPr>
          </w:p>
        </w:tc>
        <w:tc>
          <w:tcPr>
            <w:tcW w:w="0" w:type="auto"/>
            <w:gridSpan w:val="3"/>
            <w:shd w:val="clear" w:color="auto" w:fill="auto"/>
            <w:vAlign w:val="bottom"/>
          </w:tcPr>
          <w:p w14:paraId="22CFA784" w14:textId="77777777" w:rsidR="002661BA" w:rsidRDefault="002661BA">
            <w:pPr>
              <w:rPr>
                <w:rFonts w:ascii="宋体"/>
                <w:vanish/>
              </w:rPr>
            </w:pPr>
          </w:p>
        </w:tc>
        <w:tc>
          <w:tcPr>
            <w:tcW w:w="0" w:type="auto"/>
            <w:gridSpan w:val="3"/>
            <w:shd w:val="clear" w:color="auto" w:fill="auto"/>
            <w:vAlign w:val="bottom"/>
          </w:tcPr>
          <w:p w14:paraId="22CFA785" w14:textId="77777777" w:rsidR="002661BA" w:rsidRDefault="002661BA">
            <w:pPr>
              <w:rPr>
                <w:rFonts w:ascii="宋体"/>
                <w:vanish/>
              </w:rPr>
            </w:pPr>
          </w:p>
        </w:tc>
        <w:tc>
          <w:tcPr>
            <w:tcW w:w="0" w:type="auto"/>
            <w:gridSpan w:val="3"/>
            <w:shd w:val="clear" w:color="auto" w:fill="auto"/>
            <w:vAlign w:val="bottom"/>
          </w:tcPr>
          <w:p w14:paraId="22CFA786" w14:textId="77777777" w:rsidR="002661BA" w:rsidRDefault="002661BA">
            <w:pPr>
              <w:rPr>
                <w:rFonts w:ascii="宋体"/>
                <w:vanish/>
              </w:rPr>
            </w:pPr>
          </w:p>
        </w:tc>
        <w:tc>
          <w:tcPr>
            <w:tcW w:w="0" w:type="auto"/>
            <w:gridSpan w:val="3"/>
            <w:shd w:val="clear" w:color="auto" w:fill="auto"/>
            <w:vAlign w:val="bottom"/>
          </w:tcPr>
          <w:p w14:paraId="22CFA787" w14:textId="77777777" w:rsidR="002661BA" w:rsidRDefault="002661BA">
            <w:pPr>
              <w:rPr>
                <w:rFonts w:ascii="宋体"/>
                <w:vanish/>
              </w:rPr>
            </w:pPr>
          </w:p>
        </w:tc>
        <w:tc>
          <w:tcPr>
            <w:tcW w:w="0" w:type="auto"/>
            <w:gridSpan w:val="3"/>
            <w:shd w:val="clear" w:color="auto" w:fill="auto"/>
            <w:vAlign w:val="bottom"/>
          </w:tcPr>
          <w:p w14:paraId="22CFA788" w14:textId="77777777" w:rsidR="002661BA" w:rsidRDefault="002661BA">
            <w:pPr>
              <w:rPr>
                <w:rFonts w:ascii="宋体"/>
                <w:vanish/>
              </w:rPr>
            </w:pPr>
          </w:p>
        </w:tc>
        <w:tc>
          <w:tcPr>
            <w:tcW w:w="0" w:type="auto"/>
            <w:gridSpan w:val="3"/>
            <w:shd w:val="clear" w:color="auto" w:fill="auto"/>
            <w:vAlign w:val="bottom"/>
          </w:tcPr>
          <w:p w14:paraId="22CFA789" w14:textId="77777777" w:rsidR="002661BA" w:rsidRDefault="002661BA">
            <w:pPr>
              <w:rPr>
                <w:rFonts w:ascii="宋体"/>
                <w:vanish/>
              </w:rPr>
            </w:pPr>
          </w:p>
        </w:tc>
        <w:tc>
          <w:tcPr>
            <w:tcW w:w="0" w:type="auto"/>
            <w:gridSpan w:val="3"/>
            <w:shd w:val="clear" w:color="auto" w:fill="auto"/>
            <w:vAlign w:val="bottom"/>
          </w:tcPr>
          <w:p w14:paraId="22CFA78A" w14:textId="77777777" w:rsidR="002661BA" w:rsidRDefault="002661BA">
            <w:pPr>
              <w:rPr>
                <w:rFonts w:ascii="宋体"/>
                <w:vanish/>
              </w:rPr>
            </w:pPr>
          </w:p>
        </w:tc>
        <w:tc>
          <w:tcPr>
            <w:tcW w:w="0" w:type="auto"/>
            <w:gridSpan w:val="3"/>
            <w:shd w:val="clear" w:color="auto" w:fill="auto"/>
            <w:vAlign w:val="bottom"/>
          </w:tcPr>
          <w:p w14:paraId="22CFA78B" w14:textId="77777777" w:rsidR="002661BA" w:rsidRDefault="002661BA">
            <w:pPr>
              <w:rPr>
                <w:rFonts w:ascii="宋体"/>
                <w:vanish/>
              </w:rPr>
            </w:pPr>
          </w:p>
        </w:tc>
        <w:tc>
          <w:tcPr>
            <w:tcW w:w="0" w:type="auto"/>
            <w:gridSpan w:val="3"/>
            <w:shd w:val="clear" w:color="auto" w:fill="auto"/>
            <w:vAlign w:val="bottom"/>
          </w:tcPr>
          <w:p w14:paraId="22CFA78C" w14:textId="77777777" w:rsidR="002661BA" w:rsidRDefault="002661BA">
            <w:pPr>
              <w:rPr>
                <w:rFonts w:ascii="宋体"/>
                <w:vanish/>
              </w:rPr>
            </w:pPr>
          </w:p>
        </w:tc>
        <w:tc>
          <w:tcPr>
            <w:tcW w:w="0" w:type="auto"/>
            <w:gridSpan w:val="3"/>
            <w:shd w:val="clear" w:color="auto" w:fill="auto"/>
            <w:vAlign w:val="bottom"/>
          </w:tcPr>
          <w:p w14:paraId="22CFA78D" w14:textId="77777777" w:rsidR="002661BA" w:rsidRDefault="002661BA">
            <w:pPr>
              <w:rPr>
                <w:rFonts w:ascii="宋体"/>
                <w:vanish/>
              </w:rPr>
            </w:pPr>
          </w:p>
        </w:tc>
        <w:tc>
          <w:tcPr>
            <w:tcW w:w="0" w:type="auto"/>
            <w:gridSpan w:val="3"/>
            <w:shd w:val="clear" w:color="auto" w:fill="auto"/>
            <w:vAlign w:val="bottom"/>
          </w:tcPr>
          <w:p w14:paraId="22CFA78E" w14:textId="77777777" w:rsidR="002661BA" w:rsidRDefault="002661BA">
            <w:pPr>
              <w:rPr>
                <w:rFonts w:ascii="宋体"/>
                <w:vanish/>
              </w:rPr>
            </w:pPr>
          </w:p>
        </w:tc>
        <w:tc>
          <w:tcPr>
            <w:tcW w:w="0" w:type="auto"/>
            <w:gridSpan w:val="3"/>
            <w:shd w:val="clear" w:color="auto" w:fill="auto"/>
            <w:vAlign w:val="bottom"/>
          </w:tcPr>
          <w:p w14:paraId="22CFA78F" w14:textId="77777777" w:rsidR="002661BA" w:rsidRDefault="002661BA">
            <w:pPr>
              <w:rPr>
                <w:rFonts w:ascii="宋体"/>
                <w:vanish/>
              </w:rPr>
            </w:pPr>
          </w:p>
        </w:tc>
        <w:tc>
          <w:tcPr>
            <w:tcW w:w="0" w:type="auto"/>
            <w:gridSpan w:val="3"/>
            <w:shd w:val="clear" w:color="auto" w:fill="auto"/>
            <w:vAlign w:val="bottom"/>
          </w:tcPr>
          <w:p w14:paraId="22CFA790" w14:textId="77777777" w:rsidR="002661BA" w:rsidRDefault="002661BA">
            <w:pPr>
              <w:rPr>
                <w:rFonts w:ascii="宋体"/>
                <w:vanish/>
              </w:rPr>
            </w:pPr>
          </w:p>
        </w:tc>
        <w:tc>
          <w:tcPr>
            <w:tcW w:w="0" w:type="auto"/>
            <w:gridSpan w:val="3"/>
            <w:shd w:val="clear" w:color="auto" w:fill="auto"/>
            <w:vAlign w:val="bottom"/>
          </w:tcPr>
          <w:p w14:paraId="22CFA791" w14:textId="77777777" w:rsidR="002661BA" w:rsidRDefault="002661BA">
            <w:pPr>
              <w:rPr>
                <w:rFonts w:ascii="宋体"/>
                <w:vanish/>
              </w:rPr>
            </w:pPr>
          </w:p>
        </w:tc>
        <w:tc>
          <w:tcPr>
            <w:tcW w:w="0" w:type="auto"/>
            <w:gridSpan w:val="3"/>
            <w:shd w:val="clear" w:color="auto" w:fill="auto"/>
            <w:vAlign w:val="bottom"/>
          </w:tcPr>
          <w:p w14:paraId="22CFA792" w14:textId="77777777" w:rsidR="002661BA" w:rsidRDefault="002661BA">
            <w:pPr>
              <w:rPr>
                <w:rFonts w:ascii="宋体"/>
                <w:vanish/>
              </w:rPr>
            </w:pPr>
          </w:p>
        </w:tc>
      </w:tr>
      <w:tr w:rsidR="002661BA" w14:paraId="22CFA7B0" w14:textId="77777777">
        <w:trPr>
          <w:jc w:val="center"/>
        </w:trPr>
        <w:tc>
          <w:tcPr>
            <w:tcW w:w="0" w:type="auto"/>
            <w:gridSpan w:val="3"/>
            <w:shd w:val="clear" w:color="auto" w:fill="DBDBDB"/>
            <w:tcMar>
              <w:top w:w="40" w:type="dxa"/>
              <w:left w:w="20" w:type="dxa"/>
              <w:bottom w:w="40" w:type="dxa"/>
              <w:right w:w="20" w:type="dxa"/>
            </w:tcMar>
            <w:vAlign w:val="bottom"/>
          </w:tcPr>
          <w:p w14:paraId="22CFA794" w14:textId="77777777" w:rsidR="002661BA" w:rsidRDefault="00D972BC">
            <w:pPr>
              <w:textAlignment w:val="bottom"/>
            </w:pPr>
            <w:r>
              <w:rPr>
                <w:rFonts w:ascii="Arial" w:eastAsia="宋体" w:hAnsi="Arial" w:cs="Arial"/>
                <w:color w:val="000000"/>
                <w:sz w:val="18"/>
                <w:szCs w:val="18"/>
              </w:rPr>
              <w:t>MS&amp;O revenues</w:t>
            </w:r>
          </w:p>
        </w:tc>
        <w:tc>
          <w:tcPr>
            <w:tcW w:w="0" w:type="auto"/>
            <w:tcBorders>
              <w:top w:val="single" w:sz="8" w:space="0" w:color="000000"/>
            </w:tcBorders>
            <w:shd w:val="clear" w:color="auto" w:fill="DBDBDB"/>
            <w:tcMar>
              <w:top w:w="40" w:type="dxa"/>
              <w:left w:w="20" w:type="dxa"/>
              <w:bottom w:w="40" w:type="dxa"/>
              <w:right w:w="0" w:type="dxa"/>
            </w:tcMar>
            <w:vAlign w:val="bottom"/>
          </w:tcPr>
          <w:p w14:paraId="22CFA79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A796" w14:textId="77777777" w:rsidR="002661BA" w:rsidRDefault="00D972BC">
            <w:pPr>
              <w:jc w:val="right"/>
              <w:textAlignment w:val="bottom"/>
            </w:pPr>
            <w:r>
              <w:rPr>
                <w:rFonts w:ascii="Arial" w:eastAsia="宋体" w:hAnsi="Arial" w:cs="Arial"/>
                <w:color w:val="000000"/>
                <w:sz w:val="18"/>
                <w:szCs w:val="18"/>
              </w:rPr>
              <w:t>648 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A797"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A798"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A79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A79A" w14:textId="77777777" w:rsidR="002661BA" w:rsidRDefault="00D972BC">
            <w:pPr>
              <w:jc w:val="right"/>
              <w:textAlignment w:val="bottom"/>
            </w:pPr>
            <w:r>
              <w:rPr>
                <w:rFonts w:ascii="Arial" w:eastAsia="宋体" w:hAnsi="Arial" w:cs="Arial"/>
                <w:color w:val="000000"/>
                <w:sz w:val="18"/>
                <w:szCs w:val="18"/>
              </w:rPr>
              <w:t>651 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A79B"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A79C"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A79D"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A79E"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DBDBDB"/>
            <w:tcMar>
              <w:top w:w="0" w:type="dxa"/>
              <w:left w:w="20" w:type="dxa"/>
              <w:bottom w:w="0" w:type="dxa"/>
              <w:right w:w="20" w:type="dxa"/>
            </w:tcMar>
            <w:vAlign w:val="bottom"/>
          </w:tcPr>
          <w:p w14:paraId="22CFA79F"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A7A0" w14:textId="77777777" w:rsidR="002661BA" w:rsidRDefault="00D972BC">
            <w:pPr>
              <w:jc w:val="right"/>
              <w:textAlignment w:val="bottom"/>
            </w:pPr>
            <w:r>
              <w:rPr>
                <w:rFonts w:ascii="Arial" w:eastAsia="宋体" w:hAnsi="Arial" w:cs="Arial"/>
                <w:color w:val="000000"/>
                <w:sz w:val="18"/>
                <w:szCs w:val="18"/>
              </w:rPr>
              <w:t>(2)</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A7A1"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DBDBDB"/>
            <w:tcMar>
              <w:top w:w="0" w:type="dxa"/>
              <w:left w:w="20" w:type="dxa"/>
              <w:bottom w:w="0" w:type="dxa"/>
              <w:right w:w="20" w:type="dxa"/>
            </w:tcMar>
            <w:vAlign w:val="bottom"/>
          </w:tcPr>
          <w:p w14:paraId="22CFA7A2"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A7A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A7A4" w14:textId="77777777" w:rsidR="002661BA" w:rsidRDefault="00D972BC">
            <w:pPr>
              <w:jc w:val="right"/>
              <w:textAlignment w:val="bottom"/>
            </w:pPr>
            <w:r>
              <w:rPr>
                <w:rFonts w:ascii="Arial" w:eastAsia="宋体" w:hAnsi="Arial" w:cs="Arial"/>
                <w:color w:val="000000"/>
                <w:sz w:val="18"/>
                <w:szCs w:val="18"/>
              </w:rPr>
              <w:t>651 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A7A5"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A7A6"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A7A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A7A8" w14:textId="77777777" w:rsidR="002661BA" w:rsidRDefault="00D972BC">
            <w:pPr>
              <w:jc w:val="right"/>
              <w:textAlignment w:val="bottom"/>
            </w:pPr>
            <w:r>
              <w:rPr>
                <w:rFonts w:ascii="Arial" w:eastAsia="宋体" w:hAnsi="Arial" w:cs="Arial"/>
                <w:color w:val="000000"/>
                <w:sz w:val="18"/>
                <w:szCs w:val="18"/>
              </w:rPr>
              <w:t>848 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A7A9"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A7AA"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A7AB" w14:textId="77777777" w:rsidR="002661BA" w:rsidRDefault="00D972BC">
            <w:pPr>
              <w:jc w:val="right"/>
              <w:textAlignment w:val="bottom"/>
            </w:pPr>
            <w:r>
              <w:rPr>
                <w:rFonts w:ascii="Arial" w:eastAsia="宋体" w:hAnsi="Arial" w:cs="Arial"/>
                <w:color w:val="000000"/>
                <w:sz w:val="18"/>
                <w:szCs w:val="18"/>
              </w:rPr>
              <w:t>(23)</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A7AC"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DBDBDB"/>
            <w:tcMar>
              <w:top w:w="0" w:type="dxa"/>
              <w:left w:w="20" w:type="dxa"/>
              <w:bottom w:w="0" w:type="dxa"/>
              <w:right w:w="20" w:type="dxa"/>
            </w:tcMar>
            <w:vAlign w:val="bottom"/>
          </w:tcPr>
          <w:p w14:paraId="22CFA7AD"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A7AE" w14:textId="77777777" w:rsidR="002661BA" w:rsidRDefault="00D972BC">
            <w:pPr>
              <w:jc w:val="right"/>
              <w:textAlignment w:val="bottom"/>
            </w:pPr>
            <w:r>
              <w:rPr>
                <w:rFonts w:ascii="Arial" w:eastAsia="宋体" w:hAnsi="Arial" w:cs="Arial"/>
                <w:color w:val="000000"/>
                <w:sz w:val="18"/>
                <w:szCs w:val="18"/>
              </w:rPr>
              <w:t>(23)</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A7AF" w14:textId="77777777" w:rsidR="002661BA" w:rsidRDefault="00D972BC">
            <w:pPr>
              <w:jc w:val="right"/>
              <w:textAlignment w:val="bottom"/>
            </w:pPr>
            <w:r>
              <w:rPr>
                <w:rFonts w:ascii="Arial" w:eastAsia="宋体" w:hAnsi="Arial" w:cs="Arial"/>
                <w:color w:val="000000"/>
                <w:sz w:val="18"/>
                <w:szCs w:val="18"/>
              </w:rPr>
              <w:t>%</w:t>
            </w:r>
          </w:p>
        </w:tc>
      </w:tr>
      <w:tr w:rsidR="002661BA" w14:paraId="22CFA7C5" w14:textId="77777777">
        <w:trPr>
          <w:jc w:val="center"/>
        </w:trPr>
        <w:tc>
          <w:tcPr>
            <w:tcW w:w="0" w:type="auto"/>
            <w:gridSpan w:val="3"/>
            <w:shd w:val="clear" w:color="auto" w:fill="FFFFFF"/>
            <w:tcMar>
              <w:top w:w="40" w:type="dxa"/>
              <w:left w:w="140" w:type="dxa"/>
              <w:bottom w:w="40" w:type="dxa"/>
              <w:right w:w="20" w:type="dxa"/>
            </w:tcMar>
            <w:vAlign w:val="bottom"/>
          </w:tcPr>
          <w:p w14:paraId="22CFA7B1" w14:textId="77777777" w:rsidR="002661BA" w:rsidRDefault="00D972BC">
            <w:pPr>
              <w:textAlignment w:val="bottom"/>
            </w:pPr>
            <w:r>
              <w:rPr>
                <w:rFonts w:ascii="Arial" w:eastAsia="宋体" w:hAnsi="Arial" w:cs="Arial"/>
                <w:i/>
                <w:iCs/>
                <w:color w:val="000000"/>
                <w:sz w:val="18"/>
                <w:szCs w:val="18"/>
              </w:rPr>
              <w:t>% of net revenues</w:t>
            </w:r>
          </w:p>
        </w:tc>
        <w:tc>
          <w:tcPr>
            <w:tcW w:w="0" w:type="auto"/>
            <w:gridSpan w:val="2"/>
            <w:shd w:val="clear" w:color="auto" w:fill="FFFFFF"/>
            <w:tcMar>
              <w:top w:w="40" w:type="dxa"/>
              <w:left w:w="20" w:type="dxa"/>
              <w:bottom w:w="40" w:type="dxa"/>
              <w:right w:w="0" w:type="dxa"/>
            </w:tcMar>
            <w:vAlign w:val="bottom"/>
          </w:tcPr>
          <w:p w14:paraId="22CFA7B2" w14:textId="77777777" w:rsidR="002661BA" w:rsidRDefault="00D972BC">
            <w:pPr>
              <w:jc w:val="right"/>
              <w:textAlignment w:val="bottom"/>
            </w:pPr>
            <w:r>
              <w:rPr>
                <w:rFonts w:ascii="Arial" w:eastAsia="宋体" w:hAnsi="Arial" w:cs="Arial"/>
                <w:i/>
                <w:iCs/>
                <w:color w:val="000000"/>
                <w:sz w:val="18"/>
                <w:szCs w:val="18"/>
              </w:rPr>
              <w:t>6 </w:t>
            </w:r>
          </w:p>
        </w:tc>
        <w:tc>
          <w:tcPr>
            <w:tcW w:w="0" w:type="auto"/>
            <w:shd w:val="clear" w:color="auto" w:fill="FFFFFF"/>
            <w:tcMar>
              <w:top w:w="40" w:type="dxa"/>
              <w:left w:w="0" w:type="dxa"/>
              <w:bottom w:w="40" w:type="dxa"/>
              <w:right w:w="20" w:type="dxa"/>
            </w:tcMar>
            <w:vAlign w:val="bottom"/>
          </w:tcPr>
          <w:p w14:paraId="22CFA7B3"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7B4"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7B5" w14:textId="77777777" w:rsidR="002661BA" w:rsidRDefault="00D972BC">
            <w:pPr>
              <w:jc w:val="right"/>
              <w:textAlignment w:val="bottom"/>
            </w:pPr>
            <w:r>
              <w:rPr>
                <w:rFonts w:ascii="Arial" w:eastAsia="宋体" w:hAnsi="Arial" w:cs="Arial"/>
                <w:i/>
                <w:iCs/>
                <w:color w:val="000000"/>
                <w:sz w:val="18"/>
                <w:szCs w:val="18"/>
              </w:rPr>
              <w:t>7 </w:t>
            </w:r>
          </w:p>
        </w:tc>
        <w:tc>
          <w:tcPr>
            <w:tcW w:w="0" w:type="auto"/>
            <w:shd w:val="clear" w:color="auto" w:fill="FFFFFF"/>
            <w:tcMar>
              <w:top w:w="40" w:type="dxa"/>
              <w:left w:w="0" w:type="dxa"/>
              <w:bottom w:w="40" w:type="dxa"/>
              <w:right w:w="20" w:type="dxa"/>
            </w:tcMar>
            <w:vAlign w:val="bottom"/>
          </w:tcPr>
          <w:p w14:paraId="22CFA7B6"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7B7"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7B8"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7B9"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7BA"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7BB"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7BC" w14:textId="77777777" w:rsidR="002661BA" w:rsidRDefault="00D972BC">
            <w:pPr>
              <w:jc w:val="right"/>
              <w:textAlignment w:val="bottom"/>
            </w:pPr>
            <w:r>
              <w:rPr>
                <w:rFonts w:ascii="Arial" w:eastAsia="宋体" w:hAnsi="Arial" w:cs="Arial"/>
                <w:i/>
                <w:iCs/>
                <w:color w:val="000000"/>
                <w:sz w:val="18"/>
                <w:szCs w:val="18"/>
              </w:rPr>
              <w:t>7 </w:t>
            </w:r>
          </w:p>
        </w:tc>
        <w:tc>
          <w:tcPr>
            <w:tcW w:w="0" w:type="auto"/>
            <w:shd w:val="clear" w:color="auto" w:fill="FFFFFF"/>
            <w:tcMar>
              <w:top w:w="40" w:type="dxa"/>
              <w:left w:w="0" w:type="dxa"/>
              <w:bottom w:w="40" w:type="dxa"/>
              <w:right w:w="20" w:type="dxa"/>
            </w:tcMar>
            <w:vAlign w:val="bottom"/>
          </w:tcPr>
          <w:p w14:paraId="22CFA7BD"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7BE"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7BF" w14:textId="77777777" w:rsidR="002661BA" w:rsidRDefault="00D972BC">
            <w:pPr>
              <w:jc w:val="right"/>
              <w:textAlignment w:val="bottom"/>
            </w:pPr>
            <w:r>
              <w:rPr>
                <w:rFonts w:ascii="Arial" w:eastAsia="宋体" w:hAnsi="Arial" w:cs="Arial"/>
                <w:i/>
                <w:iCs/>
                <w:color w:val="000000"/>
                <w:sz w:val="18"/>
                <w:szCs w:val="18"/>
              </w:rPr>
              <w:t>11 </w:t>
            </w:r>
          </w:p>
        </w:tc>
        <w:tc>
          <w:tcPr>
            <w:tcW w:w="0" w:type="auto"/>
            <w:shd w:val="clear" w:color="auto" w:fill="FFFFFF"/>
            <w:tcMar>
              <w:top w:w="40" w:type="dxa"/>
              <w:left w:w="0" w:type="dxa"/>
              <w:bottom w:w="40" w:type="dxa"/>
              <w:right w:w="20" w:type="dxa"/>
            </w:tcMar>
            <w:vAlign w:val="bottom"/>
          </w:tcPr>
          <w:p w14:paraId="22CFA7C0"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7C1"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7C2"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7C3"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7C4" w14:textId="77777777" w:rsidR="002661BA" w:rsidRDefault="002661BA">
            <w:pPr>
              <w:rPr>
                <w:rFonts w:ascii="宋体"/>
              </w:rPr>
            </w:pPr>
          </w:p>
        </w:tc>
      </w:tr>
    </w:tbl>
    <w:p w14:paraId="22CFA7C6" w14:textId="77777777" w:rsidR="002661BA" w:rsidRDefault="002661BA">
      <w:pPr>
        <w:ind w:firstLine="540"/>
        <w:jc w:val="both"/>
      </w:pPr>
    </w:p>
    <w:p w14:paraId="22CFA7C7" w14:textId="77777777" w:rsidR="002661BA" w:rsidRDefault="00D972BC">
      <w:pPr>
        <w:ind w:firstLine="540"/>
        <w:jc w:val="both"/>
      </w:pPr>
      <w:r>
        <w:rPr>
          <w:rFonts w:ascii="Arial" w:eastAsia="宋体" w:hAnsi="Arial" w:cs="Arial"/>
          <w:color w:val="000000"/>
          <w:sz w:val="20"/>
          <w:szCs w:val="20"/>
        </w:rPr>
        <w:t>MS&amp;O revenues were relatively flat in 2021 compared to 2020 primarily due to a decrease in advertising revenues offset by an increase in revenues from revenue sharing arrangements for shipping agreements.</w:t>
      </w:r>
    </w:p>
    <w:p w14:paraId="22CFA7C8" w14:textId="77777777" w:rsidR="002661BA" w:rsidRDefault="002661BA">
      <w:pPr>
        <w:ind w:firstLine="540"/>
        <w:jc w:val="both"/>
      </w:pPr>
    </w:p>
    <w:p w14:paraId="22CFA7C9" w14:textId="77777777" w:rsidR="002661BA" w:rsidRDefault="00D972BC">
      <w:pPr>
        <w:ind w:firstLine="270"/>
        <w:jc w:val="both"/>
      </w:pPr>
      <w:r>
        <w:rPr>
          <w:rFonts w:ascii="Arial" w:eastAsia="宋体" w:hAnsi="Arial" w:cs="Arial"/>
          <w:b/>
          <w:bCs/>
          <w:i/>
          <w:iCs/>
          <w:color w:val="000000"/>
          <w:sz w:val="20"/>
          <w:szCs w:val="20"/>
        </w:rPr>
        <w:t xml:space="preserve">Cost of Net </w:t>
      </w:r>
      <w:r>
        <w:rPr>
          <w:rFonts w:ascii="Arial" w:eastAsia="宋体" w:hAnsi="Arial" w:cs="Arial"/>
          <w:b/>
          <w:bCs/>
          <w:i/>
          <w:iCs/>
          <w:color w:val="000000"/>
          <w:sz w:val="20"/>
          <w:szCs w:val="20"/>
        </w:rPr>
        <w:t>Revenues</w:t>
      </w:r>
    </w:p>
    <w:p w14:paraId="22CFA7CA" w14:textId="77777777" w:rsidR="002661BA" w:rsidRDefault="002661BA">
      <w:pPr>
        <w:jc w:val="both"/>
      </w:pPr>
    </w:p>
    <w:p w14:paraId="22CFA7CB" w14:textId="77777777" w:rsidR="002661BA" w:rsidRDefault="00D972BC">
      <w:pPr>
        <w:spacing w:after="120"/>
        <w:ind w:firstLine="540"/>
        <w:jc w:val="both"/>
      </w:pPr>
      <w:r>
        <w:rPr>
          <w:rFonts w:ascii="Arial" w:eastAsia="宋体" w:hAnsi="Arial" w:cs="Arial"/>
          <w:color w:val="000000"/>
          <w:sz w:val="20"/>
          <w:szCs w:val="20"/>
        </w:rPr>
        <w:t>Cost of net revenues represents costs associated with customer support, site operations and payment processing. Significant components of these costs primarily consist of employee compensation including stock-based compensation, contractor costs,</w:t>
      </w:r>
      <w:r>
        <w:rPr>
          <w:rFonts w:ascii="Arial" w:eastAsia="宋体" w:hAnsi="Arial" w:cs="Arial"/>
          <w:color w:val="000000"/>
          <w:sz w:val="20"/>
          <w:szCs w:val="20"/>
        </w:rPr>
        <w:t xml:space="preserve"> facilities costs, depreciation of equipment and amortization expense, bank transaction fees, credit card interchange and assessment fees, authentication costs and digital services tax. The following table presents cost of net revenues for the periods indi</w:t>
      </w:r>
      <w:r>
        <w:rPr>
          <w:rFonts w:ascii="Arial" w:eastAsia="宋体" w:hAnsi="Arial" w:cs="Arial"/>
          <w:color w:val="000000"/>
          <w:sz w:val="20"/>
          <w:szCs w:val="20"/>
        </w:rPr>
        <w:t>cated (in millions, except percentages):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48"/>
        <w:gridCol w:w="37"/>
        <w:gridCol w:w="121"/>
        <w:gridCol w:w="647"/>
        <w:gridCol w:w="181"/>
        <w:gridCol w:w="36"/>
        <w:gridCol w:w="36"/>
        <w:gridCol w:w="36"/>
        <w:gridCol w:w="63"/>
        <w:gridCol w:w="595"/>
        <w:gridCol w:w="181"/>
        <w:gridCol w:w="37"/>
        <w:gridCol w:w="88"/>
        <w:gridCol w:w="36"/>
        <w:gridCol w:w="121"/>
        <w:gridCol w:w="572"/>
        <w:gridCol w:w="181"/>
        <w:gridCol w:w="36"/>
        <w:gridCol w:w="36"/>
        <w:gridCol w:w="36"/>
        <w:gridCol w:w="63"/>
        <w:gridCol w:w="595"/>
        <w:gridCol w:w="181"/>
        <w:gridCol w:w="37"/>
        <w:gridCol w:w="88"/>
        <w:gridCol w:w="36"/>
        <w:gridCol w:w="121"/>
        <w:gridCol w:w="572"/>
        <w:gridCol w:w="181"/>
      </w:tblGrid>
      <w:tr w:rsidR="002661BA" w14:paraId="22CFA7EA" w14:textId="77777777">
        <w:trPr>
          <w:jc w:val="center"/>
        </w:trPr>
        <w:tc>
          <w:tcPr>
            <w:tcW w:w="50" w:type="pct"/>
            <w:shd w:val="clear" w:color="auto" w:fill="auto"/>
            <w:vAlign w:val="bottom"/>
          </w:tcPr>
          <w:p w14:paraId="22CFA7CC" w14:textId="77777777" w:rsidR="002661BA" w:rsidRDefault="002661BA">
            <w:pPr>
              <w:rPr>
                <w:rFonts w:ascii="宋体"/>
              </w:rPr>
            </w:pPr>
          </w:p>
        </w:tc>
        <w:tc>
          <w:tcPr>
            <w:tcW w:w="2159" w:type="pct"/>
            <w:shd w:val="clear" w:color="auto" w:fill="auto"/>
            <w:vAlign w:val="bottom"/>
          </w:tcPr>
          <w:p w14:paraId="22CFA7CD" w14:textId="77777777" w:rsidR="002661BA" w:rsidRDefault="002661BA">
            <w:pPr>
              <w:rPr>
                <w:rFonts w:ascii="宋体"/>
              </w:rPr>
            </w:pPr>
          </w:p>
        </w:tc>
        <w:tc>
          <w:tcPr>
            <w:tcW w:w="5" w:type="pct"/>
            <w:shd w:val="clear" w:color="auto" w:fill="auto"/>
            <w:vAlign w:val="bottom"/>
          </w:tcPr>
          <w:p w14:paraId="22CFA7CE" w14:textId="77777777" w:rsidR="002661BA" w:rsidRDefault="002661BA">
            <w:pPr>
              <w:rPr>
                <w:rFonts w:ascii="宋体"/>
              </w:rPr>
            </w:pPr>
          </w:p>
        </w:tc>
        <w:tc>
          <w:tcPr>
            <w:tcW w:w="50" w:type="pct"/>
            <w:shd w:val="clear" w:color="auto" w:fill="auto"/>
            <w:vAlign w:val="bottom"/>
          </w:tcPr>
          <w:p w14:paraId="22CFA7CF" w14:textId="77777777" w:rsidR="002661BA" w:rsidRDefault="002661BA">
            <w:pPr>
              <w:rPr>
                <w:rFonts w:ascii="宋体"/>
              </w:rPr>
            </w:pPr>
          </w:p>
        </w:tc>
        <w:tc>
          <w:tcPr>
            <w:tcW w:w="478" w:type="pct"/>
            <w:shd w:val="clear" w:color="auto" w:fill="auto"/>
            <w:vAlign w:val="bottom"/>
          </w:tcPr>
          <w:p w14:paraId="22CFA7D0" w14:textId="77777777" w:rsidR="002661BA" w:rsidRDefault="002661BA">
            <w:pPr>
              <w:rPr>
                <w:rFonts w:ascii="宋体"/>
              </w:rPr>
            </w:pPr>
          </w:p>
        </w:tc>
        <w:tc>
          <w:tcPr>
            <w:tcW w:w="5" w:type="pct"/>
            <w:shd w:val="clear" w:color="auto" w:fill="auto"/>
            <w:vAlign w:val="bottom"/>
          </w:tcPr>
          <w:p w14:paraId="22CFA7D1" w14:textId="77777777" w:rsidR="002661BA" w:rsidRDefault="002661BA">
            <w:pPr>
              <w:rPr>
                <w:rFonts w:ascii="宋体"/>
              </w:rPr>
            </w:pPr>
          </w:p>
        </w:tc>
        <w:tc>
          <w:tcPr>
            <w:tcW w:w="5" w:type="pct"/>
            <w:shd w:val="clear" w:color="auto" w:fill="auto"/>
            <w:vAlign w:val="bottom"/>
          </w:tcPr>
          <w:p w14:paraId="22CFA7D2" w14:textId="77777777" w:rsidR="002661BA" w:rsidRDefault="002661BA">
            <w:pPr>
              <w:rPr>
                <w:rFonts w:ascii="宋体"/>
              </w:rPr>
            </w:pPr>
          </w:p>
        </w:tc>
        <w:tc>
          <w:tcPr>
            <w:tcW w:w="19" w:type="pct"/>
            <w:shd w:val="clear" w:color="auto" w:fill="auto"/>
            <w:vAlign w:val="bottom"/>
          </w:tcPr>
          <w:p w14:paraId="22CFA7D3" w14:textId="77777777" w:rsidR="002661BA" w:rsidRDefault="002661BA">
            <w:pPr>
              <w:rPr>
                <w:rFonts w:ascii="宋体"/>
              </w:rPr>
            </w:pPr>
          </w:p>
        </w:tc>
        <w:tc>
          <w:tcPr>
            <w:tcW w:w="5" w:type="pct"/>
            <w:shd w:val="clear" w:color="auto" w:fill="auto"/>
            <w:vAlign w:val="bottom"/>
          </w:tcPr>
          <w:p w14:paraId="22CFA7D4" w14:textId="77777777" w:rsidR="002661BA" w:rsidRDefault="002661BA">
            <w:pPr>
              <w:rPr>
                <w:rFonts w:ascii="宋体"/>
              </w:rPr>
            </w:pPr>
          </w:p>
        </w:tc>
        <w:tc>
          <w:tcPr>
            <w:tcW w:w="50" w:type="pct"/>
            <w:shd w:val="clear" w:color="auto" w:fill="auto"/>
            <w:vAlign w:val="bottom"/>
          </w:tcPr>
          <w:p w14:paraId="22CFA7D5" w14:textId="77777777" w:rsidR="002661BA" w:rsidRDefault="002661BA">
            <w:pPr>
              <w:rPr>
                <w:rFonts w:ascii="宋体"/>
              </w:rPr>
            </w:pPr>
          </w:p>
        </w:tc>
        <w:tc>
          <w:tcPr>
            <w:tcW w:w="478" w:type="pct"/>
            <w:shd w:val="clear" w:color="auto" w:fill="auto"/>
            <w:vAlign w:val="bottom"/>
          </w:tcPr>
          <w:p w14:paraId="22CFA7D6" w14:textId="77777777" w:rsidR="002661BA" w:rsidRDefault="002661BA">
            <w:pPr>
              <w:rPr>
                <w:rFonts w:ascii="宋体"/>
              </w:rPr>
            </w:pPr>
          </w:p>
        </w:tc>
        <w:tc>
          <w:tcPr>
            <w:tcW w:w="5" w:type="pct"/>
            <w:shd w:val="clear" w:color="auto" w:fill="auto"/>
            <w:vAlign w:val="bottom"/>
          </w:tcPr>
          <w:p w14:paraId="22CFA7D7" w14:textId="77777777" w:rsidR="002661BA" w:rsidRDefault="002661BA">
            <w:pPr>
              <w:rPr>
                <w:rFonts w:ascii="宋体"/>
              </w:rPr>
            </w:pPr>
          </w:p>
        </w:tc>
        <w:tc>
          <w:tcPr>
            <w:tcW w:w="5" w:type="pct"/>
            <w:shd w:val="clear" w:color="auto" w:fill="auto"/>
            <w:vAlign w:val="bottom"/>
          </w:tcPr>
          <w:p w14:paraId="22CFA7D8" w14:textId="77777777" w:rsidR="002661BA" w:rsidRDefault="002661BA">
            <w:pPr>
              <w:rPr>
                <w:rFonts w:ascii="宋体"/>
              </w:rPr>
            </w:pPr>
          </w:p>
        </w:tc>
        <w:tc>
          <w:tcPr>
            <w:tcW w:w="19" w:type="pct"/>
            <w:shd w:val="clear" w:color="auto" w:fill="auto"/>
            <w:vAlign w:val="bottom"/>
          </w:tcPr>
          <w:p w14:paraId="22CFA7D9" w14:textId="77777777" w:rsidR="002661BA" w:rsidRDefault="002661BA">
            <w:pPr>
              <w:rPr>
                <w:rFonts w:ascii="宋体"/>
              </w:rPr>
            </w:pPr>
          </w:p>
        </w:tc>
        <w:tc>
          <w:tcPr>
            <w:tcW w:w="5" w:type="pct"/>
            <w:shd w:val="clear" w:color="auto" w:fill="auto"/>
            <w:vAlign w:val="bottom"/>
          </w:tcPr>
          <w:p w14:paraId="22CFA7DA" w14:textId="77777777" w:rsidR="002661BA" w:rsidRDefault="002661BA">
            <w:pPr>
              <w:rPr>
                <w:rFonts w:ascii="宋体"/>
              </w:rPr>
            </w:pPr>
          </w:p>
        </w:tc>
        <w:tc>
          <w:tcPr>
            <w:tcW w:w="50" w:type="pct"/>
            <w:shd w:val="clear" w:color="auto" w:fill="auto"/>
            <w:vAlign w:val="bottom"/>
          </w:tcPr>
          <w:p w14:paraId="22CFA7DB" w14:textId="77777777" w:rsidR="002661BA" w:rsidRDefault="002661BA">
            <w:pPr>
              <w:rPr>
                <w:rFonts w:ascii="宋体"/>
              </w:rPr>
            </w:pPr>
          </w:p>
        </w:tc>
        <w:tc>
          <w:tcPr>
            <w:tcW w:w="478" w:type="pct"/>
            <w:shd w:val="clear" w:color="auto" w:fill="auto"/>
            <w:vAlign w:val="bottom"/>
          </w:tcPr>
          <w:p w14:paraId="22CFA7DC" w14:textId="77777777" w:rsidR="002661BA" w:rsidRDefault="002661BA">
            <w:pPr>
              <w:rPr>
                <w:rFonts w:ascii="宋体"/>
              </w:rPr>
            </w:pPr>
          </w:p>
        </w:tc>
        <w:tc>
          <w:tcPr>
            <w:tcW w:w="5" w:type="pct"/>
            <w:shd w:val="clear" w:color="auto" w:fill="auto"/>
            <w:vAlign w:val="bottom"/>
          </w:tcPr>
          <w:p w14:paraId="22CFA7DD" w14:textId="77777777" w:rsidR="002661BA" w:rsidRDefault="002661BA">
            <w:pPr>
              <w:rPr>
                <w:rFonts w:ascii="宋体"/>
              </w:rPr>
            </w:pPr>
          </w:p>
        </w:tc>
        <w:tc>
          <w:tcPr>
            <w:tcW w:w="5" w:type="pct"/>
            <w:shd w:val="clear" w:color="auto" w:fill="auto"/>
            <w:vAlign w:val="bottom"/>
          </w:tcPr>
          <w:p w14:paraId="22CFA7DE" w14:textId="77777777" w:rsidR="002661BA" w:rsidRDefault="002661BA">
            <w:pPr>
              <w:rPr>
                <w:rFonts w:ascii="宋体"/>
              </w:rPr>
            </w:pPr>
          </w:p>
        </w:tc>
        <w:tc>
          <w:tcPr>
            <w:tcW w:w="19" w:type="pct"/>
            <w:shd w:val="clear" w:color="auto" w:fill="auto"/>
            <w:vAlign w:val="bottom"/>
          </w:tcPr>
          <w:p w14:paraId="22CFA7DF" w14:textId="77777777" w:rsidR="002661BA" w:rsidRDefault="002661BA">
            <w:pPr>
              <w:rPr>
                <w:rFonts w:ascii="宋体"/>
              </w:rPr>
            </w:pPr>
          </w:p>
        </w:tc>
        <w:tc>
          <w:tcPr>
            <w:tcW w:w="5" w:type="pct"/>
            <w:shd w:val="clear" w:color="auto" w:fill="auto"/>
            <w:vAlign w:val="bottom"/>
          </w:tcPr>
          <w:p w14:paraId="22CFA7E0" w14:textId="77777777" w:rsidR="002661BA" w:rsidRDefault="002661BA">
            <w:pPr>
              <w:rPr>
                <w:rFonts w:ascii="宋体"/>
              </w:rPr>
            </w:pPr>
          </w:p>
        </w:tc>
        <w:tc>
          <w:tcPr>
            <w:tcW w:w="50" w:type="pct"/>
            <w:shd w:val="clear" w:color="auto" w:fill="auto"/>
            <w:vAlign w:val="bottom"/>
          </w:tcPr>
          <w:p w14:paraId="22CFA7E1" w14:textId="77777777" w:rsidR="002661BA" w:rsidRDefault="002661BA">
            <w:pPr>
              <w:rPr>
                <w:rFonts w:ascii="宋体"/>
              </w:rPr>
            </w:pPr>
          </w:p>
        </w:tc>
        <w:tc>
          <w:tcPr>
            <w:tcW w:w="478" w:type="pct"/>
            <w:shd w:val="clear" w:color="auto" w:fill="auto"/>
            <w:vAlign w:val="bottom"/>
          </w:tcPr>
          <w:p w14:paraId="22CFA7E2" w14:textId="77777777" w:rsidR="002661BA" w:rsidRDefault="002661BA">
            <w:pPr>
              <w:rPr>
                <w:rFonts w:ascii="宋体"/>
              </w:rPr>
            </w:pPr>
          </w:p>
        </w:tc>
        <w:tc>
          <w:tcPr>
            <w:tcW w:w="5" w:type="pct"/>
            <w:shd w:val="clear" w:color="auto" w:fill="auto"/>
            <w:vAlign w:val="bottom"/>
          </w:tcPr>
          <w:p w14:paraId="22CFA7E3" w14:textId="77777777" w:rsidR="002661BA" w:rsidRDefault="002661BA">
            <w:pPr>
              <w:rPr>
                <w:rFonts w:ascii="宋体"/>
              </w:rPr>
            </w:pPr>
          </w:p>
        </w:tc>
        <w:tc>
          <w:tcPr>
            <w:tcW w:w="5" w:type="pct"/>
            <w:shd w:val="clear" w:color="auto" w:fill="auto"/>
            <w:vAlign w:val="bottom"/>
          </w:tcPr>
          <w:p w14:paraId="22CFA7E4" w14:textId="77777777" w:rsidR="002661BA" w:rsidRDefault="002661BA">
            <w:pPr>
              <w:rPr>
                <w:rFonts w:ascii="宋体"/>
              </w:rPr>
            </w:pPr>
          </w:p>
        </w:tc>
        <w:tc>
          <w:tcPr>
            <w:tcW w:w="19" w:type="pct"/>
            <w:shd w:val="clear" w:color="auto" w:fill="auto"/>
            <w:vAlign w:val="bottom"/>
          </w:tcPr>
          <w:p w14:paraId="22CFA7E5" w14:textId="77777777" w:rsidR="002661BA" w:rsidRDefault="002661BA">
            <w:pPr>
              <w:rPr>
                <w:rFonts w:ascii="宋体"/>
              </w:rPr>
            </w:pPr>
          </w:p>
        </w:tc>
        <w:tc>
          <w:tcPr>
            <w:tcW w:w="5" w:type="pct"/>
            <w:shd w:val="clear" w:color="auto" w:fill="auto"/>
            <w:vAlign w:val="bottom"/>
          </w:tcPr>
          <w:p w14:paraId="22CFA7E6" w14:textId="77777777" w:rsidR="002661BA" w:rsidRDefault="002661BA">
            <w:pPr>
              <w:rPr>
                <w:rFonts w:ascii="宋体"/>
              </w:rPr>
            </w:pPr>
          </w:p>
        </w:tc>
        <w:tc>
          <w:tcPr>
            <w:tcW w:w="50" w:type="pct"/>
            <w:shd w:val="clear" w:color="auto" w:fill="auto"/>
            <w:vAlign w:val="bottom"/>
          </w:tcPr>
          <w:p w14:paraId="22CFA7E7" w14:textId="77777777" w:rsidR="002661BA" w:rsidRDefault="002661BA">
            <w:pPr>
              <w:rPr>
                <w:rFonts w:ascii="宋体"/>
              </w:rPr>
            </w:pPr>
          </w:p>
        </w:tc>
        <w:tc>
          <w:tcPr>
            <w:tcW w:w="478" w:type="pct"/>
            <w:shd w:val="clear" w:color="auto" w:fill="auto"/>
            <w:vAlign w:val="bottom"/>
          </w:tcPr>
          <w:p w14:paraId="22CFA7E8" w14:textId="77777777" w:rsidR="002661BA" w:rsidRDefault="002661BA">
            <w:pPr>
              <w:rPr>
                <w:rFonts w:ascii="宋体"/>
              </w:rPr>
            </w:pPr>
          </w:p>
        </w:tc>
        <w:tc>
          <w:tcPr>
            <w:tcW w:w="5" w:type="pct"/>
            <w:shd w:val="clear" w:color="auto" w:fill="auto"/>
            <w:vAlign w:val="bottom"/>
          </w:tcPr>
          <w:p w14:paraId="22CFA7E9" w14:textId="77777777" w:rsidR="002661BA" w:rsidRDefault="002661BA">
            <w:pPr>
              <w:rPr>
                <w:rFonts w:ascii="宋体"/>
              </w:rPr>
            </w:pPr>
          </w:p>
        </w:tc>
      </w:tr>
      <w:tr w:rsidR="002661BA" w14:paraId="22CFA7ED" w14:textId="77777777">
        <w:trPr>
          <w:jc w:val="center"/>
        </w:trPr>
        <w:tc>
          <w:tcPr>
            <w:tcW w:w="0" w:type="auto"/>
            <w:gridSpan w:val="3"/>
            <w:shd w:val="clear" w:color="auto" w:fill="auto"/>
            <w:tcMar>
              <w:top w:w="40" w:type="dxa"/>
              <w:left w:w="20" w:type="dxa"/>
              <w:bottom w:w="40" w:type="dxa"/>
              <w:right w:w="20" w:type="dxa"/>
            </w:tcMar>
            <w:vAlign w:val="bottom"/>
          </w:tcPr>
          <w:p w14:paraId="22CFA7EB" w14:textId="77777777" w:rsidR="002661BA" w:rsidRDefault="00D972BC">
            <w:pPr>
              <w:textAlignment w:val="bottom"/>
            </w:pPr>
            <w:r>
              <w:rPr>
                <w:rFonts w:ascii="Arial" w:eastAsia="宋体" w:hAnsi="Arial" w:cs="Arial"/>
                <w:color w:val="000000"/>
                <w:sz w:val="17"/>
                <w:szCs w:val="17"/>
              </w:rPr>
              <w:t> </w:t>
            </w:r>
          </w:p>
        </w:tc>
        <w:tc>
          <w:tcPr>
            <w:tcW w:w="0" w:type="auto"/>
            <w:gridSpan w:val="27"/>
            <w:shd w:val="clear" w:color="auto" w:fill="auto"/>
            <w:tcMar>
              <w:top w:w="40" w:type="dxa"/>
              <w:left w:w="20" w:type="dxa"/>
              <w:bottom w:w="40" w:type="dxa"/>
              <w:right w:w="20" w:type="dxa"/>
            </w:tcMar>
            <w:vAlign w:val="bottom"/>
          </w:tcPr>
          <w:p w14:paraId="22CFA7EC"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A7F8" w14:textId="77777777">
        <w:trPr>
          <w:jc w:val="center"/>
        </w:trPr>
        <w:tc>
          <w:tcPr>
            <w:tcW w:w="0" w:type="auto"/>
            <w:gridSpan w:val="3"/>
            <w:shd w:val="clear" w:color="auto" w:fill="auto"/>
            <w:tcMar>
              <w:top w:w="40" w:type="dxa"/>
              <w:left w:w="20" w:type="dxa"/>
              <w:bottom w:w="40" w:type="dxa"/>
              <w:right w:w="20" w:type="dxa"/>
            </w:tcMar>
            <w:vAlign w:val="bottom"/>
          </w:tcPr>
          <w:p w14:paraId="22CFA7EE"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7EF"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7F0"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7F1" w14:textId="77777777" w:rsidR="002661BA" w:rsidRDefault="00D972BC">
            <w:pPr>
              <w:jc w:val="center"/>
              <w:textAlignment w:val="bottom"/>
            </w:pPr>
            <w:r>
              <w:rPr>
                <w:rFonts w:ascii="Arial" w:eastAsia="宋体" w:hAnsi="Arial" w:cs="Arial"/>
                <w:b/>
                <w:bCs/>
                <w:color w:val="000000"/>
                <w:sz w:val="17"/>
                <w:szCs w:val="17"/>
              </w:rPr>
              <w:t>% Change</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7F2"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7F3"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7F4"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7F5" w14:textId="77777777" w:rsidR="002661BA" w:rsidRDefault="00D972BC">
            <w:pPr>
              <w:jc w:val="center"/>
              <w:textAlignment w:val="bottom"/>
            </w:pPr>
            <w:r>
              <w:rPr>
                <w:rFonts w:ascii="Arial" w:eastAsia="宋体" w:hAnsi="Arial" w:cs="Arial"/>
                <w:b/>
                <w:bCs/>
                <w:color w:val="000000"/>
                <w:sz w:val="17"/>
                <w:szCs w:val="17"/>
              </w:rPr>
              <w:t>% Change</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7F6"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7F7"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A80B" w14:textId="77777777">
        <w:trPr>
          <w:jc w:val="center"/>
        </w:trPr>
        <w:tc>
          <w:tcPr>
            <w:tcW w:w="0" w:type="auto"/>
            <w:gridSpan w:val="3"/>
            <w:shd w:val="clear" w:color="auto" w:fill="E2E2E2"/>
            <w:tcMar>
              <w:top w:w="40" w:type="dxa"/>
              <w:left w:w="20" w:type="dxa"/>
              <w:bottom w:w="40" w:type="dxa"/>
              <w:right w:w="20" w:type="dxa"/>
            </w:tcMar>
            <w:vAlign w:val="bottom"/>
          </w:tcPr>
          <w:p w14:paraId="22CFA7F9" w14:textId="77777777" w:rsidR="002661BA" w:rsidRDefault="00D972BC">
            <w:pPr>
              <w:textAlignment w:val="bottom"/>
            </w:pPr>
            <w:r>
              <w:rPr>
                <w:rFonts w:ascii="Arial" w:eastAsia="宋体" w:hAnsi="Arial" w:cs="Arial"/>
                <w:color w:val="000000"/>
                <w:sz w:val="18"/>
                <w:szCs w:val="18"/>
              </w:rPr>
              <w:t>Cost of net revenues</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A7FA"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7FB" w14:textId="77777777" w:rsidR="002661BA" w:rsidRDefault="00D972BC">
            <w:pPr>
              <w:jc w:val="right"/>
              <w:textAlignment w:val="bottom"/>
            </w:pPr>
            <w:r>
              <w:rPr>
                <w:rFonts w:ascii="Arial" w:eastAsia="宋体" w:hAnsi="Arial" w:cs="Arial"/>
                <w:color w:val="000000"/>
                <w:sz w:val="18"/>
                <w:szCs w:val="18"/>
              </w:rPr>
              <w:t>2,650 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7FC"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7FD"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7FE" w14:textId="77777777" w:rsidR="002661BA" w:rsidRDefault="00D972BC">
            <w:pPr>
              <w:jc w:val="right"/>
              <w:textAlignment w:val="bottom"/>
            </w:pPr>
            <w:r>
              <w:rPr>
                <w:rFonts w:ascii="Arial" w:eastAsia="宋体" w:hAnsi="Arial" w:cs="Arial"/>
                <w:color w:val="000000"/>
                <w:sz w:val="18"/>
                <w:szCs w:val="18"/>
              </w:rPr>
              <w:t>47 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7FF"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40" w:type="dxa"/>
              <w:left w:w="20" w:type="dxa"/>
              <w:bottom w:w="40" w:type="dxa"/>
              <w:right w:w="20" w:type="dxa"/>
            </w:tcMar>
            <w:vAlign w:val="bottom"/>
          </w:tcPr>
          <w:p w14:paraId="22CFA800"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A80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802" w14:textId="77777777" w:rsidR="002661BA" w:rsidRDefault="00D972BC">
            <w:pPr>
              <w:jc w:val="right"/>
              <w:textAlignment w:val="bottom"/>
            </w:pPr>
            <w:r>
              <w:rPr>
                <w:rFonts w:ascii="Arial" w:eastAsia="宋体" w:hAnsi="Arial" w:cs="Arial"/>
                <w:color w:val="000000"/>
                <w:sz w:val="18"/>
                <w:szCs w:val="18"/>
              </w:rPr>
              <w:t>1,797 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803"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804"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805" w14:textId="77777777" w:rsidR="002661BA" w:rsidRDefault="00D972BC">
            <w:pPr>
              <w:jc w:val="right"/>
              <w:textAlignment w:val="bottom"/>
            </w:pPr>
            <w:r>
              <w:rPr>
                <w:rFonts w:ascii="Arial" w:eastAsia="宋体" w:hAnsi="Arial" w:cs="Arial"/>
                <w:color w:val="000000"/>
                <w:sz w:val="18"/>
                <w:szCs w:val="18"/>
              </w:rPr>
              <w:t>13 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806"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40" w:type="dxa"/>
              <w:left w:w="20" w:type="dxa"/>
              <w:bottom w:w="40" w:type="dxa"/>
              <w:right w:w="20" w:type="dxa"/>
            </w:tcMar>
            <w:vAlign w:val="bottom"/>
          </w:tcPr>
          <w:p w14:paraId="22CFA807"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A80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809" w14:textId="77777777" w:rsidR="002661BA" w:rsidRDefault="00D972BC">
            <w:pPr>
              <w:jc w:val="right"/>
              <w:textAlignment w:val="bottom"/>
            </w:pPr>
            <w:r>
              <w:rPr>
                <w:rFonts w:ascii="Arial" w:eastAsia="宋体" w:hAnsi="Arial" w:cs="Arial"/>
                <w:color w:val="000000"/>
                <w:sz w:val="18"/>
                <w:szCs w:val="18"/>
              </w:rPr>
              <w:t>1,585 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80A" w14:textId="77777777" w:rsidR="002661BA" w:rsidRDefault="002661BA">
            <w:pPr>
              <w:jc w:val="right"/>
              <w:rPr>
                <w:rFonts w:ascii="宋体"/>
              </w:rPr>
            </w:pPr>
          </w:p>
        </w:tc>
      </w:tr>
      <w:tr w:rsidR="002661BA" w14:paraId="22CFA819" w14:textId="77777777">
        <w:trPr>
          <w:jc w:val="center"/>
        </w:trPr>
        <w:tc>
          <w:tcPr>
            <w:tcW w:w="0" w:type="auto"/>
            <w:gridSpan w:val="3"/>
            <w:shd w:val="clear" w:color="auto" w:fill="FFFFFF"/>
            <w:tcMar>
              <w:top w:w="40" w:type="dxa"/>
              <w:left w:w="155" w:type="dxa"/>
              <w:bottom w:w="40" w:type="dxa"/>
              <w:right w:w="20" w:type="dxa"/>
            </w:tcMar>
            <w:vAlign w:val="bottom"/>
          </w:tcPr>
          <w:p w14:paraId="22CFA80C" w14:textId="77777777" w:rsidR="002661BA" w:rsidRDefault="00D972BC">
            <w:pPr>
              <w:textAlignment w:val="bottom"/>
            </w:pPr>
            <w:r>
              <w:rPr>
                <w:rFonts w:ascii="Arial" w:eastAsia="宋体" w:hAnsi="Arial" w:cs="Arial"/>
                <w:i/>
                <w:iCs/>
                <w:color w:val="000000"/>
                <w:sz w:val="18"/>
                <w:szCs w:val="18"/>
              </w:rPr>
              <w:t>% of net revenues</w:t>
            </w:r>
          </w:p>
        </w:tc>
        <w:tc>
          <w:tcPr>
            <w:tcW w:w="0" w:type="auto"/>
            <w:gridSpan w:val="2"/>
            <w:shd w:val="clear" w:color="auto" w:fill="FFFFFF"/>
            <w:tcMar>
              <w:top w:w="40" w:type="dxa"/>
              <w:left w:w="20" w:type="dxa"/>
              <w:bottom w:w="40" w:type="dxa"/>
              <w:right w:w="0" w:type="dxa"/>
            </w:tcMar>
            <w:vAlign w:val="bottom"/>
          </w:tcPr>
          <w:p w14:paraId="22CFA80D" w14:textId="77777777" w:rsidR="002661BA" w:rsidRDefault="00D972BC">
            <w:pPr>
              <w:jc w:val="right"/>
              <w:textAlignment w:val="bottom"/>
            </w:pPr>
            <w:r>
              <w:rPr>
                <w:rFonts w:ascii="Arial" w:eastAsia="宋体" w:hAnsi="Arial" w:cs="Arial"/>
                <w:i/>
                <w:iCs/>
                <w:color w:val="000000"/>
                <w:sz w:val="18"/>
                <w:szCs w:val="18"/>
              </w:rPr>
              <w:t>25 </w:t>
            </w:r>
          </w:p>
        </w:tc>
        <w:tc>
          <w:tcPr>
            <w:tcW w:w="0" w:type="auto"/>
            <w:shd w:val="clear" w:color="auto" w:fill="FFFFFF"/>
            <w:tcMar>
              <w:top w:w="40" w:type="dxa"/>
              <w:left w:w="0" w:type="dxa"/>
              <w:bottom w:w="40" w:type="dxa"/>
              <w:right w:w="20" w:type="dxa"/>
            </w:tcMar>
            <w:vAlign w:val="bottom"/>
          </w:tcPr>
          <w:p w14:paraId="22CFA80E"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80F"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810"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811"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812" w14:textId="77777777" w:rsidR="002661BA" w:rsidRDefault="00D972BC">
            <w:pPr>
              <w:jc w:val="right"/>
              <w:textAlignment w:val="bottom"/>
            </w:pPr>
            <w:r>
              <w:rPr>
                <w:rFonts w:ascii="Arial" w:eastAsia="宋体" w:hAnsi="Arial" w:cs="Arial"/>
                <w:i/>
                <w:iCs/>
                <w:color w:val="000000"/>
                <w:sz w:val="18"/>
                <w:szCs w:val="18"/>
              </w:rPr>
              <w:t>20 </w:t>
            </w:r>
          </w:p>
        </w:tc>
        <w:tc>
          <w:tcPr>
            <w:tcW w:w="0" w:type="auto"/>
            <w:shd w:val="clear" w:color="auto" w:fill="FFFFFF"/>
            <w:tcMar>
              <w:top w:w="40" w:type="dxa"/>
              <w:left w:w="0" w:type="dxa"/>
              <w:bottom w:w="40" w:type="dxa"/>
              <w:right w:w="20" w:type="dxa"/>
            </w:tcMar>
            <w:vAlign w:val="bottom"/>
          </w:tcPr>
          <w:p w14:paraId="22CFA813"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814"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815"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816"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817" w14:textId="77777777" w:rsidR="002661BA" w:rsidRDefault="00D972BC">
            <w:pPr>
              <w:jc w:val="right"/>
              <w:textAlignment w:val="bottom"/>
            </w:pPr>
            <w:r>
              <w:rPr>
                <w:rFonts w:ascii="Arial" w:eastAsia="宋体" w:hAnsi="Arial" w:cs="Arial"/>
                <w:i/>
                <w:iCs/>
                <w:color w:val="000000"/>
                <w:sz w:val="18"/>
                <w:szCs w:val="18"/>
              </w:rPr>
              <w:t>21 </w:t>
            </w:r>
          </w:p>
        </w:tc>
        <w:tc>
          <w:tcPr>
            <w:tcW w:w="0" w:type="auto"/>
            <w:shd w:val="clear" w:color="auto" w:fill="FFFFFF"/>
            <w:tcMar>
              <w:top w:w="40" w:type="dxa"/>
              <w:left w:w="0" w:type="dxa"/>
              <w:bottom w:w="40" w:type="dxa"/>
              <w:right w:w="20" w:type="dxa"/>
            </w:tcMar>
            <w:vAlign w:val="bottom"/>
          </w:tcPr>
          <w:p w14:paraId="22CFA818" w14:textId="77777777" w:rsidR="002661BA" w:rsidRDefault="00D972BC">
            <w:pPr>
              <w:jc w:val="right"/>
              <w:textAlignment w:val="bottom"/>
            </w:pPr>
            <w:r>
              <w:rPr>
                <w:rFonts w:ascii="Arial" w:eastAsia="宋体" w:hAnsi="Arial" w:cs="Arial"/>
                <w:i/>
                <w:iCs/>
                <w:color w:val="000000"/>
                <w:sz w:val="18"/>
                <w:szCs w:val="18"/>
              </w:rPr>
              <w:t>%</w:t>
            </w:r>
          </w:p>
        </w:tc>
      </w:tr>
    </w:tbl>
    <w:p w14:paraId="22CFA81A" w14:textId="77777777" w:rsidR="002661BA" w:rsidRDefault="002661BA">
      <w:pPr>
        <w:jc w:val="both"/>
      </w:pPr>
    </w:p>
    <w:p w14:paraId="22CFA81B" w14:textId="77777777" w:rsidR="002661BA" w:rsidRDefault="00D972BC">
      <w:pPr>
        <w:ind w:firstLine="540"/>
        <w:jc w:val="both"/>
      </w:pPr>
      <w:r>
        <w:rPr>
          <w:rFonts w:ascii="Arial" w:eastAsia="宋体" w:hAnsi="Arial" w:cs="Arial"/>
          <w:color w:val="000000"/>
          <w:sz w:val="20"/>
          <w:szCs w:val="20"/>
        </w:rPr>
        <w:t>Cost of net revenues, net of immaterial hedging activities, was unfavorably impacted by $30 million attributable to foreign currency movements relative to the U.S. dollar in 2021 compared to 2020. The increase in cost of net revenues in 2021 compared to 2</w:t>
      </w:r>
      <w:r>
        <w:rPr>
          <w:rFonts w:ascii="Arial" w:eastAsia="宋体" w:hAnsi="Arial" w:cs="Arial"/>
          <w:color w:val="000000"/>
          <w:sz w:val="20"/>
          <w:szCs w:val="20"/>
        </w:rPr>
        <w:t>020 was primarily due to an increase in payment processing costs as we transitioned customers to our payments platform throughout 2021 and an unfavorable impact from foreign currency movements relative to the U.S. dollar.</w:t>
      </w:r>
    </w:p>
    <w:p w14:paraId="22CFA81C" w14:textId="77777777" w:rsidR="002661BA" w:rsidRDefault="00D972BC">
      <w:pPr>
        <w:jc w:val="center"/>
      </w:pPr>
      <w:r>
        <w:rPr>
          <w:rFonts w:ascii="Arial" w:eastAsia="宋体" w:hAnsi="Arial" w:cs="Arial"/>
          <w:color w:val="000000"/>
          <w:sz w:val="18"/>
          <w:szCs w:val="18"/>
        </w:rPr>
        <w:t>36</w:t>
      </w:r>
    </w:p>
    <w:p w14:paraId="22CFA81D" w14:textId="77777777" w:rsidR="002661BA" w:rsidRDefault="00D972BC">
      <w:r>
        <w:pict w14:anchorId="22CFE4D5">
          <v:rect id="_x0000_i1060" style="width:415.3pt;height:1.5pt" o:hralign="center" o:hrstd="t" o:hr="t" fillcolor="#a0a0a0" stroked="f"/>
        </w:pict>
      </w:r>
    </w:p>
    <w:p w14:paraId="22CFA81E" w14:textId="77777777" w:rsidR="002661BA" w:rsidRDefault="00D972BC">
      <w:hyperlink r:id="rId62" w:anchor="id0d7a71b05ce452ea9fdb54f3cb359c7_7" w:history="1">
        <w:r>
          <w:rPr>
            <w:rStyle w:val="a5"/>
            <w:rFonts w:ascii="Arial" w:eastAsia="宋体" w:hAnsi="Arial" w:cs="Arial"/>
            <w:sz w:val="18"/>
            <w:szCs w:val="18"/>
          </w:rPr>
          <w:t>Table of Contents</w:t>
        </w:r>
      </w:hyperlink>
    </w:p>
    <w:p w14:paraId="22CFA81F" w14:textId="77777777" w:rsidR="002661BA" w:rsidRDefault="00D972BC">
      <w:pPr>
        <w:jc w:val="both"/>
      </w:pPr>
      <w:r>
        <w:rPr>
          <w:rFonts w:ascii="Arial" w:eastAsia="宋体" w:hAnsi="Arial" w:cs="Arial"/>
          <w:b/>
          <w:bCs/>
          <w:i/>
          <w:iCs/>
          <w:color w:val="000000"/>
          <w:sz w:val="20"/>
          <w:szCs w:val="20"/>
        </w:rPr>
        <w:t>Operating Expenses</w:t>
      </w:r>
    </w:p>
    <w:p w14:paraId="22CFA820" w14:textId="77777777" w:rsidR="002661BA" w:rsidRDefault="002661BA">
      <w:pPr>
        <w:ind w:firstLine="450"/>
        <w:jc w:val="both"/>
      </w:pPr>
    </w:p>
    <w:p w14:paraId="22CFA821" w14:textId="77777777" w:rsidR="002661BA" w:rsidRDefault="00D972BC">
      <w:pPr>
        <w:spacing w:after="120"/>
        <w:ind w:firstLine="540"/>
        <w:jc w:val="both"/>
      </w:pPr>
      <w:r>
        <w:rPr>
          <w:rFonts w:ascii="Arial" w:eastAsia="宋体" w:hAnsi="Arial" w:cs="Arial"/>
          <w:color w:val="000000"/>
          <w:sz w:val="20"/>
          <w:szCs w:val="20"/>
        </w:rPr>
        <w:t>The following table presents operating expenses for the periods indicated (in millions, except</w:t>
      </w:r>
      <w:r>
        <w:rPr>
          <w:rFonts w:ascii="Arial" w:eastAsia="宋体" w:hAnsi="Arial" w:cs="Arial"/>
          <w:color w:val="000000"/>
          <w:sz w:val="20"/>
          <w:szCs w:val="20"/>
        </w:rPr>
        <w:t xml:space="preserve"> percentages): </w:t>
      </w:r>
    </w:p>
    <w:tbl>
      <w:tblPr>
        <w:tblW w:w="5000" w:type="pct"/>
        <w:tblCellMar>
          <w:top w:w="15" w:type="dxa"/>
          <w:left w:w="15" w:type="dxa"/>
          <w:bottom w:w="15" w:type="dxa"/>
          <w:right w:w="15" w:type="dxa"/>
        </w:tblCellMar>
        <w:tblLook w:val="04A0" w:firstRow="1" w:lastRow="0" w:firstColumn="1" w:lastColumn="0" w:noHBand="0" w:noVBand="1"/>
      </w:tblPr>
      <w:tblGrid>
        <w:gridCol w:w="40"/>
        <w:gridCol w:w="3370"/>
        <w:gridCol w:w="39"/>
        <w:gridCol w:w="121"/>
        <w:gridCol w:w="659"/>
        <w:gridCol w:w="181"/>
        <w:gridCol w:w="36"/>
        <w:gridCol w:w="36"/>
        <w:gridCol w:w="36"/>
        <w:gridCol w:w="63"/>
        <w:gridCol w:w="595"/>
        <w:gridCol w:w="181"/>
        <w:gridCol w:w="36"/>
        <w:gridCol w:w="36"/>
        <w:gridCol w:w="36"/>
        <w:gridCol w:w="121"/>
        <w:gridCol w:w="605"/>
        <w:gridCol w:w="181"/>
        <w:gridCol w:w="36"/>
        <w:gridCol w:w="36"/>
        <w:gridCol w:w="36"/>
        <w:gridCol w:w="63"/>
        <w:gridCol w:w="595"/>
        <w:gridCol w:w="181"/>
        <w:gridCol w:w="36"/>
        <w:gridCol w:w="36"/>
        <w:gridCol w:w="36"/>
        <w:gridCol w:w="121"/>
        <w:gridCol w:w="607"/>
        <w:gridCol w:w="181"/>
      </w:tblGrid>
      <w:tr w:rsidR="002661BA" w14:paraId="22CFA840" w14:textId="77777777">
        <w:tc>
          <w:tcPr>
            <w:tcW w:w="50" w:type="pct"/>
            <w:shd w:val="clear" w:color="auto" w:fill="auto"/>
            <w:vAlign w:val="bottom"/>
          </w:tcPr>
          <w:p w14:paraId="22CFA822" w14:textId="77777777" w:rsidR="002661BA" w:rsidRDefault="002661BA">
            <w:pPr>
              <w:rPr>
                <w:rFonts w:ascii="宋体"/>
              </w:rPr>
            </w:pPr>
          </w:p>
        </w:tc>
        <w:tc>
          <w:tcPr>
            <w:tcW w:w="2159" w:type="pct"/>
            <w:shd w:val="clear" w:color="auto" w:fill="auto"/>
            <w:vAlign w:val="bottom"/>
          </w:tcPr>
          <w:p w14:paraId="22CFA823" w14:textId="77777777" w:rsidR="002661BA" w:rsidRDefault="002661BA">
            <w:pPr>
              <w:rPr>
                <w:rFonts w:ascii="宋体"/>
              </w:rPr>
            </w:pPr>
          </w:p>
        </w:tc>
        <w:tc>
          <w:tcPr>
            <w:tcW w:w="5" w:type="pct"/>
            <w:shd w:val="clear" w:color="auto" w:fill="auto"/>
            <w:vAlign w:val="bottom"/>
          </w:tcPr>
          <w:p w14:paraId="22CFA824" w14:textId="77777777" w:rsidR="002661BA" w:rsidRDefault="002661BA">
            <w:pPr>
              <w:rPr>
                <w:rFonts w:ascii="宋体"/>
              </w:rPr>
            </w:pPr>
          </w:p>
        </w:tc>
        <w:tc>
          <w:tcPr>
            <w:tcW w:w="50" w:type="pct"/>
            <w:shd w:val="clear" w:color="auto" w:fill="auto"/>
            <w:vAlign w:val="bottom"/>
          </w:tcPr>
          <w:p w14:paraId="22CFA825" w14:textId="77777777" w:rsidR="002661BA" w:rsidRDefault="002661BA">
            <w:pPr>
              <w:rPr>
                <w:rFonts w:ascii="宋体"/>
              </w:rPr>
            </w:pPr>
          </w:p>
        </w:tc>
        <w:tc>
          <w:tcPr>
            <w:tcW w:w="478" w:type="pct"/>
            <w:shd w:val="clear" w:color="auto" w:fill="auto"/>
            <w:vAlign w:val="bottom"/>
          </w:tcPr>
          <w:p w14:paraId="22CFA826" w14:textId="77777777" w:rsidR="002661BA" w:rsidRDefault="002661BA">
            <w:pPr>
              <w:rPr>
                <w:rFonts w:ascii="宋体"/>
              </w:rPr>
            </w:pPr>
          </w:p>
        </w:tc>
        <w:tc>
          <w:tcPr>
            <w:tcW w:w="5" w:type="pct"/>
            <w:shd w:val="clear" w:color="auto" w:fill="auto"/>
            <w:vAlign w:val="bottom"/>
          </w:tcPr>
          <w:p w14:paraId="22CFA827" w14:textId="77777777" w:rsidR="002661BA" w:rsidRDefault="002661BA">
            <w:pPr>
              <w:rPr>
                <w:rFonts w:ascii="宋体"/>
              </w:rPr>
            </w:pPr>
          </w:p>
        </w:tc>
        <w:tc>
          <w:tcPr>
            <w:tcW w:w="5" w:type="pct"/>
            <w:shd w:val="clear" w:color="auto" w:fill="auto"/>
            <w:vAlign w:val="bottom"/>
          </w:tcPr>
          <w:p w14:paraId="22CFA828" w14:textId="77777777" w:rsidR="002661BA" w:rsidRDefault="002661BA">
            <w:pPr>
              <w:rPr>
                <w:rFonts w:ascii="宋体"/>
              </w:rPr>
            </w:pPr>
          </w:p>
        </w:tc>
        <w:tc>
          <w:tcPr>
            <w:tcW w:w="19" w:type="pct"/>
            <w:shd w:val="clear" w:color="auto" w:fill="auto"/>
            <w:vAlign w:val="bottom"/>
          </w:tcPr>
          <w:p w14:paraId="22CFA829" w14:textId="77777777" w:rsidR="002661BA" w:rsidRDefault="002661BA">
            <w:pPr>
              <w:rPr>
                <w:rFonts w:ascii="宋体"/>
              </w:rPr>
            </w:pPr>
          </w:p>
        </w:tc>
        <w:tc>
          <w:tcPr>
            <w:tcW w:w="5" w:type="pct"/>
            <w:shd w:val="clear" w:color="auto" w:fill="auto"/>
            <w:vAlign w:val="bottom"/>
          </w:tcPr>
          <w:p w14:paraId="22CFA82A" w14:textId="77777777" w:rsidR="002661BA" w:rsidRDefault="002661BA">
            <w:pPr>
              <w:rPr>
                <w:rFonts w:ascii="宋体"/>
              </w:rPr>
            </w:pPr>
          </w:p>
        </w:tc>
        <w:tc>
          <w:tcPr>
            <w:tcW w:w="50" w:type="pct"/>
            <w:shd w:val="clear" w:color="auto" w:fill="auto"/>
            <w:vAlign w:val="bottom"/>
          </w:tcPr>
          <w:p w14:paraId="22CFA82B" w14:textId="77777777" w:rsidR="002661BA" w:rsidRDefault="002661BA">
            <w:pPr>
              <w:rPr>
                <w:rFonts w:ascii="宋体"/>
              </w:rPr>
            </w:pPr>
          </w:p>
        </w:tc>
        <w:tc>
          <w:tcPr>
            <w:tcW w:w="478" w:type="pct"/>
            <w:shd w:val="clear" w:color="auto" w:fill="auto"/>
            <w:vAlign w:val="bottom"/>
          </w:tcPr>
          <w:p w14:paraId="22CFA82C" w14:textId="77777777" w:rsidR="002661BA" w:rsidRDefault="002661BA">
            <w:pPr>
              <w:rPr>
                <w:rFonts w:ascii="宋体"/>
              </w:rPr>
            </w:pPr>
          </w:p>
        </w:tc>
        <w:tc>
          <w:tcPr>
            <w:tcW w:w="5" w:type="pct"/>
            <w:shd w:val="clear" w:color="auto" w:fill="auto"/>
            <w:vAlign w:val="bottom"/>
          </w:tcPr>
          <w:p w14:paraId="22CFA82D" w14:textId="77777777" w:rsidR="002661BA" w:rsidRDefault="002661BA">
            <w:pPr>
              <w:rPr>
                <w:rFonts w:ascii="宋体"/>
              </w:rPr>
            </w:pPr>
          </w:p>
        </w:tc>
        <w:tc>
          <w:tcPr>
            <w:tcW w:w="5" w:type="pct"/>
            <w:shd w:val="clear" w:color="auto" w:fill="auto"/>
            <w:vAlign w:val="bottom"/>
          </w:tcPr>
          <w:p w14:paraId="22CFA82E" w14:textId="77777777" w:rsidR="002661BA" w:rsidRDefault="002661BA">
            <w:pPr>
              <w:rPr>
                <w:rFonts w:ascii="宋体"/>
              </w:rPr>
            </w:pPr>
          </w:p>
        </w:tc>
        <w:tc>
          <w:tcPr>
            <w:tcW w:w="19" w:type="pct"/>
            <w:shd w:val="clear" w:color="auto" w:fill="auto"/>
            <w:vAlign w:val="bottom"/>
          </w:tcPr>
          <w:p w14:paraId="22CFA82F" w14:textId="77777777" w:rsidR="002661BA" w:rsidRDefault="002661BA">
            <w:pPr>
              <w:rPr>
                <w:rFonts w:ascii="宋体"/>
              </w:rPr>
            </w:pPr>
          </w:p>
        </w:tc>
        <w:tc>
          <w:tcPr>
            <w:tcW w:w="5" w:type="pct"/>
            <w:shd w:val="clear" w:color="auto" w:fill="auto"/>
            <w:vAlign w:val="bottom"/>
          </w:tcPr>
          <w:p w14:paraId="22CFA830" w14:textId="77777777" w:rsidR="002661BA" w:rsidRDefault="002661BA">
            <w:pPr>
              <w:rPr>
                <w:rFonts w:ascii="宋体"/>
              </w:rPr>
            </w:pPr>
          </w:p>
        </w:tc>
        <w:tc>
          <w:tcPr>
            <w:tcW w:w="50" w:type="pct"/>
            <w:shd w:val="clear" w:color="auto" w:fill="auto"/>
            <w:vAlign w:val="bottom"/>
          </w:tcPr>
          <w:p w14:paraId="22CFA831" w14:textId="77777777" w:rsidR="002661BA" w:rsidRDefault="002661BA">
            <w:pPr>
              <w:rPr>
                <w:rFonts w:ascii="宋体"/>
              </w:rPr>
            </w:pPr>
          </w:p>
        </w:tc>
        <w:tc>
          <w:tcPr>
            <w:tcW w:w="478" w:type="pct"/>
            <w:shd w:val="clear" w:color="auto" w:fill="auto"/>
            <w:vAlign w:val="bottom"/>
          </w:tcPr>
          <w:p w14:paraId="22CFA832" w14:textId="77777777" w:rsidR="002661BA" w:rsidRDefault="002661BA">
            <w:pPr>
              <w:rPr>
                <w:rFonts w:ascii="宋体"/>
              </w:rPr>
            </w:pPr>
          </w:p>
        </w:tc>
        <w:tc>
          <w:tcPr>
            <w:tcW w:w="5" w:type="pct"/>
            <w:shd w:val="clear" w:color="auto" w:fill="auto"/>
            <w:vAlign w:val="bottom"/>
          </w:tcPr>
          <w:p w14:paraId="22CFA833" w14:textId="77777777" w:rsidR="002661BA" w:rsidRDefault="002661BA">
            <w:pPr>
              <w:rPr>
                <w:rFonts w:ascii="宋体"/>
              </w:rPr>
            </w:pPr>
          </w:p>
        </w:tc>
        <w:tc>
          <w:tcPr>
            <w:tcW w:w="5" w:type="pct"/>
            <w:shd w:val="clear" w:color="auto" w:fill="auto"/>
            <w:vAlign w:val="bottom"/>
          </w:tcPr>
          <w:p w14:paraId="22CFA834" w14:textId="77777777" w:rsidR="002661BA" w:rsidRDefault="002661BA">
            <w:pPr>
              <w:rPr>
                <w:rFonts w:ascii="宋体"/>
              </w:rPr>
            </w:pPr>
          </w:p>
        </w:tc>
        <w:tc>
          <w:tcPr>
            <w:tcW w:w="19" w:type="pct"/>
            <w:shd w:val="clear" w:color="auto" w:fill="auto"/>
            <w:vAlign w:val="bottom"/>
          </w:tcPr>
          <w:p w14:paraId="22CFA835" w14:textId="77777777" w:rsidR="002661BA" w:rsidRDefault="002661BA">
            <w:pPr>
              <w:rPr>
                <w:rFonts w:ascii="宋体"/>
              </w:rPr>
            </w:pPr>
          </w:p>
        </w:tc>
        <w:tc>
          <w:tcPr>
            <w:tcW w:w="5" w:type="pct"/>
            <w:shd w:val="clear" w:color="auto" w:fill="auto"/>
            <w:vAlign w:val="bottom"/>
          </w:tcPr>
          <w:p w14:paraId="22CFA836" w14:textId="77777777" w:rsidR="002661BA" w:rsidRDefault="002661BA">
            <w:pPr>
              <w:rPr>
                <w:rFonts w:ascii="宋体"/>
              </w:rPr>
            </w:pPr>
          </w:p>
        </w:tc>
        <w:tc>
          <w:tcPr>
            <w:tcW w:w="50" w:type="pct"/>
            <w:shd w:val="clear" w:color="auto" w:fill="auto"/>
            <w:vAlign w:val="bottom"/>
          </w:tcPr>
          <w:p w14:paraId="22CFA837" w14:textId="77777777" w:rsidR="002661BA" w:rsidRDefault="002661BA">
            <w:pPr>
              <w:rPr>
                <w:rFonts w:ascii="宋体"/>
              </w:rPr>
            </w:pPr>
          </w:p>
        </w:tc>
        <w:tc>
          <w:tcPr>
            <w:tcW w:w="478" w:type="pct"/>
            <w:shd w:val="clear" w:color="auto" w:fill="auto"/>
            <w:vAlign w:val="bottom"/>
          </w:tcPr>
          <w:p w14:paraId="22CFA838" w14:textId="77777777" w:rsidR="002661BA" w:rsidRDefault="002661BA">
            <w:pPr>
              <w:rPr>
                <w:rFonts w:ascii="宋体"/>
              </w:rPr>
            </w:pPr>
          </w:p>
        </w:tc>
        <w:tc>
          <w:tcPr>
            <w:tcW w:w="5" w:type="pct"/>
            <w:shd w:val="clear" w:color="auto" w:fill="auto"/>
            <w:vAlign w:val="bottom"/>
          </w:tcPr>
          <w:p w14:paraId="22CFA839" w14:textId="77777777" w:rsidR="002661BA" w:rsidRDefault="002661BA">
            <w:pPr>
              <w:rPr>
                <w:rFonts w:ascii="宋体"/>
              </w:rPr>
            </w:pPr>
          </w:p>
        </w:tc>
        <w:tc>
          <w:tcPr>
            <w:tcW w:w="5" w:type="pct"/>
            <w:shd w:val="clear" w:color="auto" w:fill="auto"/>
            <w:vAlign w:val="bottom"/>
          </w:tcPr>
          <w:p w14:paraId="22CFA83A" w14:textId="77777777" w:rsidR="002661BA" w:rsidRDefault="002661BA">
            <w:pPr>
              <w:rPr>
                <w:rFonts w:ascii="宋体"/>
              </w:rPr>
            </w:pPr>
          </w:p>
        </w:tc>
        <w:tc>
          <w:tcPr>
            <w:tcW w:w="19" w:type="pct"/>
            <w:shd w:val="clear" w:color="auto" w:fill="auto"/>
            <w:vAlign w:val="bottom"/>
          </w:tcPr>
          <w:p w14:paraId="22CFA83B" w14:textId="77777777" w:rsidR="002661BA" w:rsidRDefault="002661BA">
            <w:pPr>
              <w:rPr>
                <w:rFonts w:ascii="宋体"/>
              </w:rPr>
            </w:pPr>
          </w:p>
        </w:tc>
        <w:tc>
          <w:tcPr>
            <w:tcW w:w="5" w:type="pct"/>
            <w:shd w:val="clear" w:color="auto" w:fill="auto"/>
            <w:vAlign w:val="bottom"/>
          </w:tcPr>
          <w:p w14:paraId="22CFA83C" w14:textId="77777777" w:rsidR="002661BA" w:rsidRDefault="002661BA">
            <w:pPr>
              <w:rPr>
                <w:rFonts w:ascii="宋体"/>
              </w:rPr>
            </w:pPr>
          </w:p>
        </w:tc>
        <w:tc>
          <w:tcPr>
            <w:tcW w:w="50" w:type="pct"/>
            <w:shd w:val="clear" w:color="auto" w:fill="auto"/>
            <w:vAlign w:val="bottom"/>
          </w:tcPr>
          <w:p w14:paraId="22CFA83D" w14:textId="77777777" w:rsidR="002661BA" w:rsidRDefault="002661BA">
            <w:pPr>
              <w:rPr>
                <w:rFonts w:ascii="宋体"/>
              </w:rPr>
            </w:pPr>
          </w:p>
        </w:tc>
        <w:tc>
          <w:tcPr>
            <w:tcW w:w="478" w:type="pct"/>
            <w:shd w:val="clear" w:color="auto" w:fill="auto"/>
            <w:vAlign w:val="bottom"/>
          </w:tcPr>
          <w:p w14:paraId="22CFA83E" w14:textId="77777777" w:rsidR="002661BA" w:rsidRDefault="002661BA">
            <w:pPr>
              <w:rPr>
                <w:rFonts w:ascii="宋体"/>
              </w:rPr>
            </w:pPr>
          </w:p>
        </w:tc>
        <w:tc>
          <w:tcPr>
            <w:tcW w:w="5" w:type="pct"/>
            <w:shd w:val="clear" w:color="auto" w:fill="auto"/>
            <w:vAlign w:val="bottom"/>
          </w:tcPr>
          <w:p w14:paraId="22CFA83F" w14:textId="77777777" w:rsidR="002661BA" w:rsidRDefault="002661BA">
            <w:pPr>
              <w:rPr>
                <w:rFonts w:ascii="宋体"/>
              </w:rPr>
            </w:pPr>
          </w:p>
        </w:tc>
      </w:tr>
      <w:tr w:rsidR="002661BA" w14:paraId="22CFA843" w14:textId="77777777">
        <w:tc>
          <w:tcPr>
            <w:tcW w:w="0" w:type="auto"/>
            <w:gridSpan w:val="3"/>
            <w:shd w:val="clear" w:color="auto" w:fill="auto"/>
            <w:tcMar>
              <w:top w:w="40" w:type="dxa"/>
              <w:left w:w="20" w:type="dxa"/>
              <w:bottom w:w="40" w:type="dxa"/>
              <w:right w:w="20" w:type="dxa"/>
            </w:tcMar>
            <w:vAlign w:val="bottom"/>
          </w:tcPr>
          <w:p w14:paraId="22CFA841" w14:textId="77777777" w:rsidR="002661BA" w:rsidRDefault="00D972BC">
            <w:pPr>
              <w:textAlignment w:val="bottom"/>
            </w:pPr>
            <w:r>
              <w:rPr>
                <w:rFonts w:ascii="Arial" w:eastAsia="宋体" w:hAnsi="Arial" w:cs="Arial"/>
                <w:color w:val="000000"/>
                <w:sz w:val="17"/>
                <w:szCs w:val="17"/>
              </w:rPr>
              <w:t> </w:t>
            </w:r>
          </w:p>
        </w:tc>
        <w:tc>
          <w:tcPr>
            <w:tcW w:w="0" w:type="auto"/>
            <w:gridSpan w:val="27"/>
            <w:shd w:val="clear" w:color="auto" w:fill="auto"/>
            <w:tcMar>
              <w:top w:w="40" w:type="dxa"/>
              <w:left w:w="20" w:type="dxa"/>
              <w:bottom w:w="40" w:type="dxa"/>
              <w:right w:w="20" w:type="dxa"/>
            </w:tcMar>
            <w:vAlign w:val="bottom"/>
          </w:tcPr>
          <w:p w14:paraId="22CFA842"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A84E" w14:textId="77777777">
        <w:tc>
          <w:tcPr>
            <w:tcW w:w="0" w:type="auto"/>
            <w:gridSpan w:val="3"/>
            <w:shd w:val="clear" w:color="auto" w:fill="auto"/>
            <w:tcMar>
              <w:top w:w="40" w:type="dxa"/>
              <w:left w:w="20" w:type="dxa"/>
              <w:bottom w:w="40" w:type="dxa"/>
              <w:right w:w="20" w:type="dxa"/>
            </w:tcMar>
            <w:vAlign w:val="bottom"/>
          </w:tcPr>
          <w:p w14:paraId="22CFA844"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845"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846"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847" w14:textId="77777777" w:rsidR="002661BA" w:rsidRDefault="00D972BC">
            <w:pPr>
              <w:jc w:val="center"/>
              <w:textAlignment w:val="bottom"/>
            </w:pPr>
            <w:r>
              <w:rPr>
                <w:rFonts w:ascii="Arial" w:eastAsia="宋体" w:hAnsi="Arial" w:cs="Arial"/>
                <w:b/>
                <w:bCs/>
                <w:color w:val="000000"/>
                <w:sz w:val="17"/>
                <w:szCs w:val="17"/>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848"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849"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84A"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84B" w14:textId="77777777" w:rsidR="002661BA" w:rsidRDefault="00D972BC">
            <w:pPr>
              <w:jc w:val="center"/>
              <w:textAlignment w:val="bottom"/>
            </w:pPr>
            <w:r>
              <w:rPr>
                <w:rFonts w:ascii="Arial" w:eastAsia="宋体" w:hAnsi="Arial" w:cs="Arial"/>
                <w:b/>
                <w:bCs/>
                <w:color w:val="000000"/>
                <w:sz w:val="17"/>
                <w:szCs w:val="17"/>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84C"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84D"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A861" w14:textId="77777777">
        <w:tc>
          <w:tcPr>
            <w:tcW w:w="0" w:type="auto"/>
            <w:gridSpan w:val="3"/>
            <w:shd w:val="clear" w:color="auto" w:fill="E2E2E2"/>
            <w:tcMar>
              <w:top w:w="40" w:type="dxa"/>
              <w:left w:w="20" w:type="dxa"/>
              <w:bottom w:w="40" w:type="dxa"/>
              <w:right w:w="20" w:type="dxa"/>
            </w:tcMar>
            <w:vAlign w:val="bottom"/>
          </w:tcPr>
          <w:p w14:paraId="22CFA84F" w14:textId="77777777" w:rsidR="002661BA" w:rsidRDefault="00D972BC">
            <w:pPr>
              <w:textAlignment w:val="bottom"/>
            </w:pPr>
            <w:r>
              <w:rPr>
                <w:rFonts w:ascii="Arial" w:eastAsia="宋体" w:hAnsi="Arial" w:cs="Arial"/>
                <w:color w:val="000000"/>
                <w:sz w:val="18"/>
                <w:szCs w:val="18"/>
              </w:rPr>
              <w:t>Sales and marketing</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A85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851" w14:textId="77777777" w:rsidR="002661BA" w:rsidRDefault="00D972BC">
            <w:pPr>
              <w:jc w:val="right"/>
              <w:textAlignment w:val="bottom"/>
            </w:pPr>
            <w:r>
              <w:rPr>
                <w:rFonts w:ascii="Arial" w:eastAsia="宋体" w:hAnsi="Arial" w:cs="Arial"/>
                <w:color w:val="000000"/>
                <w:sz w:val="18"/>
                <w:szCs w:val="18"/>
              </w:rPr>
              <w:t>2,170 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85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853"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854" w14:textId="77777777" w:rsidR="002661BA" w:rsidRDefault="00D972BC">
            <w:pPr>
              <w:jc w:val="right"/>
              <w:textAlignment w:val="bottom"/>
            </w:pPr>
            <w:r>
              <w:rPr>
                <w:rFonts w:ascii="Arial" w:eastAsia="宋体" w:hAnsi="Arial" w:cs="Arial"/>
                <w:color w:val="000000"/>
                <w:sz w:val="18"/>
                <w:szCs w:val="18"/>
              </w:rPr>
              <w:t>4 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855"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856"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A85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858" w14:textId="77777777" w:rsidR="002661BA" w:rsidRDefault="00D972BC">
            <w:pPr>
              <w:jc w:val="right"/>
              <w:textAlignment w:val="bottom"/>
            </w:pPr>
            <w:r>
              <w:rPr>
                <w:rFonts w:ascii="Arial" w:eastAsia="宋体" w:hAnsi="Arial" w:cs="Arial"/>
                <w:color w:val="000000"/>
                <w:sz w:val="18"/>
                <w:szCs w:val="18"/>
              </w:rPr>
              <w:t>2,091 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85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85A"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85B" w14:textId="77777777" w:rsidR="002661BA" w:rsidRDefault="00D972BC">
            <w:pPr>
              <w:jc w:val="right"/>
              <w:textAlignment w:val="bottom"/>
            </w:pPr>
            <w:r>
              <w:rPr>
                <w:rFonts w:ascii="Arial" w:eastAsia="宋体" w:hAnsi="Arial" w:cs="Arial"/>
                <w:color w:val="000000"/>
                <w:sz w:val="18"/>
                <w:szCs w:val="18"/>
              </w:rPr>
              <w:t>12 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85C"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85D"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A85E"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85F" w14:textId="77777777" w:rsidR="002661BA" w:rsidRDefault="00D972BC">
            <w:pPr>
              <w:jc w:val="right"/>
              <w:textAlignment w:val="bottom"/>
            </w:pPr>
            <w:r>
              <w:rPr>
                <w:rFonts w:ascii="Arial" w:eastAsia="宋体" w:hAnsi="Arial" w:cs="Arial"/>
                <w:color w:val="000000"/>
                <w:sz w:val="18"/>
                <w:szCs w:val="18"/>
              </w:rPr>
              <w:t>1,866 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860" w14:textId="77777777" w:rsidR="002661BA" w:rsidRDefault="002661BA">
            <w:pPr>
              <w:jc w:val="right"/>
              <w:rPr>
                <w:rFonts w:ascii="宋体"/>
              </w:rPr>
            </w:pPr>
          </w:p>
        </w:tc>
      </w:tr>
      <w:tr w:rsidR="002661BA" w14:paraId="22CFA86F" w14:textId="77777777">
        <w:tc>
          <w:tcPr>
            <w:tcW w:w="0" w:type="auto"/>
            <w:gridSpan w:val="3"/>
            <w:shd w:val="clear" w:color="auto" w:fill="FFFFFF"/>
            <w:tcMar>
              <w:top w:w="40" w:type="dxa"/>
              <w:left w:w="155" w:type="dxa"/>
              <w:bottom w:w="40" w:type="dxa"/>
              <w:right w:w="20" w:type="dxa"/>
            </w:tcMar>
            <w:vAlign w:val="bottom"/>
          </w:tcPr>
          <w:p w14:paraId="22CFA862" w14:textId="77777777" w:rsidR="002661BA" w:rsidRDefault="00D972BC">
            <w:pPr>
              <w:textAlignment w:val="bottom"/>
            </w:pPr>
            <w:r>
              <w:rPr>
                <w:rFonts w:ascii="Arial" w:eastAsia="宋体" w:hAnsi="Arial" w:cs="Arial"/>
                <w:i/>
                <w:iCs/>
                <w:color w:val="000000"/>
                <w:sz w:val="18"/>
                <w:szCs w:val="18"/>
              </w:rPr>
              <w:t>% of net revenues</w:t>
            </w:r>
          </w:p>
        </w:tc>
        <w:tc>
          <w:tcPr>
            <w:tcW w:w="0" w:type="auto"/>
            <w:gridSpan w:val="2"/>
            <w:shd w:val="clear" w:color="auto" w:fill="FFFFFF"/>
            <w:tcMar>
              <w:top w:w="40" w:type="dxa"/>
              <w:left w:w="20" w:type="dxa"/>
              <w:bottom w:w="40" w:type="dxa"/>
              <w:right w:w="0" w:type="dxa"/>
            </w:tcMar>
            <w:vAlign w:val="bottom"/>
          </w:tcPr>
          <w:p w14:paraId="22CFA863" w14:textId="77777777" w:rsidR="002661BA" w:rsidRDefault="00D972BC">
            <w:pPr>
              <w:jc w:val="right"/>
              <w:textAlignment w:val="bottom"/>
            </w:pPr>
            <w:r>
              <w:rPr>
                <w:rFonts w:ascii="Arial" w:eastAsia="宋体" w:hAnsi="Arial" w:cs="Arial"/>
                <w:i/>
                <w:iCs/>
                <w:color w:val="000000"/>
                <w:sz w:val="18"/>
                <w:szCs w:val="18"/>
              </w:rPr>
              <w:t>21 </w:t>
            </w:r>
          </w:p>
        </w:tc>
        <w:tc>
          <w:tcPr>
            <w:tcW w:w="0" w:type="auto"/>
            <w:shd w:val="clear" w:color="auto" w:fill="FFFFFF"/>
            <w:tcMar>
              <w:top w:w="40" w:type="dxa"/>
              <w:left w:w="0" w:type="dxa"/>
              <w:bottom w:w="40" w:type="dxa"/>
              <w:right w:w="20" w:type="dxa"/>
            </w:tcMar>
            <w:vAlign w:val="bottom"/>
          </w:tcPr>
          <w:p w14:paraId="22CFA864"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865"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866"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867"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868" w14:textId="77777777" w:rsidR="002661BA" w:rsidRDefault="00D972BC">
            <w:pPr>
              <w:jc w:val="right"/>
              <w:textAlignment w:val="bottom"/>
            </w:pPr>
            <w:r>
              <w:rPr>
                <w:rFonts w:ascii="Arial" w:eastAsia="宋体" w:hAnsi="Arial" w:cs="Arial"/>
                <w:i/>
                <w:iCs/>
                <w:color w:val="000000"/>
                <w:sz w:val="18"/>
                <w:szCs w:val="18"/>
              </w:rPr>
              <w:t>24 </w:t>
            </w:r>
          </w:p>
        </w:tc>
        <w:tc>
          <w:tcPr>
            <w:tcW w:w="0" w:type="auto"/>
            <w:shd w:val="clear" w:color="auto" w:fill="FFFFFF"/>
            <w:tcMar>
              <w:top w:w="40" w:type="dxa"/>
              <w:left w:w="0" w:type="dxa"/>
              <w:bottom w:w="40" w:type="dxa"/>
              <w:right w:w="20" w:type="dxa"/>
            </w:tcMar>
            <w:vAlign w:val="bottom"/>
          </w:tcPr>
          <w:p w14:paraId="22CFA869"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86A"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86B"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86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86D" w14:textId="77777777" w:rsidR="002661BA" w:rsidRDefault="00D972BC">
            <w:pPr>
              <w:jc w:val="right"/>
              <w:textAlignment w:val="bottom"/>
            </w:pPr>
            <w:r>
              <w:rPr>
                <w:rFonts w:ascii="Arial" w:eastAsia="宋体" w:hAnsi="Arial" w:cs="Arial"/>
                <w:i/>
                <w:iCs/>
                <w:color w:val="000000"/>
                <w:sz w:val="18"/>
                <w:szCs w:val="18"/>
              </w:rPr>
              <w:t>25 </w:t>
            </w:r>
          </w:p>
        </w:tc>
        <w:tc>
          <w:tcPr>
            <w:tcW w:w="0" w:type="auto"/>
            <w:shd w:val="clear" w:color="auto" w:fill="FFFFFF"/>
            <w:tcMar>
              <w:top w:w="40" w:type="dxa"/>
              <w:left w:w="0" w:type="dxa"/>
              <w:bottom w:w="40" w:type="dxa"/>
              <w:right w:w="20" w:type="dxa"/>
            </w:tcMar>
            <w:vAlign w:val="bottom"/>
          </w:tcPr>
          <w:p w14:paraId="22CFA86E" w14:textId="77777777" w:rsidR="002661BA" w:rsidRDefault="00D972BC">
            <w:pPr>
              <w:jc w:val="right"/>
              <w:textAlignment w:val="bottom"/>
            </w:pPr>
            <w:r>
              <w:rPr>
                <w:rFonts w:ascii="Arial" w:eastAsia="宋体" w:hAnsi="Arial" w:cs="Arial"/>
                <w:i/>
                <w:iCs/>
                <w:color w:val="000000"/>
                <w:sz w:val="18"/>
                <w:szCs w:val="18"/>
              </w:rPr>
              <w:t>%</w:t>
            </w:r>
          </w:p>
        </w:tc>
      </w:tr>
      <w:tr w:rsidR="002661BA" w14:paraId="22CFA87F" w14:textId="77777777">
        <w:tc>
          <w:tcPr>
            <w:tcW w:w="0" w:type="auto"/>
            <w:gridSpan w:val="3"/>
            <w:shd w:val="clear" w:color="auto" w:fill="E2E2E2"/>
            <w:tcMar>
              <w:top w:w="40" w:type="dxa"/>
              <w:left w:w="20" w:type="dxa"/>
              <w:bottom w:w="40" w:type="dxa"/>
              <w:right w:w="20" w:type="dxa"/>
            </w:tcMar>
            <w:vAlign w:val="bottom"/>
          </w:tcPr>
          <w:p w14:paraId="22CFA870" w14:textId="77777777" w:rsidR="002661BA" w:rsidRDefault="00D972BC">
            <w:pPr>
              <w:textAlignment w:val="bottom"/>
            </w:pPr>
            <w:r>
              <w:rPr>
                <w:rFonts w:ascii="Arial" w:eastAsia="宋体" w:hAnsi="Arial" w:cs="Arial"/>
                <w:color w:val="000000"/>
                <w:sz w:val="18"/>
                <w:szCs w:val="18"/>
              </w:rPr>
              <w:t>Pr</w:t>
            </w:r>
            <w:r>
              <w:rPr>
                <w:rFonts w:ascii="Arial" w:eastAsia="宋体" w:hAnsi="Arial" w:cs="Arial"/>
                <w:color w:val="000000"/>
                <w:sz w:val="18"/>
                <w:szCs w:val="18"/>
              </w:rPr>
              <w:t>oduct development</w:t>
            </w:r>
          </w:p>
        </w:tc>
        <w:tc>
          <w:tcPr>
            <w:tcW w:w="0" w:type="auto"/>
            <w:gridSpan w:val="2"/>
            <w:shd w:val="clear" w:color="auto" w:fill="E2E2E2"/>
            <w:tcMar>
              <w:top w:w="40" w:type="dxa"/>
              <w:left w:w="20" w:type="dxa"/>
              <w:bottom w:w="40" w:type="dxa"/>
              <w:right w:w="0" w:type="dxa"/>
            </w:tcMar>
            <w:vAlign w:val="bottom"/>
          </w:tcPr>
          <w:p w14:paraId="22CFA871" w14:textId="77777777" w:rsidR="002661BA" w:rsidRDefault="00D972BC">
            <w:pPr>
              <w:jc w:val="right"/>
              <w:textAlignment w:val="bottom"/>
            </w:pPr>
            <w:r>
              <w:rPr>
                <w:rFonts w:ascii="Arial" w:eastAsia="宋体" w:hAnsi="Arial" w:cs="Arial"/>
                <w:color w:val="000000"/>
                <w:sz w:val="18"/>
                <w:szCs w:val="18"/>
              </w:rPr>
              <w:t>1,325 </w:t>
            </w:r>
          </w:p>
        </w:tc>
        <w:tc>
          <w:tcPr>
            <w:tcW w:w="0" w:type="auto"/>
            <w:shd w:val="clear" w:color="auto" w:fill="E2E2E2"/>
            <w:tcMar>
              <w:top w:w="40" w:type="dxa"/>
              <w:left w:w="0" w:type="dxa"/>
              <w:bottom w:w="40" w:type="dxa"/>
              <w:right w:w="20" w:type="dxa"/>
            </w:tcMar>
            <w:vAlign w:val="bottom"/>
          </w:tcPr>
          <w:p w14:paraId="22CFA87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873"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874" w14:textId="77777777" w:rsidR="002661BA" w:rsidRDefault="00D972BC">
            <w:pPr>
              <w:jc w:val="right"/>
              <w:textAlignment w:val="bottom"/>
            </w:pPr>
            <w:r>
              <w:rPr>
                <w:rFonts w:ascii="Arial" w:eastAsia="宋体" w:hAnsi="Arial" w:cs="Arial"/>
                <w:color w:val="000000"/>
                <w:sz w:val="18"/>
                <w:szCs w:val="18"/>
              </w:rPr>
              <w:t>29 </w:t>
            </w:r>
          </w:p>
        </w:tc>
        <w:tc>
          <w:tcPr>
            <w:tcW w:w="0" w:type="auto"/>
            <w:shd w:val="clear" w:color="auto" w:fill="E2E2E2"/>
            <w:tcMar>
              <w:top w:w="40" w:type="dxa"/>
              <w:left w:w="0" w:type="dxa"/>
              <w:bottom w:w="40" w:type="dxa"/>
              <w:right w:w="20" w:type="dxa"/>
            </w:tcMar>
            <w:vAlign w:val="bottom"/>
          </w:tcPr>
          <w:p w14:paraId="22CFA875"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876"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877" w14:textId="77777777" w:rsidR="002661BA" w:rsidRDefault="00D972BC">
            <w:pPr>
              <w:jc w:val="right"/>
              <w:textAlignment w:val="bottom"/>
            </w:pPr>
            <w:r>
              <w:rPr>
                <w:rFonts w:ascii="Arial" w:eastAsia="宋体" w:hAnsi="Arial" w:cs="Arial"/>
                <w:color w:val="000000"/>
                <w:sz w:val="18"/>
                <w:szCs w:val="18"/>
              </w:rPr>
              <w:t>1,028 </w:t>
            </w:r>
          </w:p>
        </w:tc>
        <w:tc>
          <w:tcPr>
            <w:tcW w:w="0" w:type="auto"/>
            <w:shd w:val="clear" w:color="auto" w:fill="E2E2E2"/>
            <w:tcMar>
              <w:top w:w="40" w:type="dxa"/>
              <w:left w:w="0" w:type="dxa"/>
              <w:bottom w:w="40" w:type="dxa"/>
              <w:right w:w="20" w:type="dxa"/>
            </w:tcMar>
            <w:vAlign w:val="bottom"/>
          </w:tcPr>
          <w:p w14:paraId="22CFA878"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879"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87A" w14:textId="77777777" w:rsidR="002661BA" w:rsidRDefault="00D972BC">
            <w:pPr>
              <w:jc w:val="right"/>
              <w:textAlignment w:val="bottom"/>
            </w:pPr>
            <w:r>
              <w:rPr>
                <w:rFonts w:ascii="Arial" w:eastAsia="宋体" w:hAnsi="Arial" w:cs="Arial"/>
                <w:color w:val="000000"/>
                <w:sz w:val="18"/>
                <w:szCs w:val="18"/>
              </w:rPr>
              <w:t>11 </w:t>
            </w:r>
          </w:p>
        </w:tc>
        <w:tc>
          <w:tcPr>
            <w:tcW w:w="0" w:type="auto"/>
            <w:shd w:val="clear" w:color="auto" w:fill="E2E2E2"/>
            <w:tcMar>
              <w:top w:w="40" w:type="dxa"/>
              <w:left w:w="0" w:type="dxa"/>
              <w:bottom w:w="40" w:type="dxa"/>
              <w:right w:w="20" w:type="dxa"/>
            </w:tcMar>
            <w:vAlign w:val="bottom"/>
          </w:tcPr>
          <w:p w14:paraId="22CFA87B"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87C"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87D" w14:textId="77777777" w:rsidR="002661BA" w:rsidRDefault="00D972BC">
            <w:pPr>
              <w:jc w:val="right"/>
              <w:textAlignment w:val="bottom"/>
            </w:pPr>
            <w:r>
              <w:rPr>
                <w:rFonts w:ascii="Arial" w:eastAsia="宋体" w:hAnsi="Arial" w:cs="Arial"/>
                <w:color w:val="000000"/>
                <w:sz w:val="18"/>
                <w:szCs w:val="18"/>
              </w:rPr>
              <w:t>930 </w:t>
            </w:r>
          </w:p>
        </w:tc>
        <w:tc>
          <w:tcPr>
            <w:tcW w:w="0" w:type="auto"/>
            <w:shd w:val="clear" w:color="auto" w:fill="E2E2E2"/>
            <w:tcMar>
              <w:top w:w="40" w:type="dxa"/>
              <w:left w:w="0" w:type="dxa"/>
              <w:bottom w:w="40" w:type="dxa"/>
              <w:right w:w="20" w:type="dxa"/>
            </w:tcMar>
            <w:vAlign w:val="bottom"/>
          </w:tcPr>
          <w:p w14:paraId="22CFA87E" w14:textId="77777777" w:rsidR="002661BA" w:rsidRDefault="002661BA">
            <w:pPr>
              <w:jc w:val="right"/>
              <w:rPr>
                <w:rFonts w:ascii="宋体"/>
              </w:rPr>
            </w:pPr>
          </w:p>
        </w:tc>
      </w:tr>
      <w:tr w:rsidR="002661BA" w14:paraId="22CFA88D" w14:textId="77777777">
        <w:tc>
          <w:tcPr>
            <w:tcW w:w="0" w:type="auto"/>
            <w:gridSpan w:val="3"/>
            <w:shd w:val="clear" w:color="auto" w:fill="FFFFFF"/>
            <w:tcMar>
              <w:top w:w="40" w:type="dxa"/>
              <w:left w:w="155" w:type="dxa"/>
              <w:bottom w:w="40" w:type="dxa"/>
              <w:right w:w="20" w:type="dxa"/>
            </w:tcMar>
            <w:vAlign w:val="bottom"/>
          </w:tcPr>
          <w:p w14:paraId="22CFA880" w14:textId="77777777" w:rsidR="002661BA" w:rsidRDefault="00D972BC">
            <w:pPr>
              <w:textAlignment w:val="bottom"/>
            </w:pPr>
            <w:r>
              <w:rPr>
                <w:rFonts w:ascii="Arial" w:eastAsia="宋体" w:hAnsi="Arial" w:cs="Arial"/>
                <w:i/>
                <w:iCs/>
                <w:color w:val="000000"/>
                <w:sz w:val="18"/>
                <w:szCs w:val="18"/>
              </w:rPr>
              <w:t>% of net revenues</w:t>
            </w:r>
          </w:p>
        </w:tc>
        <w:tc>
          <w:tcPr>
            <w:tcW w:w="0" w:type="auto"/>
            <w:gridSpan w:val="2"/>
            <w:shd w:val="clear" w:color="auto" w:fill="FFFFFF"/>
            <w:tcMar>
              <w:top w:w="40" w:type="dxa"/>
              <w:left w:w="20" w:type="dxa"/>
              <w:bottom w:w="40" w:type="dxa"/>
              <w:right w:w="0" w:type="dxa"/>
            </w:tcMar>
            <w:vAlign w:val="bottom"/>
          </w:tcPr>
          <w:p w14:paraId="22CFA881" w14:textId="77777777" w:rsidR="002661BA" w:rsidRDefault="00D972BC">
            <w:pPr>
              <w:jc w:val="right"/>
              <w:textAlignment w:val="bottom"/>
            </w:pPr>
            <w:r>
              <w:rPr>
                <w:rFonts w:ascii="Arial" w:eastAsia="宋体" w:hAnsi="Arial" w:cs="Arial"/>
                <w:i/>
                <w:iCs/>
                <w:color w:val="000000"/>
                <w:sz w:val="18"/>
                <w:szCs w:val="18"/>
              </w:rPr>
              <w:t>13 </w:t>
            </w:r>
          </w:p>
        </w:tc>
        <w:tc>
          <w:tcPr>
            <w:tcW w:w="0" w:type="auto"/>
            <w:shd w:val="clear" w:color="auto" w:fill="FFFFFF"/>
            <w:tcMar>
              <w:top w:w="40" w:type="dxa"/>
              <w:left w:w="0" w:type="dxa"/>
              <w:bottom w:w="40" w:type="dxa"/>
              <w:right w:w="20" w:type="dxa"/>
            </w:tcMar>
            <w:vAlign w:val="bottom"/>
          </w:tcPr>
          <w:p w14:paraId="22CFA882"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883"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884"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885"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886" w14:textId="77777777" w:rsidR="002661BA" w:rsidRDefault="00D972BC">
            <w:pPr>
              <w:jc w:val="right"/>
              <w:textAlignment w:val="bottom"/>
            </w:pPr>
            <w:r>
              <w:rPr>
                <w:rFonts w:ascii="Arial" w:eastAsia="宋体" w:hAnsi="Arial" w:cs="Arial"/>
                <w:i/>
                <w:iCs/>
                <w:color w:val="000000"/>
                <w:sz w:val="18"/>
                <w:szCs w:val="18"/>
              </w:rPr>
              <w:t>12 </w:t>
            </w:r>
          </w:p>
        </w:tc>
        <w:tc>
          <w:tcPr>
            <w:tcW w:w="0" w:type="auto"/>
            <w:shd w:val="clear" w:color="auto" w:fill="FFFFFF"/>
            <w:tcMar>
              <w:top w:w="40" w:type="dxa"/>
              <w:left w:w="0" w:type="dxa"/>
              <w:bottom w:w="40" w:type="dxa"/>
              <w:right w:w="20" w:type="dxa"/>
            </w:tcMar>
            <w:vAlign w:val="bottom"/>
          </w:tcPr>
          <w:p w14:paraId="22CFA887"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888"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889"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88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88B" w14:textId="77777777" w:rsidR="002661BA" w:rsidRDefault="00D972BC">
            <w:pPr>
              <w:jc w:val="right"/>
              <w:textAlignment w:val="bottom"/>
            </w:pPr>
            <w:r>
              <w:rPr>
                <w:rFonts w:ascii="Arial" w:eastAsia="宋体" w:hAnsi="Arial" w:cs="Arial"/>
                <w:i/>
                <w:iCs/>
                <w:color w:val="000000"/>
                <w:sz w:val="18"/>
                <w:szCs w:val="18"/>
              </w:rPr>
              <w:t>13 </w:t>
            </w:r>
          </w:p>
        </w:tc>
        <w:tc>
          <w:tcPr>
            <w:tcW w:w="0" w:type="auto"/>
            <w:shd w:val="clear" w:color="auto" w:fill="FFFFFF"/>
            <w:tcMar>
              <w:top w:w="40" w:type="dxa"/>
              <w:left w:w="0" w:type="dxa"/>
              <w:bottom w:w="40" w:type="dxa"/>
              <w:right w:w="20" w:type="dxa"/>
            </w:tcMar>
            <w:vAlign w:val="bottom"/>
          </w:tcPr>
          <w:p w14:paraId="22CFA88C" w14:textId="77777777" w:rsidR="002661BA" w:rsidRDefault="00D972BC">
            <w:pPr>
              <w:jc w:val="right"/>
              <w:textAlignment w:val="bottom"/>
            </w:pPr>
            <w:r>
              <w:rPr>
                <w:rFonts w:ascii="Arial" w:eastAsia="宋体" w:hAnsi="Arial" w:cs="Arial"/>
                <w:i/>
                <w:iCs/>
                <w:color w:val="000000"/>
                <w:sz w:val="18"/>
                <w:szCs w:val="18"/>
              </w:rPr>
              <w:t>%</w:t>
            </w:r>
          </w:p>
        </w:tc>
      </w:tr>
      <w:tr w:rsidR="002661BA" w14:paraId="22CFA89D" w14:textId="77777777">
        <w:tc>
          <w:tcPr>
            <w:tcW w:w="0" w:type="auto"/>
            <w:gridSpan w:val="3"/>
            <w:shd w:val="clear" w:color="auto" w:fill="E2E2E2"/>
            <w:tcMar>
              <w:top w:w="40" w:type="dxa"/>
              <w:left w:w="20" w:type="dxa"/>
              <w:bottom w:w="40" w:type="dxa"/>
              <w:right w:w="20" w:type="dxa"/>
            </w:tcMar>
            <w:vAlign w:val="bottom"/>
          </w:tcPr>
          <w:p w14:paraId="22CFA88E" w14:textId="77777777" w:rsidR="002661BA" w:rsidRDefault="00D972BC">
            <w:pPr>
              <w:textAlignment w:val="bottom"/>
            </w:pPr>
            <w:r>
              <w:rPr>
                <w:rFonts w:ascii="Arial" w:eastAsia="宋体" w:hAnsi="Arial" w:cs="Arial"/>
                <w:color w:val="000000"/>
                <w:sz w:val="18"/>
                <w:szCs w:val="18"/>
              </w:rPr>
              <w:t>General and administrative</w:t>
            </w:r>
          </w:p>
        </w:tc>
        <w:tc>
          <w:tcPr>
            <w:tcW w:w="0" w:type="auto"/>
            <w:gridSpan w:val="2"/>
            <w:shd w:val="clear" w:color="auto" w:fill="E2E2E2"/>
            <w:tcMar>
              <w:top w:w="40" w:type="dxa"/>
              <w:left w:w="20" w:type="dxa"/>
              <w:bottom w:w="40" w:type="dxa"/>
              <w:right w:w="0" w:type="dxa"/>
            </w:tcMar>
            <w:vAlign w:val="bottom"/>
          </w:tcPr>
          <w:p w14:paraId="22CFA88F" w14:textId="77777777" w:rsidR="002661BA" w:rsidRDefault="00D972BC">
            <w:pPr>
              <w:jc w:val="right"/>
              <w:textAlignment w:val="bottom"/>
            </w:pPr>
            <w:r>
              <w:rPr>
                <w:rFonts w:ascii="Arial" w:eastAsia="宋体" w:hAnsi="Arial" w:cs="Arial"/>
                <w:color w:val="000000"/>
                <w:sz w:val="18"/>
                <w:szCs w:val="18"/>
              </w:rPr>
              <w:t>921 </w:t>
            </w:r>
          </w:p>
        </w:tc>
        <w:tc>
          <w:tcPr>
            <w:tcW w:w="0" w:type="auto"/>
            <w:shd w:val="clear" w:color="auto" w:fill="E2E2E2"/>
            <w:tcMar>
              <w:top w:w="40" w:type="dxa"/>
              <w:left w:w="0" w:type="dxa"/>
              <w:bottom w:w="40" w:type="dxa"/>
              <w:right w:w="20" w:type="dxa"/>
            </w:tcMar>
            <w:vAlign w:val="bottom"/>
          </w:tcPr>
          <w:p w14:paraId="22CFA890"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891"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892" w14:textId="77777777" w:rsidR="002661BA" w:rsidRDefault="00D972BC">
            <w:pPr>
              <w:jc w:val="right"/>
              <w:textAlignment w:val="bottom"/>
            </w:pPr>
            <w:r>
              <w:rPr>
                <w:rFonts w:ascii="Arial" w:eastAsia="宋体" w:hAnsi="Arial" w:cs="Arial"/>
                <w:color w:val="000000"/>
                <w:sz w:val="18"/>
                <w:szCs w:val="18"/>
              </w:rPr>
              <w:t>(6)</w:t>
            </w:r>
          </w:p>
        </w:tc>
        <w:tc>
          <w:tcPr>
            <w:tcW w:w="0" w:type="auto"/>
            <w:shd w:val="clear" w:color="auto" w:fill="E2E2E2"/>
            <w:tcMar>
              <w:top w:w="40" w:type="dxa"/>
              <w:left w:w="0" w:type="dxa"/>
              <w:bottom w:w="40" w:type="dxa"/>
              <w:right w:w="20" w:type="dxa"/>
            </w:tcMar>
            <w:vAlign w:val="bottom"/>
          </w:tcPr>
          <w:p w14:paraId="22CFA893"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894"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895" w14:textId="77777777" w:rsidR="002661BA" w:rsidRDefault="00D972BC">
            <w:pPr>
              <w:jc w:val="right"/>
              <w:textAlignment w:val="bottom"/>
            </w:pPr>
            <w:r>
              <w:rPr>
                <w:rFonts w:ascii="Arial" w:eastAsia="宋体" w:hAnsi="Arial" w:cs="Arial"/>
                <w:color w:val="000000"/>
                <w:sz w:val="18"/>
                <w:szCs w:val="18"/>
              </w:rPr>
              <w:t>985 </w:t>
            </w:r>
          </w:p>
        </w:tc>
        <w:tc>
          <w:tcPr>
            <w:tcW w:w="0" w:type="auto"/>
            <w:shd w:val="clear" w:color="auto" w:fill="E2E2E2"/>
            <w:tcMar>
              <w:top w:w="40" w:type="dxa"/>
              <w:left w:w="0" w:type="dxa"/>
              <w:bottom w:w="40" w:type="dxa"/>
              <w:right w:w="20" w:type="dxa"/>
            </w:tcMar>
            <w:vAlign w:val="bottom"/>
          </w:tcPr>
          <w:p w14:paraId="22CFA896"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897"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898"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A899"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89A"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89B" w14:textId="77777777" w:rsidR="002661BA" w:rsidRDefault="00D972BC">
            <w:pPr>
              <w:jc w:val="right"/>
              <w:textAlignment w:val="bottom"/>
            </w:pPr>
            <w:r>
              <w:rPr>
                <w:rFonts w:ascii="Arial" w:eastAsia="宋体" w:hAnsi="Arial" w:cs="Arial"/>
                <w:color w:val="000000"/>
                <w:sz w:val="18"/>
                <w:szCs w:val="18"/>
              </w:rPr>
              <w:t>988 </w:t>
            </w:r>
          </w:p>
        </w:tc>
        <w:tc>
          <w:tcPr>
            <w:tcW w:w="0" w:type="auto"/>
            <w:shd w:val="clear" w:color="auto" w:fill="E2E2E2"/>
            <w:tcMar>
              <w:top w:w="40" w:type="dxa"/>
              <w:left w:w="0" w:type="dxa"/>
              <w:bottom w:w="40" w:type="dxa"/>
              <w:right w:w="20" w:type="dxa"/>
            </w:tcMar>
            <w:vAlign w:val="bottom"/>
          </w:tcPr>
          <w:p w14:paraId="22CFA89C" w14:textId="77777777" w:rsidR="002661BA" w:rsidRDefault="002661BA">
            <w:pPr>
              <w:jc w:val="right"/>
              <w:rPr>
                <w:rFonts w:ascii="宋体"/>
              </w:rPr>
            </w:pPr>
          </w:p>
        </w:tc>
      </w:tr>
      <w:tr w:rsidR="002661BA" w14:paraId="22CFA8AB" w14:textId="77777777">
        <w:tc>
          <w:tcPr>
            <w:tcW w:w="0" w:type="auto"/>
            <w:gridSpan w:val="3"/>
            <w:shd w:val="clear" w:color="auto" w:fill="FFFFFF"/>
            <w:tcMar>
              <w:top w:w="40" w:type="dxa"/>
              <w:left w:w="155" w:type="dxa"/>
              <w:bottom w:w="40" w:type="dxa"/>
              <w:right w:w="20" w:type="dxa"/>
            </w:tcMar>
            <w:vAlign w:val="bottom"/>
          </w:tcPr>
          <w:p w14:paraId="22CFA89E" w14:textId="77777777" w:rsidR="002661BA" w:rsidRDefault="00D972BC">
            <w:pPr>
              <w:textAlignment w:val="bottom"/>
            </w:pPr>
            <w:r>
              <w:rPr>
                <w:rFonts w:ascii="Arial" w:eastAsia="宋体" w:hAnsi="Arial" w:cs="Arial"/>
                <w:i/>
                <w:iCs/>
                <w:color w:val="000000"/>
                <w:sz w:val="18"/>
                <w:szCs w:val="18"/>
              </w:rPr>
              <w:t>% of net revenues</w:t>
            </w:r>
          </w:p>
        </w:tc>
        <w:tc>
          <w:tcPr>
            <w:tcW w:w="0" w:type="auto"/>
            <w:gridSpan w:val="2"/>
            <w:shd w:val="clear" w:color="auto" w:fill="FFFFFF"/>
            <w:tcMar>
              <w:top w:w="40" w:type="dxa"/>
              <w:left w:w="20" w:type="dxa"/>
              <w:bottom w:w="40" w:type="dxa"/>
              <w:right w:w="0" w:type="dxa"/>
            </w:tcMar>
            <w:vAlign w:val="bottom"/>
          </w:tcPr>
          <w:p w14:paraId="22CFA89F" w14:textId="77777777" w:rsidR="002661BA" w:rsidRDefault="00D972BC">
            <w:pPr>
              <w:jc w:val="right"/>
              <w:textAlignment w:val="bottom"/>
            </w:pPr>
            <w:r>
              <w:rPr>
                <w:rFonts w:ascii="Arial" w:eastAsia="宋体" w:hAnsi="Arial" w:cs="Arial"/>
                <w:i/>
                <w:iCs/>
                <w:color w:val="000000"/>
                <w:sz w:val="18"/>
                <w:szCs w:val="18"/>
              </w:rPr>
              <w:t>9 </w:t>
            </w:r>
          </w:p>
        </w:tc>
        <w:tc>
          <w:tcPr>
            <w:tcW w:w="0" w:type="auto"/>
            <w:shd w:val="clear" w:color="auto" w:fill="FFFFFF"/>
            <w:tcMar>
              <w:top w:w="40" w:type="dxa"/>
              <w:left w:w="0" w:type="dxa"/>
              <w:bottom w:w="40" w:type="dxa"/>
              <w:right w:w="20" w:type="dxa"/>
            </w:tcMar>
            <w:vAlign w:val="bottom"/>
          </w:tcPr>
          <w:p w14:paraId="22CFA8A0"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8A1"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8A2"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8A3"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8A4" w14:textId="77777777" w:rsidR="002661BA" w:rsidRDefault="00D972BC">
            <w:pPr>
              <w:jc w:val="right"/>
              <w:textAlignment w:val="bottom"/>
            </w:pPr>
            <w:r>
              <w:rPr>
                <w:rFonts w:ascii="Arial" w:eastAsia="宋体" w:hAnsi="Arial" w:cs="Arial"/>
                <w:i/>
                <w:iCs/>
                <w:color w:val="000000"/>
                <w:sz w:val="18"/>
                <w:szCs w:val="18"/>
              </w:rPr>
              <w:t>11 </w:t>
            </w:r>
          </w:p>
        </w:tc>
        <w:tc>
          <w:tcPr>
            <w:tcW w:w="0" w:type="auto"/>
            <w:shd w:val="clear" w:color="auto" w:fill="FFFFFF"/>
            <w:tcMar>
              <w:top w:w="40" w:type="dxa"/>
              <w:left w:w="0" w:type="dxa"/>
              <w:bottom w:w="40" w:type="dxa"/>
              <w:right w:w="20" w:type="dxa"/>
            </w:tcMar>
            <w:vAlign w:val="bottom"/>
          </w:tcPr>
          <w:p w14:paraId="22CFA8A5"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8A6"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8A7"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8A8"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8A9" w14:textId="77777777" w:rsidR="002661BA" w:rsidRDefault="00D972BC">
            <w:pPr>
              <w:jc w:val="right"/>
              <w:textAlignment w:val="bottom"/>
            </w:pPr>
            <w:r>
              <w:rPr>
                <w:rFonts w:ascii="Arial" w:eastAsia="宋体" w:hAnsi="Arial" w:cs="Arial"/>
                <w:i/>
                <w:iCs/>
                <w:color w:val="000000"/>
                <w:sz w:val="18"/>
                <w:szCs w:val="18"/>
              </w:rPr>
              <w:t>13 </w:t>
            </w:r>
          </w:p>
        </w:tc>
        <w:tc>
          <w:tcPr>
            <w:tcW w:w="0" w:type="auto"/>
            <w:shd w:val="clear" w:color="auto" w:fill="FFFFFF"/>
            <w:tcMar>
              <w:top w:w="40" w:type="dxa"/>
              <w:left w:w="0" w:type="dxa"/>
              <w:bottom w:w="40" w:type="dxa"/>
              <w:right w:w="20" w:type="dxa"/>
            </w:tcMar>
            <w:vAlign w:val="bottom"/>
          </w:tcPr>
          <w:p w14:paraId="22CFA8AA" w14:textId="77777777" w:rsidR="002661BA" w:rsidRDefault="00D972BC">
            <w:pPr>
              <w:jc w:val="right"/>
              <w:textAlignment w:val="bottom"/>
            </w:pPr>
            <w:r>
              <w:rPr>
                <w:rFonts w:ascii="Arial" w:eastAsia="宋体" w:hAnsi="Arial" w:cs="Arial"/>
                <w:i/>
                <w:iCs/>
                <w:color w:val="000000"/>
                <w:sz w:val="18"/>
                <w:szCs w:val="18"/>
              </w:rPr>
              <w:t>%</w:t>
            </w:r>
          </w:p>
        </w:tc>
      </w:tr>
      <w:tr w:rsidR="002661BA" w14:paraId="22CFA8BB" w14:textId="77777777">
        <w:tc>
          <w:tcPr>
            <w:tcW w:w="0" w:type="auto"/>
            <w:gridSpan w:val="3"/>
            <w:shd w:val="clear" w:color="auto" w:fill="E2E2E2"/>
            <w:tcMar>
              <w:top w:w="40" w:type="dxa"/>
              <w:left w:w="20" w:type="dxa"/>
              <w:bottom w:w="40" w:type="dxa"/>
              <w:right w:w="20" w:type="dxa"/>
            </w:tcMar>
            <w:vAlign w:val="bottom"/>
          </w:tcPr>
          <w:p w14:paraId="22CFA8AC" w14:textId="77777777" w:rsidR="002661BA" w:rsidRDefault="00D972BC">
            <w:pPr>
              <w:textAlignment w:val="bottom"/>
            </w:pPr>
            <w:r>
              <w:rPr>
                <w:rFonts w:ascii="Arial" w:eastAsia="宋体" w:hAnsi="Arial" w:cs="Arial"/>
                <w:color w:val="000000"/>
                <w:sz w:val="18"/>
                <w:szCs w:val="18"/>
              </w:rPr>
              <w:t>Pr</w:t>
            </w:r>
            <w:r>
              <w:rPr>
                <w:rFonts w:ascii="Arial" w:eastAsia="宋体" w:hAnsi="Arial" w:cs="Arial"/>
                <w:color w:val="000000"/>
                <w:sz w:val="18"/>
                <w:szCs w:val="18"/>
              </w:rPr>
              <w:t>ovision for transaction losses</w:t>
            </w:r>
          </w:p>
        </w:tc>
        <w:tc>
          <w:tcPr>
            <w:tcW w:w="0" w:type="auto"/>
            <w:gridSpan w:val="2"/>
            <w:shd w:val="clear" w:color="auto" w:fill="E2E2E2"/>
            <w:tcMar>
              <w:top w:w="40" w:type="dxa"/>
              <w:left w:w="20" w:type="dxa"/>
              <w:bottom w:w="40" w:type="dxa"/>
              <w:right w:w="0" w:type="dxa"/>
            </w:tcMar>
            <w:vAlign w:val="bottom"/>
          </w:tcPr>
          <w:p w14:paraId="22CFA8AD" w14:textId="77777777" w:rsidR="002661BA" w:rsidRDefault="00D972BC">
            <w:pPr>
              <w:jc w:val="right"/>
              <w:textAlignment w:val="bottom"/>
            </w:pPr>
            <w:r>
              <w:rPr>
                <w:rFonts w:ascii="Arial" w:eastAsia="宋体" w:hAnsi="Arial" w:cs="Arial"/>
                <w:color w:val="000000"/>
                <w:sz w:val="18"/>
                <w:szCs w:val="18"/>
              </w:rPr>
              <w:t>422 </w:t>
            </w:r>
          </w:p>
        </w:tc>
        <w:tc>
          <w:tcPr>
            <w:tcW w:w="0" w:type="auto"/>
            <w:shd w:val="clear" w:color="auto" w:fill="E2E2E2"/>
            <w:tcMar>
              <w:top w:w="40" w:type="dxa"/>
              <w:left w:w="0" w:type="dxa"/>
              <w:bottom w:w="40" w:type="dxa"/>
              <w:right w:w="20" w:type="dxa"/>
            </w:tcMar>
            <w:vAlign w:val="bottom"/>
          </w:tcPr>
          <w:p w14:paraId="22CFA8A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8AF"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8B0" w14:textId="77777777" w:rsidR="002661BA" w:rsidRDefault="00D972BC">
            <w:pPr>
              <w:jc w:val="right"/>
              <w:textAlignment w:val="bottom"/>
            </w:pPr>
            <w:r>
              <w:rPr>
                <w:rFonts w:ascii="Arial" w:eastAsia="宋体" w:hAnsi="Arial" w:cs="Arial"/>
                <w:color w:val="000000"/>
                <w:sz w:val="18"/>
                <w:szCs w:val="18"/>
              </w:rPr>
              <w:t>28 </w:t>
            </w:r>
          </w:p>
        </w:tc>
        <w:tc>
          <w:tcPr>
            <w:tcW w:w="0" w:type="auto"/>
            <w:shd w:val="clear" w:color="auto" w:fill="E2E2E2"/>
            <w:tcMar>
              <w:top w:w="40" w:type="dxa"/>
              <w:left w:w="0" w:type="dxa"/>
              <w:bottom w:w="40" w:type="dxa"/>
              <w:right w:w="20" w:type="dxa"/>
            </w:tcMar>
            <w:vAlign w:val="bottom"/>
          </w:tcPr>
          <w:p w14:paraId="22CFA8B1"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8B2"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8B3" w14:textId="77777777" w:rsidR="002661BA" w:rsidRDefault="00D972BC">
            <w:pPr>
              <w:jc w:val="right"/>
              <w:textAlignment w:val="bottom"/>
            </w:pPr>
            <w:r>
              <w:rPr>
                <w:rFonts w:ascii="Arial" w:eastAsia="宋体" w:hAnsi="Arial" w:cs="Arial"/>
                <w:color w:val="000000"/>
                <w:sz w:val="18"/>
                <w:szCs w:val="18"/>
              </w:rPr>
              <w:t>330 </w:t>
            </w:r>
          </w:p>
        </w:tc>
        <w:tc>
          <w:tcPr>
            <w:tcW w:w="0" w:type="auto"/>
            <w:shd w:val="clear" w:color="auto" w:fill="E2E2E2"/>
            <w:tcMar>
              <w:top w:w="40" w:type="dxa"/>
              <w:left w:w="0" w:type="dxa"/>
              <w:bottom w:w="40" w:type="dxa"/>
              <w:right w:w="20" w:type="dxa"/>
            </w:tcMar>
            <w:vAlign w:val="bottom"/>
          </w:tcPr>
          <w:p w14:paraId="22CFA8B4"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8B5"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8B6" w14:textId="77777777" w:rsidR="002661BA" w:rsidRDefault="00D972BC">
            <w:pPr>
              <w:jc w:val="right"/>
              <w:textAlignment w:val="bottom"/>
            </w:pPr>
            <w:r>
              <w:rPr>
                <w:rFonts w:ascii="Arial" w:eastAsia="宋体" w:hAnsi="Arial" w:cs="Arial"/>
                <w:color w:val="000000"/>
                <w:sz w:val="18"/>
                <w:szCs w:val="18"/>
              </w:rPr>
              <w:t>26 </w:t>
            </w:r>
          </w:p>
        </w:tc>
        <w:tc>
          <w:tcPr>
            <w:tcW w:w="0" w:type="auto"/>
            <w:shd w:val="clear" w:color="auto" w:fill="E2E2E2"/>
            <w:tcMar>
              <w:top w:w="40" w:type="dxa"/>
              <w:left w:w="0" w:type="dxa"/>
              <w:bottom w:w="40" w:type="dxa"/>
              <w:right w:w="20" w:type="dxa"/>
            </w:tcMar>
            <w:vAlign w:val="bottom"/>
          </w:tcPr>
          <w:p w14:paraId="22CFA8B7"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8B8"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8B9" w14:textId="77777777" w:rsidR="002661BA" w:rsidRDefault="00D972BC">
            <w:pPr>
              <w:jc w:val="right"/>
              <w:textAlignment w:val="bottom"/>
            </w:pPr>
            <w:r>
              <w:rPr>
                <w:rFonts w:ascii="Arial" w:eastAsia="宋体" w:hAnsi="Arial" w:cs="Arial"/>
                <w:color w:val="000000"/>
                <w:sz w:val="18"/>
                <w:szCs w:val="18"/>
              </w:rPr>
              <w:t>262 </w:t>
            </w:r>
          </w:p>
        </w:tc>
        <w:tc>
          <w:tcPr>
            <w:tcW w:w="0" w:type="auto"/>
            <w:shd w:val="clear" w:color="auto" w:fill="E2E2E2"/>
            <w:tcMar>
              <w:top w:w="40" w:type="dxa"/>
              <w:left w:w="0" w:type="dxa"/>
              <w:bottom w:w="40" w:type="dxa"/>
              <w:right w:w="20" w:type="dxa"/>
            </w:tcMar>
            <w:vAlign w:val="bottom"/>
          </w:tcPr>
          <w:p w14:paraId="22CFA8BA" w14:textId="77777777" w:rsidR="002661BA" w:rsidRDefault="002661BA">
            <w:pPr>
              <w:jc w:val="right"/>
              <w:rPr>
                <w:rFonts w:ascii="宋体"/>
              </w:rPr>
            </w:pPr>
          </w:p>
        </w:tc>
      </w:tr>
      <w:tr w:rsidR="002661BA" w14:paraId="22CFA8C9" w14:textId="77777777">
        <w:tc>
          <w:tcPr>
            <w:tcW w:w="0" w:type="auto"/>
            <w:gridSpan w:val="3"/>
            <w:shd w:val="clear" w:color="auto" w:fill="FFFFFF"/>
            <w:tcMar>
              <w:top w:w="40" w:type="dxa"/>
              <w:left w:w="155" w:type="dxa"/>
              <w:bottom w:w="40" w:type="dxa"/>
              <w:right w:w="20" w:type="dxa"/>
            </w:tcMar>
            <w:vAlign w:val="bottom"/>
          </w:tcPr>
          <w:p w14:paraId="22CFA8BC" w14:textId="77777777" w:rsidR="002661BA" w:rsidRDefault="00D972BC">
            <w:pPr>
              <w:textAlignment w:val="bottom"/>
            </w:pPr>
            <w:r>
              <w:rPr>
                <w:rFonts w:ascii="Arial" w:eastAsia="宋体" w:hAnsi="Arial" w:cs="Arial"/>
                <w:i/>
                <w:iCs/>
                <w:color w:val="000000"/>
                <w:sz w:val="18"/>
                <w:szCs w:val="18"/>
              </w:rPr>
              <w:t>% of net revenues</w:t>
            </w:r>
          </w:p>
        </w:tc>
        <w:tc>
          <w:tcPr>
            <w:tcW w:w="0" w:type="auto"/>
            <w:gridSpan w:val="2"/>
            <w:shd w:val="clear" w:color="auto" w:fill="FFFFFF"/>
            <w:tcMar>
              <w:top w:w="40" w:type="dxa"/>
              <w:left w:w="20" w:type="dxa"/>
              <w:bottom w:w="40" w:type="dxa"/>
              <w:right w:w="0" w:type="dxa"/>
            </w:tcMar>
            <w:vAlign w:val="bottom"/>
          </w:tcPr>
          <w:p w14:paraId="22CFA8BD" w14:textId="77777777" w:rsidR="002661BA" w:rsidRDefault="00D972BC">
            <w:pPr>
              <w:jc w:val="right"/>
              <w:textAlignment w:val="bottom"/>
            </w:pPr>
            <w:r>
              <w:rPr>
                <w:rFonts w:ascii="Arial" w:eastAsia="宋体" w:hAnsi="Arial" w:cs="Arial"/>
                <w:i/>
                <w:iCs/>
                <w:color w:val="000000"/>
                <w:sz w:val="18"/>
                <w:szCs w:val="18"/>
              </w:rPr>
              <w:t>4 </w:t>
            </w:r>
          </w:p>
        </w:tc>
        <w:tc>
          <w:tcPr>
            <w:tcW w:w="0" w:type="auto"/>
            <w:shd w:val="clear" w:color="auto" w:fill="FFFFFF"/>
            <w:tcMar>
              <w:top w:w="40" w:type="dxa"/>
              <w:left w:w="0" w:type="dxa"/>
              <w:bottom w:w="40" w:type="dxa"/>
              <w:right w:w="20" w:type="dxa"/>
            </w:tcMar>
            <w:vAlign w:val="bottom"/>
          </w:tcPr>
          <w:p w14:paraId="22CFA8BE"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8BF"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8C0"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8C1"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8C2" w14:textId="77777777" w:rsidR="002661BA" w:rsidRDefault="00D972BC">
            <w:pPr>
              <w:jc w:val="right"/>
              <w:textAlignment w:val="bottom"/>
            </w:pPr>
            <w:r>
              <w:rPr>
                <w:rFonts w:ascii="Arial" w:eastAsia="宋体" w:hAnsi="Arial" w:cs="Arial"/>
                <w:i/>
                <w:iCs/>
                <w:color w:val="000000"/>
                <w:sz w:val="18"/>
                <w:szCs w:val="18"/>
              </w:rPr>
              <w:t>4 </w:t>
            </w:r>
          </w:p>
        </w:tc>
        <w:tc>
          <w:tcPr>
            <w:tcW w:w="0" w:type="auto"/>
            <w:shd w:val="clear" w:color="auto" w:fill="FFFFFF"/>
            <w:tcMar>
              <w:top w:w="40" w:type="dxa"/>
              <w:left w:w="0" w:type="dxa"/>
              <w:bottom w:w="40" w:type="dxa"/>
              <w:right w:w="20" w:type="dxa"/>
            </w:tcMar>
            <w:vAlign w:val="bottom"/>
          </w:tcPr>
          <w:p w14:paraId="22CFA8C3"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8C4"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8C5"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8C6"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8C7" w14:textId="77777777" w:rsidR="002661BA" w:rsidRDefault="00D972BC">
            <w:pPr>
              <w:jc w:val="right"/>
              <w:textAlignment w:val="bottom"/>
            </w:pPr>
            <w:r>
              <w:rPr>
                <w:rFonts w:ascii="Arial" w:eastAsia="宋体" w:hAnsi="Arial" w:cs="Arial"/>
                <w:i/>
                <w:iCs/>
                <w:color w:val="000000"/>
                <w:sz w:val="18"/>
                <w:szCs w:val="18"/>
              </w:rPr>
              <w:t>4 </w:t>
            </w:r>
          </w:p>
        </w:tc>
        <w:tc>
          <w:tcPr>
            <w:tcW w:w="0" w:type="auto"/>
            <w:shd w:val="clear" w:color="auto" w:fill="FFFFFF"/>
            <w:tcMar>
              <w:top w:w="40" w:type="dxa"/>
              <w:left w:w="0" w:type="dxa"/>
              <w:bottom w:w="40" w:type="dxa"/>
              <w:right w:w="20" w:type="dxa"/>
            </w:tcMar>
            <w:vAlign w:val="bottom"/>
          </w:tcPr>
          <w:p w14:paraId="22CFA8C8" w14:textId="77777777" w:rsidR="002661BA" w:rsidRDefault="00D972BC">
            <w:pPr>
              <w:jc w:val="right"/>
              <w:textAlignment w:val="bottom"/>
            </w:pPr>
            <w:r>
              <w:rPr>
                <w:rFonts w:ascii="Arial" w:eastAsia="宋体" w:hAnsi="Arial" w:cs="Arial"/>
                <w:i/>
                <w:iCs/>
                <w:color w:val="000000"/>
                <w:sz w:val="18"/>
                <w:szCs w:val="18"/>
              </w:rPr>
              <w:t>%</w:t>
            </w:r>
          </w:p>
        </w:tc>
      </w:tr>
      <w:tr w:rsidR="002661BA" w14:paraId="22CFA8D9" w14:textId="77777777">
        <w:tc>
          <w:tcPr>
            <w:tcW w:w="0" w:type="auto"/>
            <w:gridSpan w:val="3"/>
            <w:shd w:val="clear" w:color="auto" w:fill="E2E2E2"/>
            <w:tcMar>
              <w:top w:w="40" w:type="dxa"/>
              <w:left w:w="20" w:type="dxa"/>
              <w:bottom w:w="40" w:type="dxa"/>
              <w:right w:w="20" w:type="dxa"/>
            </w:tcMar>
            <w:vAlign w:val="bottom"/>
          </w:tcPr>
          <w:p w14:paraId="22CFA8CA" w14:textId="77777777" w:rsidR="002661BA" w:rsidRDefault="00D972BC">
            <w:pPr>
              <w:textAlignment w:val="bottom"/>
            </w:pPr>
            <w:r>
              <w:rPr>
                <w:rFonts w:ascii="Arial" w:eastAsia="宋体" w:hAnsi="Arial" w:cs="Arial"/>
                <w:color w:val="000000"/>
                <w:sz w:val="18"/>
                <w:szCs w:val="18"/>
              </w:rPr>
              <w:t>Am</w:t>
            </w:r>
            <w:r>
              <w:rPr>
                <w:rFonts w:ascii="Arial" w:eastAsia="宋体" w:hAnsi="Arial" w:cs="Arial"/>
                <w:color w:val="000000"/>
                <w:sz w:val="18"/>
                <w:szCs w:val="18"/>
              </w:rPr>
              <w:t>ortization of acquired intangible assets</w:t>
            </w:r>
          </w:p>
        </w:tc>
        <w:tc>
          <w:tcPr>
            <w:tcW w:w="0" w:type="auto"/>
            <w:gridSpan w:val="2"/>
            <w:shd w:val="clear" w:color="auto" w:fill="E2E2E2"/>
            <w:tcMar>
              <w:top w:w="40" w:type="dxa"/>
              <w:left w:w="20" w:type="dxa"/>
              <w:bottom w:w="40" w:type="dxa"/>
              <w:right w:w="0" w:type="dxa"/>
            </w:tcMar>
            <w:vAlign w:val="bottom"/>
          </w:tcPr>
          <w:p w14:paraId="22CFA8CB" w14:textId="77777777" w:rsidR="002661BA" w:rsidRDefault="00D972BC">
            <w:pPr>
              <w:jc w:val="right"/>
              <w:textAlignment w:val="bottom"/>
            </w:pPr>
            <w:r>
              <w:rPr>
                <w:rFonts w:ascii="Arial" w:eastAsia="宋体" w:hAnsi="Arial" w:cs="Arial"/>
                <w:color w:val="000000"/>
                <w:sz w:val="18"/>
                <w:szCs w:val="18"/>
              </w:rPr>
              <w:t>9 </w:t>
            </w:r>
          </w:p>
        </w:tc>
        <w:tc>
          <w:tcPr>
            <w:tcW w:w="0" w:type="auto"/>
            <w:shd w:val="clear" w:color="auto" w:fill="E2E2E2"/>
            <w:tcMar>
              <w:top w:w="40" w:type="dxa"/>
              <w:left w:w="0" w:type="dxa"/>
              <w:bottom w:w="40" w:type="dxa"/>
              <w:right w:w="20" w:type="dxa"/>
            </w:tcMar>
            <w:vAlign w:val="bottom"/>
          </w:tcPr>
          <w:p w14:paraId="22CFA8CC"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8CD"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8CE" w14:textId="77777777" w:rsidR="002661BA" w:rsidRDefault="00D972BC">
            <w:pPr>
              <w:jc w:val="right"/>
              <w:textAlignment w:val="bottom"/>
            </w:pPr>
            <w:r>
              <w:rPr>
                <w:rFonts w:ascii="Arial" w:eastAsia="宋体" w:hAnsi="Arial" w:cs="Arial"/>
                <w:color w:val="000000"/>
                <w:sz w:val="18"/>
                <w:szCs w:val="18"/>
              </w:rPr>
              <w:t>(67)</w:t>
            </w:r>
          </w:p>
        </w:tc>
        <w:tc>
          <w:tcPr>
            <w:tcW w:w="0" w:type="auto"/>
            <w:shd w:val="clear" w:color="auto" w:fill="E2E2E2"/>
            <w:tcMar>
              <w:top w:w="40" w:type="dxa"/>
              <w:left w:w="0" w:type="dxa"/>
              <w:bottom w:w="40" w:type="dxa"/>
              <w:right w:w="20" w:type="dxa"/>
            </w:tcMar>
            <w:vAlign w:val="bottom"/>
          </w:tcPr>
          <w:p w14:paraId="22CFA8CF"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8D0"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8D1" w14:textId="77777777" w:rsidR="002661BA" w:rsidRDefault="00D972BC">
            <w:pPr>
              <w:jc w:val="right"/>
              <w:textAlignment w:val="bottom"/>
            </w:pPr>
            <w:r>
              <w:rPr>
                <w:rFonts w:ascii="Arial" w:eastAsia="宋体" w:hAnsi="Arial" w:cs="Arial"/>
                <w:color w:val="000000"/>
                <w:sz w:val="18"/>
                <w:szCs w:val="18"/>
              </w:rPr>
              <w:t>27 </w:t>
            </w:r>
          </w:p>
        </w:tc>
        <w:tc>
          <w:tcPr>
            <w:tcW w:w="0" w:type="auto"/>
            <w:shd w:val="clear" w:color="auto" w:fill="E2E2E2"/>
            <w:tcMar>
              <w:top w:w="40" w:type="dxa"/>
              <w:left w:w="0" w:type="dxa"/>
              <w:bottom w:w="40" w:type="dxa"/>
              <w:right w:w="20" w:type="dxa"/>
            </w:tcMar>
            <w:vAlign w:val="bottom"/>
          </w:tcPr>
          <w:p w14:paraId="22CFA8D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8D3"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8D4" w14:textId="77777777" w:rsidR="002661BA" w:rsidRDefault="00D972BC">
            <w:pPr>
              <w:jc w:val="right"/>
              <w:textAlignment w:val="bottom"/>
            </w:pPr>
            <w:r>
              <w:rPr>
                <w:rFonts w:ascii="Arial" w:eastAsia="宋体" w:hAnsi="Arial" w:cs="Arial"/>
                <w:color w:val="000000"/>
                <w:sz w:val="18"/>
                <w:szCs w:val="18"/>
              </w:rPr>
              <w:t>(6)</w:t>
            </w:r>
          </w:p>
        </w:tc>
        <w:tc>
          <w:tcPr>
            <w:tcW w:w="0" w:type="auto"/>
            <w:shd w:val="clear" w:color="auto" w:fill="E2E2E2"/>
            <w:tcMar>
              <w:top w:w="40" w:type="dxa"/>
              <w:left w:w="0" w:type="dxa"/>
              <w:bottom w:w="40" w:type="dxa"/>
              <w:right w:w="20" w:type="dxa"/>
            </w:tcMar>
            <w:vAlign w:val="bottom"/>
          </w:tcPr>
          <w:p w14:paraId="22CFA8D5"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8D6"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8D7" w14:textId="77777777" w:rsidR="002661BA" w:rsidRDefault="00D972BC">
            <w:pPr>
              <w:jc w:val="right"/>
              <w:textAlignment w:val="bottom"/>
            </w:pPr>
            <w:r>
              <w:rPr>
                <w:rFonts w:ascii="Arial" w:eastAsia="宋体" w:hAnsi="Arial" w:cs="Arial"/>
                <w:color w:val="000000"/>
                <w:sz w:val="18"/>
                <w:szCs w:val="18"/>
              </w:rPr>
              <w:t>28 </w:t>
            </w:r>
          </w:p>
        </w:tc>
        <w:tc>
          <w:tcPr>
            <w:tcW w:w="0" w:type="auto"/>
            <w:shd w:val="clear" w:color="auto" w:fill="E2E2E2"/>
            <w:tcMar>
              <w:top w:w="40" w:type="dxa"/>
              <w:left w:w="0" w:type="dxa"/>
              <w:bottom w:w="40" w:type="dxa"/>
              <w:right w:w="20" w:type="dxa"/>
            </w:tcMar>
            <w:vAlign w:val="bottom"/>
          </w:tcPr>
          <w:p w14:paraId="22CFA8D8" w14:textId="77777777" w:rsidR="002661BA" w:rsidRDefault="002661BA">
            <w:pPr>
              <w:jc w:val="right"/>
              <w:rPr>
                <w:rFonts w:ascii="宋体"/>
              </w:rPr>
            </w:pPr>
          </w:p>
        </w:tc>
      </w:tr>
      <w:tr w:rsidR="002661BA" w14:paraId="22CFA8EC" w14:textId="77777777">
        <w:tc>
          <w:tcPr>
            <w:tcW w:w="0" w:type="auto"/>
            <w:gridSpan w:val="3"/>
            <w:shd w:val="clear" w:color="auto" w:fill="FFFFFF"/>
            <w:tcMar>
              <w:top w:w="40" w:type="dxa"/>
              <w:left w:w="245" w:type="dxa"/>
              <w:bottom w:w="40" w:type="dxa"/>
              <w:right w:w="20" w:type="dxa"/>
            </w:tcMar>
            <w:vAlign w:val="bottom"/>
          </w:tcPr>
          <w:p w14:paraId="22CFA8DA" w14:textId="77777777" w:rsidR="002661BA" w:rsidRDefault="00D972BC">
            <w:pPr>
              <w:textAlignment w:val="bottom"/>
            </w:pPr>
            <w:r>
              <w:rPr>
                <w:rFonts w:ascii="Arial" w:eastAsia="宋体" w:hAnsi="Arial" w:cs="Arial"/>
                <w:color w:val="000000"/>
                <w:sz w:val="18"/>
                <w:szCs w:val="18"/>
              </w:rPr>
              <w:t>Total operating expenses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A8DB"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A8DC" w14:textId="77777777" w:rsidR="002661BA" w:rsidRDefault="00D972BC">
            <w:pPr>
              <w:jc w:val="right"/>
              <w:textAlignment w:val="bottom"/>
            </w:pPr>
            <w:r>
              <w:rPr>
                <w:rFonts w:ascii="Arial" w:eastAsia="宋体" w:hAnsi="Arial" w:cs="Arial"/>
                <w:color w:val="000000"/>
                <w:sz w:val="18"/>
                <w:szCs w:val="18"/>
              </w:rPr>
              <w:t>4,847 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A8D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8DE"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8DF" w14:textId="77777777" w:rsidR="002661BA" w:rsidRDefault="00D972BC">
            <w:pPr>
              <w:jc w:val="right"/>
              <w:textAlignment w:val="bottom"/>
            </w:pPr>
            <w:r>
              <w:rPr>
                <w:rFonts w:ascii="Arial" w:eastAsia="宋体" w:hAnsi="Arial" w:cs="Arial"/>
                <w:color w:val="000000"/>
                <w:sz w:val="18"/>
                <w:szCs w:val="18"/>
              </w:rPr>
              <w:t>9 </w:t>
            </w:r>
          </w:p>
        </w:tc>
        <w:tc>
          <w:tcPr>
            <w:tcW w:w="0" w:type="auto"/>
            <w:shd w:val="clear" w:color="auto" w:fill="FFFFFF"/>
            <w:tcMar>
              <w:top w:w="40" w:type="dxa"/>
              <w:left w:w="0" w:type="dxa"/>
              <w:bottom w:w="40" w:type="dxa"/>
              <w:right w:w="20" w:type="dxa"/>
            </w:tcMar>
            <w:vAlign w:val="bottom"/>
          </w:tcPr>
          <w:p w14:paraId="22CFA8E0"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8E1"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A8E2"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A8E3" w14:textId="77777777" w:rsidR="002661BA" w:rsidRDefault="00D972BC">
            <w:pPr>
              <w:jc w:val="right"/>
              <w:textAlignment w:val="bottom"/>
            </w:pPr>
            <w:r>
              <w:rPr>
                <w:rFonts w:ascii="Arial" w:eastAsia="宋体" w:hAnsi="Arial" w:cs="Arial"/>
                <w:color w:val="000000"/>
                <w:sz w:val="18"/>
                <w:szCs w:val="18"/>
              </w:rPr>
              <w:t>4,461 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A8E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8E5"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8E6" w14:textId="77777777" w:rsidR="002661BA" w:rsidRDefault="00D972BC">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22CFA8E7"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8E8"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A8E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A8EA" w14:textId="77777777" w:rsidR="002661BA" w:rsidRDefault="00D972BC">
            <w:pPr>
              <w:jc w:val="right"/>
              <w:textAlignment w:val="bottom"/>
            </w:pPr>
            <w:r>
              <w:rPr>
                <w:rFonts w:ascii="Arial" w:eastAsia="宋体" w:hAnsi="Arial" w:cs="Arial"/>
                <w:color w:val="000000"/>
                <w:sz w:val="18"/>
                <w:szCs w:val="18"/>
              </w:rPr>
              <w:t>4,074 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A8EB" w14:textId="77777777" w:rsidR="002661BA" w:rsidRDefault="002661BA">
            <w:pPr>
              <w:jc w:val="right"/>
              <w:rPr>
                <w:rFonts w:ascii="宋体"/>
              </w:rPr>
            </w:pPr>
          </w:p>
        </w:tc>
      </w:tr>
    </w:tbl>
    <w:p w14:paraId="22CFA8ED" w14:textId="77777777" w:rsidR="002661BA" w:rsidRDefault="002661BA">
      <w:pPr>
        <w:jc w:val="both"/>
      </w:pPr>
    </w:p>
    <w:p w14:paraId="22CFA8EE" w14:textId="77777777" w:rsidR="002661BA" w:rsidRDefault="00D972BC">
      <w:pPr>
        <w:ind w:firstLine="540"/>
        <w:jc w:val="both"/>
      </w:pPr>
      <w:r>
        <w:rPr>
          <w:rFonts w:ascii="Arial" w:eastAsia="宋体" w:hAnsi="Arial" w:cs="Arial"/>
          <w:color w:val="000000"/>
          <w:sz w:val="20"/>
          <w:szCs w:val="20"/>
        </w:rPr>
        <w:t>Foreign currency movements relative to the U.S. dollar had an unfavorable im</w:t>
      </w:r>
      <w:r>
        <w:rPr>
          <w:rFonts w:ascii="Arial" w:eastAsia="宋体" w:hAnsi="Arial" w:cs="Arial"/>
          <w:color w:val="000000"/>
          <w:sz w:val="20"/>
          <w:szCs w:val="20"/>
        </w:rPr>
        <w:t>pact of $80 million on operating expenses in 2021 compared to 2020. There was no hedging activity within operating expenses.</w:t>
      </w:r>
    </w:p>
    <w:p w14:paraId="22CFA8EF" w14:textId="77777777" w:rsidR="002661BA" w:rsidRDefault="002661BA">
      <w:pPr>
        <w:jc w:val="both"/>
      </w:pPr>
    </w:p>
    <w:p w14:paraId="22CFA8F0" w14:textId="77777777" w:rsidR="002661BA" w:rsidRDefault="00D972BC">
      <w:pPr>
        <w:ind w:firstLine="180"/>
        <w:jc w:val="both"/>
      </w:pPr>
      <w:r>
        <w:rPr>
          <w:rFonts w:ascii="Arial" w:eastAsia="宋体" w:hAnsi="Arial" w:cs="Arial"/>
          <w:i/>
          <w:iCs/>
          <w:color w:val="000000"/>
          <w:sz w:val="20"/>
          <w:szCs w:val="20"/>
        </w:rPr>
        <w:t>Sales and Marketing</w:t>
      </w:r>
    </w:p>
    <w:p w14:paraId="22CFA8F1" w14:textId="77777777" w:rsidR="002661BA" w:rsidRDefault="00D972BC">
      <w:pPr>
        <w:jc w:val="both"/>
      </w:pPr>
      <w:r>
        <w:rPr>
          <w:rFonts w:ascii="Arial" w:eastAsia="宋体" w:hAnsi="Arial" w:cs="Arial"/>
          <w:color w:val="000000"/>
          <w:sz w:val="20"/>
          <w:szCs w:val="20"/>
        </w:rPr>
        <w:t> </w:t>
      </w:r>
    </w:p>
    <w:p w14:paraId="22CFA8F2" w14:textId="77777777" w:rsidR="002661BA" w:rsidRDefault="00D972BC">
      <w:pPr>
        <w:ind w:firstLine="540"/>
        <w:jc w:val="both"/>
      </w:pPr>
      <w:r>
        <w:rPr>
          <w:rFonts w:ascii="Arial" w:eastAsia="宋体" w:hAnsi="Arial" w:cs="Arial"/>
          <w:color w:val="000000"/>
          <w:sz w:val="20"/>
          <w:szCs w:val="20"/>
        </w:rPr>
        <w:t xml:space="preserve">Sales and marketing expenses primarily consist of advertising and marketing program costs (both online </w:t>
      </w:r>
      <w:r>
        <w:rPr>
          <w:rFonts w:ascii="Arial" w:eastAsia="宋体" w:hAnsi="Arial" w:cs="Arial"/>
          <w:color w:val="000000"/>
          <w:sz w:val="20"/>
          <w:szCs w:val="20"/>
        </w:rPr>
        <w:t>and offline), employee compensation including stock-based compensation, certain user coupons and rewards, contractor costs, facilities costs and depreciation on equipment. Online marketing expenses represent traffic acquisition costs in various channels su</w:t>
      </w:r>
      <w:r>
        <w:rPr>
          <w:rFonts w:ascii="Arial" w:eastAsia="宋体" w:hAnsi="Arial" w:cs="Arial"/>
          <w:color w:val="000000"/>
          <w:sz w:val="20"/>
          <w:szCs w:val="20"/>
        </w:rPr>
        <w:t>ch as paid search, affiliates marketing and display advertising. Offline advertising primarily includes brand campaigns and buyer/seller communications.</w:t>
      </w:r>
    </w:p>
    <w:p w14:paraId="22CFA8F3" w14:textId="77777777" w:rsidR="002661BA" w:rsidRDefault="002661BA">
      <w:pPr>
        <w:ind w:firstLine="540"/>
        <w:jc w:val="both"/>
      </w:pPr>
    </w:p>
    <w:p w14:paraId="22CFA8F4" w14:textId="77777777" w:rsidR="002661BA" w:rsidRDefault="00D972BC">
      <w:pPr>
        <w:ind w:firstLine="540"/>
        <w:jc w:val="both"/>
      </w:pPr>
      <w:r>
        <w:rPr>
          <w:rFonts w:ascii="Arial" w:eastAsia="宋体" w:hAnsi="Arial" w:cs="Arial"/>
          <w:color w:val="000000"/>
          <w:sz w:val="20"/>
          <w:szCs w:val="20"/>
        </w:rPr>
        <w:t>The increase in sales and marketing expenses in 2021 compared to 2020 was primarily due to increases o</w:t>
      </w:r>
      <w:r>
        <w:rPr>
          <w:rFonts w:ascii="Arial" w:eastAsia="宋体" w:hAnsi="Arial" w:cs="Arial"/>
          <w:color w:val="000000"/>
          <w:sz w:val="20"/>
          <w:szCs w:val="20"/>
        </w:rPr>
        <w:t>f $84 million in online advertising expenses, $37 million in employee compensation and $25 million in executive severance costs. These increases were offset by a decrease of $78 million in certain coupons and rewards.</w:t>
      </w:r>
    </w:p>
    <w:p w14:paraId="22CFA8F5" w14:textId="77777777" w:rsidR="002661BA" w:rsidRDefault="002661BA">
      <w:pPr>
        <w:ind w:firstLine="540"/>
        <w:jc w:val="both"/>
      </w:pPr>
    </w:p>
    <w:p w14:paraId="22CFA8F6" w14:textId="77777777" w:rsidR="002661BA" w:rsidRDefault="00D972BC">
      <w:pPr>
        <w:ind w:firstLine="180"/>
        <w:jc w:val="both"/>
      </w:pPr>
      <w:r>
        <w:rPr>
          <w:rFonts w:ascii="Arial" w:eastAsia="宋体" w:hAnsi="Arial" w:cs="Arial"/>
          <w:i/>
          <w:iCs/>
          <w:color w:val="000000"/>
          <w:sz w:val="20"/>
          <w:szCs w:val="20"/>
        </w:rPr>
        <w:t>Product Development</w:t>
      </w:r>
    </w:p>
    <w:p w14:paraId="22CFA8F7" w14:textId="77777777" w:rsidR="002661BA" w:rsidRDefault="00D972BC">
      <w:pPr>
        <w:jc w:val="both"/>
      </w:pPr>
      <w:r>
        <w:rPr>
          <w:rFonts w:ascii="Arial" w:eastAsia="宋体" w:hAnsi="Arial" w:cs="Arial"/>
          <w:color w:val="000000"/>
          <w:sz w:val="20"/>
          <w:szCs w:val="20"/>
        </w:rPr>
        <w:t> </w:t>
      </w:r>
    </w:p>
    <w:p w14:paraId="22CFA8F8" w14:textId="77777777" w:rsidR="002661BA" w:rsidRDefault="00D972BC">
      <w:pPr>
        <w:ind w:firstLine="540"/>
        <w:jc w:val="both"/>
      </w:pPr>
      <w:r>
        <w:rPr>
          <w:rFonts w:ascii="Arial" w:eastAsia="宋体" w:hAnsi="Arial" w:cs="Arial"/>
          <w:color w:val="000000"/>
          <w:sz w:val="20"/>
          <w:szCs w:val="20"/>
        </w:rPr>
        <w:t>Product develop</w:t>
      </w:r>
      <w:r>
        <w:rPr>
          <w:rFonts w:ascii="Arial" w:eastAsia="宋体" w:hAnsi="Arial" w:cs="Arial"/>
          <w:color w:val="000000"/>
          <w:sz w:val="20"/>
          <w:szCs w:val="20"/>
        </w:rPr>
        <w:t>ment expenses primarily consist of employee compensation including stock-based compensation, contractor costs, facilities costs and depreciation on equipment. Product development expenses are net of required capitalization of major platform and other produ</w:t>
      </w:r>
      <w:r>
        <w:rPr>
          <w:rFonts w:ascii="Arial" w:eastAsia="宋体" w:hAnsi="Arial" w:cs="Arial"/>
          <w:color w:val="000000"/>
          <w:sz w:val="20"/>
          <w:szCs w:val="20"/>
        </w:rPr>
        <w:t>ct development efforts, including the development and maintenance of our technology platform. Our top technology priorities include payment intermediation capabilities, products to grow the seller tools ecosystem and product experiences that delight our cu</w:t>
      </w:r>
      <w:r>
        <w:rPr>
          <w:rFonts w:ascii="Arial" w:eastAsia="宋体" w:hAnsi="Arial" w:cs="Arial"/>
          <w:color w:val="000000"/>
          <w:sz w:val="20"/>
          <w:szCs w:val="20"/>
        </w:rPr>
        <w:t>stomers and enhance the buying experience for our enthusiasts.</w:t>
      </w:r>
    </w:p>
    <w:p w14:paraId="22CFA8F9" w14:textId="77777777" w:rsidR="002661BA" w:rsidRDefault="002661BA">
      <w:pPr>
        <w:ind w:firstLine="540"/>
        <w:jc w:val="both"/>
      </w:pPr>
    </w:p>
    <w:p w14:paraId="22CFA8FA" w14:textId="77777777" w:rsidR="002661BA" w:rsidRDefault="00D972BC">
      <w:pPr>
        <w:ind w:firstLine="540"/>
        <w:jc w:val="both"/>
      </w:pPr>
      <w:r>
        <w:rPr>
          <w:rFonts w:ascii="Arial" w:eastAsia="宋体" w:hAnsi="Arial" w:cs="Arial"/>
          <w:color w:val="000000"/>
          <w:sz w:val="20"/>
          <w:szCs w:val="20"/>
        </w:rPr>
        <w:t>The increase in product development expenses in 2021 compared to 2020 was primarily due to increases of $227 million in employee related costs. Capitalized internal use and platform developmen</w:t>
      </w:r>
      <w:r>
        <w:rPr>
          <w:rFonts w:ascii="Arial" w:eastAsia="宋体" w:hAnsi="Arial" w:cs="Arial"/>
          <w:color w:val="000000"/>
          <w:sz w:val="20"/>
          <w:szCs w:val="20"/>
        </w:rPr>
        <w:t>t costs were $127 million and $129 million in 2021 and 2020, respectively, and are primarily reflected as a cost of net revenues when amortized in future periods.</w:t>
      </w:r>
    </w:p>
    <w:p w14:paraId="22CFA8FB" w14:textId="77777777" w:rsidR="002661BA" w:rsidRDefault="002661BA">
      <w:pPr>
        <w:ind w:firstLine="495"/>
        <w:jc w:val="both"/>
      </w:pPr>
    </w:p>
    <w:p w14:paraId="22CFA8FC" w14:textId="77777777" w:rsidR="002661BA" w:rsidRDefault="00D972BC">
      <w:pPr>
        <w:ind w:firstLine="180"/>
        <w:jc w:val="both"/>
      </w:pPr>
      <w:r>
        <w:rPr>
          <w:rFonts w:ascii="Arial" w:eastAsia="宋体" w:hAnsi="Arial" w:cs="Arial"/>
          <w:i/>
          <w:iCs/>
          <w:color w:val="000000"/>
          <w:sz w:val="20"/>
          <w:szCs w:val="20"/>
        </w:rPr>
        <w:t>General and Administrative</w:t>
      </w:r>
    </w:p>
    <w:p w14:paraId="22CFA8FD" w14:textId="77777777" w:rsidR="002661BA" w:rsidRDefault="00D972BC">
      <w:pPr>
        <w:jc w:val="both"/>
      </w:pPr>
      <w:r>
        <w:rPr>
          <w:rFonts w:ascii="Arial" w:eastAsia="宋体" w:hAnsi="Arial" w:cs="Arial"/>
          <w:color w:val="000000"/>
          <w:sz w:val="20"/>
          <w:szCs w:val="20"/>
        </w:rPr>
        <w:t> </w:t>
      </w:r>
    </w:p>
    <w:p w14:paraId="22CFA8FE" w14:textId="77777777" w:rsidR="002661BA" w:rsidRDefault="00D972BC">
      <w:pPr>
        <w:ind w:firstLine="540"/>
        <w:jc w:val="both"/>
      </w:pPr>
      <w:r>
        <w:rPr>
          <w:rFonts w:ascii="Arial" w:eastAsia="宋体" w:hAnsi="Arial" w:cs="Arial"/>
          <w:color w:val="000000"/>
          <w:sz w:val="20"/>
          <w:szCs w:val="20"/>
        </w:rPr>
        <w:t>General and administrative expenses primarily consist of employ</w:t>
      </w:r>
      <w:r>
        <w:rPr>
          <w:rFonts w:ascii="Arial" w:eastAsia="宋体" w:hAnsi="Arial" w:cs="Arial"/>
          <w:color w:val="000000"/>
          <w:sz w:val="20"/>
          <w:szCs w:val="20"/>
        </w:rPr>
        <w:t>ee compensation including stock-based compensation, contractor costs, facilities costs, depreciation of equipment, employer payroll taxes on stock-based compensation, legal expenses, restructuring, insurance premiums and professional fees. Our legal expens</w:t>
      </w:r>
      <w:r>
        <w:rPr>
          <w:rFonts w:ascii="Arial" w:eastAsia="宋体" w:hAnsi="Arial" w:cs="Arial"/>
          <w:color w:val="000000"/>
          <w:sz w:val="20"/>
          <w:szCs w:val="20"/>
        </w:rPr>
        <w:t>es, including those related to various ongoing legal proceedings, may fluctuate substantially from period to period.</w:t>
      </w:r>
    </w:p>
    <w:p w14:paraId="22CFA8FF" w14:textId="77777777" w:rsidR="002661BA" w:rsidRDefault="002661BA">
      <w:pPr>
        <w:ind w:firstLine="540"/>
        <w:jc w:val="both"/>
      </w:pPr>
    </w:p>
    <w:p w14:paraId="22CFA900" w14:textId="77777777" w:rsidR="002661BA" w:rsidRDefault="00D972BC">
      <w:pPr>
        <w:ind w:firstLine="540"/>
        <w:jc w:val="both"/>
      </w:pPr>
      <w:r>
        <w:rPr>
          <w:rFonts w:ascii="Arial" w:eastAsia="宋体" w:hAnsi="Arial" w:cs="Arial"/>
          <w:color w:val="000000"/>
          <w:sz w:val="20"/>
          <w:szCs w:val="20"/>
        </w:rPr>
        <w:t xml:space="preserve">The decrease in general and administrative expenses in 2021 compared to 2020 was primarily due to the absence of costs related to our CEO </w:t>
      </w:r>
      <w:r>
        <w:rPr>
          <w:rFonts w:ascii="Arial" w:eastAsia="宋体" w:hAnsi="Arial" w:cs="Arial"/>
          <w:color w:val="000000"/>
          <w:sz w:val="20"/>
          <w:szCs w:val="20"/>
        </w:rPr>
        <w:t>transition in 2020 of $33 million and a decrease in charitable contributions of approximately $36 million.</w:t>
      </w:r>
    </w:p>
    <w:p w14:paraId="22CFA901" w14:textId="77777777" w:rsidR="002661BA" w:rsidRDefault="002661BA">
      <w:pPr>
        <w:ind w:firstLine="540"/>
        <w:jc w:val="both"/>
      </w:pPr>
    </w:p>
    <w:p w14:paraId="22CFA902" w14:textId="77777777" w:rsidR="002661BA" w:rsidRDefault="00D972BC">
      <w:pPr>
        <w:jc w:val="center"/>
      </w:pPr>
      <w:r>
        <w:rPr>
          <w:rFonts w:ascii="Arial" w:eastAsia="宋体" w:hAnsi="Arial" w:cs="Arial"/>
          <w:color w:val="000000"/>
          <w:sz w:val="18"/>
          <w:szCs w:val="18"/>
        </w:rPr>
        <w:t>37</w:t>
      </w:r>
    </w:p>
    <w:p w14:paraId="22CFA903" w14:textId="77777777" w:rsidR="002661BA" w:rsidRDefault="00D972BC">
      <w:r>
        <w:pict w14:anchorId="22CFE4D6">
          <v:rect id="_x0000_i1061" style="width:415.3pt;height:1.5pt" o:hralign="center" o:hrstd="t" o:hr="t" fillcolor="#a0a0a0" stroked="f"/>
        </w:pict>
      </w:r>
    </w:p>
    <w:p w14:paraId="22CFA904" w14:textId="77777777" w:rsidR="002661BA" w:rsidRDefault="00D972BC">
      <w:hyperlink r:id="rId63" w:anchor="id0d7a71b05ce452ea9fdb54f3cb359c7_7" w:history="1">
        <w:r>
          <w:rPr>
            <w:rStyle w:val="a5"/>
            <w:rFonts w:ascii="Arial" w:eastAsia="宋体" w:hAnsi="Arial" w:cs="Arial"/>
            <w:sz w:val="18"/>
            <w:szCs w:val="18"/>
          </w:rPr>
          <w:t>Table of Contents</w:t>
        </w:r>
      </w:hyperlink>
    </w:p>
    <w:p w14:paraId="22CFA905" w14:textId="77777777" w:rsidR="002661BA" w:rsidRDefault="00D972BC">
      <w:pPr>
        <w:jc w:val="both"/>
      </w:pPr>
      <w:r>
        <w:rPr>
          <w:rFonts w:ascii="Arial" w:eastAsia="宋体" w:hAnsi="Arial" w:cs="Arial"/>
          <w:i/>
          <w:iCs/>
          <w:color w:val="000000"/>
          <w:sz w:val="20"/>
          <w:szCs w:val="20"/>
        </w:rPr>
        <w:t>Provision for Transaction Losses</w:t>
      </w:r>
    </w:p>
    <w:p w14:paraId="22CFA906" w14:textId="77777777" w:rsidR="002661BA" w:rsidRDefault="002661BA">
      <w:pPr>
        <w:jc w:val="both"/>
      </w:pPr>
    </w:p>
    <w:p w14:paraId="22CFA907" w14:textId="77777777" w:rsidR="002661BA" w:rsidRDefault="00D972BC">
      <w:pPr>
        <w:ind w:firstLine="540"/>
        <w:jc w:val="both"/>
      </w:pPr>
      <w:r>
        <w:rPr>
          <w:rFonts w:ascii="Arial" w:eastAsia="宋体" w:hAnsi="Arial" w:cs="Arial"/>
          <w:color w:val="000000"/>
          <w:sz w:val="20"/>
          <w:szCs w:val="20"/>
        </w:rPr>
        <w:t>Provision for transaction losses primarily consists</w:t>
      </w:r>
      <w:r>
        <w:rPr>
          <w:rFonts w:ascii="Arial" w:eastAsia="宋体" w:hAnsi="Arial" w:cs="Arial"/>
          <w:color w:val="000000"/>
          <w:sz w:val="20"/>
          <w:szCs w:val="20"/>
        </w:rPr>
        <w:t xml:space="preserve"> of transaction loss expense associated with our buyer protection programs, losses from our managed payments services, fraud and bad debt expense associated with our accounts receivable balance. We expect our provision for transaction losses to fluctuate d</w:t>
      </w:r>
      <w:r>
        <w:rPr>
          <w:rFonts w:ascii="Arial" w:eastAsia="宋体" w:hAnsi="Arial" w:cs="Arial"/>
          <w:color w:val="000000"/>
          <w:sz w:val="20"/>
          <w:szCs w:val="20"/>
        </w:rPr>
        <w:t>epending on many factors, including changes to our protection programs and the impact of regulatory changes.</w:t>
      </w:r>
    </w:p>
    <w:p w14:paraId="22CFA908" w14:textId="77777777" w:rsidR="002661BA" w:rsidRDefault="002661BA">
      <w:pPr>
        <w:jc w:val="both"/>
      </w:pPr>
    </w:p>
    <w:p w14:paraId="22CFA909" w14:textId="77777777" w:rsidR="002661BA" w:rsidRDefault="00D972BC">
      <w:pPr>
        <w:ind w:firstLine="540"/>
        <w:jc w:val="both"/>
      </w:pPr>
      <w:r>
        <w:rPr>
          <w:rFonts w:ascii="Arial" w:eastAsia="宋体" w:hAnsi="Arial" w:cs="Arial"/>
          <w:color w:val="000000"/>
          <w:sz w:val="20"/>
          <w:szCs w:val="20"/>
        </w:rPr>
        <w:t>The increase in provision for transaction losses in 2021 compared to the same period in 2020 was primarily due to higher chargeback losses of $81 </w:t>
      </w:r>
      <w:r>
        <w:rPr>
          <w:rFonts w:ascii="Arial" w:eastAsia="宋体" w:hAnsi="Arial" w:cs="Arial"/>
          <w:color w:val="000000"/>
          <w:sz w:val="20"/>
          <w:szCs w:val="20"/>
        </w:rPr>
        <w:t>million incurred for managed payments as we scaled the platform and higher customer protection program costs of $63 million. These increases were partially offset by a decrease in bad debt expense of $52 million as a result of fees collected through the ma</w:t>
      </w:r>
      <w:r>
        <w:rPr>
          <w:rFonts w:ascii="Arial" w:eastAsia="宋体" w:hAnsi="Arial" w:cs="Arial"/>
          <w:color w:val="000000"/>
          <w:sz w:val="20"/>
          <w:szCs w:val="20"/>
        </w:rPr>
        <w:t xml:space="preserve">naged payments platform. </w:t>
      </w:r>
    </w:p>
    <w:p w14:paraId="22CFA90A" w14:textId="77777777" w:rsidR="002661BA" w:rsidRDefault="002661BA">
      <w:pPr>
        <w:ind w:firstLine="540"/>
        <w:jc w:val="both"/>
      </w:pPr>
    </w:p>
    <w:p w14:paraId="22CFA90B" w14:textId="77777777" w:rsidR="002661BA" w:rsidRDefault="00D972BC">
      <w:pPr>
        <w:jc w:val="both"/>
      </w:pPr>
      <w:r>
        <w:rPr>
          <w:rFonts w:ascii="Arial" w:eastAsia="宋体" w:hAnsi="Arial" w:cs="Arial"/>
          <w:b/>
          <w:bCs/>
          <w:i/>
          <w:iCs/>
          <w:color w:val="000000"/>
          <w:sz w:val="20"/>
          <w:szCs w:val="20"/>
        </w:rPr>
        <w:t xml:space="preserve">Gain (Loss) on Equity Investments and Warrant, net </w:t>
      </w:r>
    </w:p>
    <w:p w14:paraId="22CFA90C" w14:textId="77777777" w:rsidR="002661BA" w:rsidRDefault="00D972BC">
      <w:pPr>
        <w:jc w:val="both"/>
      </w:pPr>
      <w:r>
        <w:rPr>
          <w:rFonts w:ascii="Arial" w:eastAsia="宋体" w:hAnsi="Arial" w:cs="Arial"/>
          <w:color w:val="000000"/>
          <w:sz w:val="20"/>
          <w:szCs w:val="20"/>
        </w:rPr>
        <w:t> </w:t>
      </w:r>
    </w:p>
    <w:p w14:paraId="22CFA90D" w14:textId="77777777" w:rsidR="002661BA" w:rsidRDefault="00D972BC">
      <w:pPr>
        <w:spacing w:after="120"/>
        <w:ind w:firstLine="540"/>
        <w:jc w:val="both"/>
      </w:pPr>
      <w:r>
        <w:rPr>
          <w:rFonts w:ascii="Arial" w:eastAsia="宋体" w:hAnsi="Arial" w:cs="Arial"/>
          <w:color w:val="000000"/>
          <w:sz w:val="20"/>
          <w:szCs w:val="20"/>
        </w:rPr>
        <w:t xml:space="preserve">Gain (loss) on equity investments and warrant, net primarily consists of gains and losses related to our various types of equity investments, including our equity </w:t>
      </w:r>
      <w:r>
        <w:rPr>
          <w:rFonts w:ascii="Arial" w:eastAsia="宋体" w:hAnsi="Arial" w:cs="Arial"/>
          <w:color w:val="000000"/>
          <w:sz w:val="20"/>
          <w:szCs w:val="20"/>
        </w:rPr>
        <w:t>investments in Adevinta, KakaoBank and Adyen, and gains and losses due to changes in fair value of the warrant received from Adyen. The following table presents gain (loss) on equity investments and warrant, net for the periods indicated (in millions, exce</w:t>
      </w:r>
      <w:r>
        <w:rPr>
          <w:rFonts w:ascii="Arial" w:eastAsia="宋体" w:hAnsi="Arial" w:cs="Arial"/>
          <w:color w:val="000000"/>
          <w:sz w:val="20"/>
          <w:szCs w:val="20"/>
        </w:rPr>
        <w:t>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3446"/>
        <w:gridCol w:w="37"/>
        <w:gridCol w:w="121"/>
        <w:gridCol w:w="696"/>
        <w:gridCol w:w="36"/>
        <w:gridCol w:w="36"/>
        <w:gridCol w:w="36"/>
        <w:gridCol w:w="36"/>
        <w:gridCol w:w="63"/>
        <w:gridCol w:w="615"/>
        <w:gridCol w:w="181"/>
        <w:gridCol w:w="37"/>
        <w:gridCol w:w="88"/>
        <w:gridCol w:w="36"/>
        <w:gridCol w:w="121"/>
        <w:gridCol w:w="696"/>
        <w:gridCol w:w="36"/>
        <w:gridCol w:w="36"/>
        <w:gridCol w:w="36"/>
        <w:gridCol w:w="36"/>
        <w:gridCol w:w="63"/>
        <w:gridCol w:w="615"/>
        <w:gridCol w:w="181"/>
        <w:gridCol w:w="37"/>
        <w:gridCol w:w="88"/>
        <w:gridCol w:w="36"/>
        <w:gridCol w:w="121"/>
        <w:gridCol w:w="696"/>
        <w:gridCol w:w="36"/>
      </w:tblGrid>
      <w:tr w:rsidR="002661BA" w14:paraId="22CFA92C" w14:textId="77777777">
        <w:tc>
          <w:tcPr>
            <w:tcW w:w="50" w:type="pct"/>
            <w:shd w:val="clear" w:color="auto" w:fill="auto"/>
            <w:vAlign w:val="bottom"/>
          </w:tcPr>
          <w:p w14:paraId="22CFA90E" w14:textId="77777777" w:rsidR="002661BA" w:rsidRDefault="002661BA">
            <w:pPr>
              <w:rPr>
                <w:rFonts w:ascii="宋体"/>
              </w:rPr>
            </w:pPr>
          </w:p>
        </w:tc>
        <w:tc>
          <w:tcPr>
            <w:tcW w:w="2159" w:type="pct"/>
            <w:shd w:val="clear" w:color="auto" w:fill="auto"/>
            <w:vAlign w:val="bottom"/>
          </w:tcPr>
          <w:p w14:paraId="22CFA90F" w14:textId="77777777" w:rsidR="002661BA" w:rsidRDefault="002661BA">
            <w:pPr>
              <w:rPr>
                <w:rFonts w:ascii="宋体"/>
              </w:rPr>
            </w:pPr>
          </w:p>
        </w:tc>
        <w:tc>
          <w:tcPr>
            <w:tcW w:w="5" w:type="pct"/>
            <w:shd w:val="clear" w:color="auto" w:fill="auto"/>
            <w:vAlign w:val="bottom"/>
          </w:tcPr>
          <w:p w14:paraId="22CFA910" w14:textId="77777777" w:rsidR="002661BA" w:rsidRDefault="002661BA">
            <w:pPr>
              <w:rPr>
                <w:rFonts w:ascii="宋体"/>
              </w:rPr>
            </w:pPr>
          </w:p>
        </w:tc>
        <w:tc>
          <w:tcPr>
            <w:tcW w:w="50" w:type="pct"/>
            <w:shd w:val="clear" w:color="auto" w:fill="auto"/>
            <w:vAlign w:val="bottom"/>
          </w:tcPr>
          <w:p w14:paraId="22CFA911" w14:textId="77777777" w:rsidR="002661BA" w:rsidRDefault="002661BA">
            <w:pPr>
              <w:rPr>
                <w:rFonts w:ascii="宋体"/>
              </w:rPr>
            </w:pPr>
          </w:p>
        </w:tc>
        <w:tc>
          <w:tcPr>
            <w:tcW w:w="478" w:type="pct"/>
            <w:shd w:val="clear" w:color="auto" w:fill="auto"/>
            <w:vAlign w:val="bottom"/>
          </w:tcPr>
          <w:p w14:paraId="22CFA912" w14:textId="77777777" w:rsidR="002661BA" w:rsidRDefault="002661BA">
            <w:pPr>
              <w:rPr>
                <w:rFonts w:ascii="宋体"/>
              </w:rPr>
            </w:pPr>
          </w:p>
        </w:tc>
        <w:tc>
          <w:tcPr>
            <w:tcW w:w="5" w:type="pct"/>
            <w:shd w:val="clear" w:color="auto" w:fill="auto"/>
            <w:vAlign w:val="bottom"/>
          </w:tcPr>
          <w:p w14:paraId="22CFA913" w14:textId="77777777" w:rsidR="002661BA" w:rsidRDefault="002661BA">
            <w:pPr>
              <w:rPr>
                <w:rFonts w:ascii="宋体"/>
              </w:rPr>
            </w:pPr>
          </w:p>
        </w:tc>
        <w:tc>
          <w:tcPr>
            <w:tcW w:w="5" w:type="pct"/>
            <w:shd w:val="clear" w:color="auto" w:fill="auto"/>
            <w:vAlign w:val="bottom"/>
          </w:tcPr>
          <w:p w14:paraId="22CFA914" w14:textId="77777777" w:rsidR="002661BA" w:rsidRDefault="002661BA">
            <w:pPr>
              <w:rPr>
                <w:rFonts w:ascii="宋体"/>
              </w:rPr>
            </w:pPr>
          </w:p>
        </w:tc>
        <w:tc>
          <w:tcPr>
            <w:tcW w:w="19" w:type="pct"/>
            <w:shd w:val="clear" w:color="auto" w:fill="auto"/>
            <w:vAlign w:val="bottom"/>
          </w:tcPr>
          <w:p w14:paraId="22CFA915" w14:textId="77777777" w:rsidR="002661BA" w:rsidRDefault="002661BA">
            <w:pPr>
              <w:rPr>
                <w:rFonts w:ascii="宋体"/>
              </w:rPr>
            </w:pPr>
          </w:p>
        </w:tc>
        <w:tc>
          <w:tcPr>
            <w:tcW w:w="5" w:type="pct"/>
            <w:shd w:val="clear" w:color="auto" w:fill="auto"/>
            <w:vAlign w:val="bottom"/>
          </w:tcPr>
          <w:p w14:paraId="22CFA916" w14:textId="77777777" w:rsidR="002661BA" w:rsidRDefault="002661BA">
            <w:pPr>
              <w:rPr>
                <w:rFonts w:ascii="宋体"/>
              </w:rPr>
            </w:pPr>
          </w:p>
        </w:tc>
        <w:tc>
          <w:tcPr>
            <w:tcW w:w="50" w:type="pct"/>
            <w:shd w:val="clear" w:color="auto" w:fill="auto"/>
            <w:vAlign w:val="bottom"/>
          </w:tcPr>
          <w:p w14:paraId="22CFA917" w14:textId="77777777" w:rsidR="002661BA" w:rsidRDefault="002661BA">
            <w:pPr>
              <w:rPr>
                <w:rFonts w:ascii="宋体"/>
              </w:rPr>
            </w:pPr>
          </w:p>
        </w:tc>
        <w:tc>
          <w:tcPr>
            <w:tcW w:w="478" w:type="pct"/>
            <w:shd w:val="clear" w:color="auto" w:fill="auto"/>
            <w:vAlign w:val="bottom"/>
          </w:tcPr>
          <w:p w14:paraId="22CFA918" w14:textId="77777777" w:rsidR="002661BA" w:rsidRDefault="002661BA">
            <w:pPr>
              <w:rPr>
                <w:rFonts w:ascii="宋体"/>
              </w:rPr>
            </w:pPr>
          </w:p>
        </w:tc>
        <w:tc>
          <w:tcPr>
            <w:tcW w:w="5" w:type="pct"/>
            <w:shd w:val="clear" w:color="auto" w:fill="auto"/>
            <w:vAlign w:val="bottom"/>
          </w:tcPr>
          <w:p w14:paraId="22CFA919" w14:textId="77777777" w:rsidR="002661BA" w:rsidRDefault="002661BA">
            <w:pPr>
              <w:rPr>
                <w:rFonts w:ascii="宋体"/>
              </w:rPr>
            </w:pPr>
          </w:p>
        </w:tc>
        <w:tc>
          <w:tcPr>
            <w:tcW w:w="5" w:type="pct"/>
            <w:shd w:val="clear" w:color="auto" w:fill="auto"/>
            <w:vAlign w:val="bottom"/>
          </w:tcPr>
          <w:p w14:paraId="22CFA91A" w14:textId="77777777" w:rsidR="002661BA" w:rsidRDefault="002661BA">
            <w:pPr>
              <w:rPr>
                <w:rFonts w:ascii="宋体"/>
              </w:rPr>
            </w:pPr>
          </w:p>
        </w:tc>
        <w:tc>
          <w:tcPr>
            <w:tcW w:w="19" w:type="pct"/>
            <w:shd w:val="clear" w:color="auto" w:fill="auto"/>
            <w:vAlign w:val="bottom"/>
          </w:tcPr>
          <w:p w14:paraId="22CFA91B" w14:textId="77777777" w:rsidR="002661BA" w:rsidRDefault="002661BA">
            <w:pPr>
              <w:rPr>
                <w:rFonts w:ascii="宋体"/>
              </w:rPr>
            </w:pPr>
          </w:p>
        </w:tc>
        <w:tc>
          <w:tcPr>
            <w:tcW w:w="5" w:type="pct"/>
            <w:shd w:val="clear" w:color="auto" w:fill="auto"/>
            <w:vAlign w:val="bottom"/>
          </w:tcPr>
          <w:p w14:paraId="22CFA91C" w14:textId="77777777" w:rsidR="002661BA" w:rsidRDefault="002661BA">
            <w:pPr>
              <w:rPr>
                <w:rFonts w:ascii="宋体"/>
              </w:rPr>
            </w:pPr>
          </w:p>
        </w:tc>
        <w:tc>
          <w:tcPr>
            <w:tcW w:w="50" w:type="pct"/>
            <w:shd w:val="clear" w:color="auto" w:fill="auto"/>
            <w:vAlign w:val="bottom"/>
          </w:tcPr>
          <w:p w14:paraId="22CFA91D" w14:textId="77777777" w:rsidR="002661BA" w:rsidRDefault="002661BA">
            <w:pPr>
              <w:rPr>
                <w:rFonts w:ascii="宋体"/>
              </w:rPr>
            </w:pPr>
          </w:p>
        </w:tc>
        <w:tc>
          <w:tcPr>
            <w:tcW w:w="478" w:type="pct"/>
            <w:shd w:val="clear" w:color="auto" w:fill="auto"/>
            <w:vAlign w:val="bottom"/>
          </w:tcPr>
          <w:p w14:paraId="22CFA91E" w14:textId="77777777" w:rsidR="002661BA" w:rsidRDefault="002661BA">
            <w:pPr>
              <w:rPr>
                <w:rFonts w:ascii="宋体"/>
              </w:rPr>
            </w:pPr>
          </w:p>
        </w:tc>
        <w:tc>
          <w:tcPr>
            <w:tcW w:w="5" w:type="pct"/>
            <w:shd w:val="clear" w:color="auto" w:fill="auto"/>
            <w:vAlign w:val="bottom"/>
          </w:tcPr>
          <w:p w14:paraId="22CFA91F" w14:textId="77777777" w:rsidR="002661BA" w:rsidRDefault="002661BA">
            <w:pPr>
              <w:rPr>
                <w:rFonts w:ascii="宋体"/>
              </w:rPr>
            </w:pPr>
          </w:p>
        </w:tc>
        <w:tc>
          <w:tcPr>
            <w:tcW w:w="5" w:type="pct"/>
            <w:shd w:val="clear" w:color="auto" w:fill="auto"/>
            <w:vAlign w:val="bottom"/>
          </w:tcPr>
          <w:p w14:paraId="22CFA920" w14:textId="77777777" w:rsidR="002661BA" w:rsidRDefault="002661BA">
            <w:pPr>
              <w:rPr>
                <w:rFonts w:ascii="宋体"/>
              </w:rPr>
            </w:pPr>
          </w:p>
        </w:tc>
        <w:tc>
          <w:tcPr>
            <w:tcW w:w="19" w:type="pct"/>
            <w:shd w:val="clear" w:color="auto" w:fill="auto"/>
            <w:vAlign w:val="bottom"/>
          </w:tcPr>
          <w:p w14:paraId="22CFA921" w14:textId="77777777" w:rsidR="002661BA" w:rsidRDefault="002661BA">
            <w:pPr>
              <w:rPr>
                <w:rFonts w:ascii="宋体"/>
              </w:rPr>
            </w:pPr>
          </w:p>
        </w:tc>
        <w:tc>
          <w:tcPr>
            <w:tcW w:w="5" w:type="pct"/>
            <w:shd w:val="clear" w:color="auto" w:fill="auto"/>
            <w:vAlign w:val="bottom"/>
          </w:tcPr>
          <w:p w14:paraId="22CFA922" w14:textId="77777777" w:rsidR="002661BA" w:rsidRDefault="002661BA">
            <w:pPr>
              <w:rPr>
                <w:rFonts w:ascii="宋体"/>
              </w:rPr>
            </w:pPr>
          </w:p>
        </w:tc>
        <w:tc>
          <w:tcPr>
            <w:tcW w:w="50" w:type="pct"/>
            <w:shd w:val="clear" w:color="auto" w:fill="auto"/>
            <w:vAlign w:val="bottom"/>
          </w:tcPr>
          <w:p w14:paraId="22CFA923" w14:textId="77777777" w:rsidR="002661BA" w:rsidRDefault="002661BA">
            <w:pPr>
              <w:rPr>
                <w:rFonts w:ascii="宋体"/>
              </w:rPr>
            </w:pPr>
          </w:p>
        </w:tc>
        <w:tc>
          <w:tcPr>
            <w:tcW w:w="478" w:type="pct"/>
            <w:shd w:val="clear" w:color="auto" w:fill="auto"/>
            <w:vAlign w:val="bottom"/>
          </w:tcPr>
          <w:p w14:paraId="22CFA924" w14:textId="77777777" w:rsidR="002661BA" w:rsidRDefault="002661BA">
            <w:pPr>
              <w:rPr>
                <w:rFonts w:ascii="宋体"/>
              </w:rPr>
            </w:pPr>
          </w:p>
        </w:tc>
        <w:tc>
          <w:tcPr>
            <w:tcW w:w="5" w:type="pct"/>
            <w:shd w:val="clear" w:color="auto" w:fill="auto"/>
            <w:vAlign w:val="bottom"/>
          </w:tcPr>
          <w:p w14:paraId="22CFA925" w14:textId="77777777" w:rsidR="002661BA" w:rsidRDefault="002661BA">
            <w:pPr>
              <w:rPr>
                <w:rFonts w:ascii="宋体"/>
              </w:rPr>
            </w:pPr>
          </w:p>
        </w:tc>
        <w:tc>
          <w:tcPr>
            <w:tcW w:w="5" w:type="pct"/>
            <w:shd w:val="clear" w:color="auto" w:fill="auto"/>
            <w:vAlign w:val="bottom"/>
          </w:tcPr>
          <w:p w14:paraId="22CFA926" w14:textId="77777777" w:rsidR="002661BA" w:rsidRDefault="002661BA">
            <w:pPr>
              <w:rPr>
                <w:rFonts w:ascii="宋体"/>
              </w:rPr>
            </w:pPr>
          </w:p>
        </w:tc>
        <w:tc>
          <w:tcPr>
            <w:tcW w:w="19" w:type="pct"/>
            <w:shd w:val="clear" w:color="auto" w:fill="auto"/>
            <w:vAlign w:val="bottom"/>
          </w:tcPr>
          <w:p w14:paraId="22CFA927" w14:textId="77777777" w:rsidR="002661BA" w:rsidRDefault="002661BA">
            <w:pPr>
              <w:rPr>
                <w:rFonts w:ascii="宋体"/>
              </w:rPr>
            </w:pPr>
          </w:p>
        </w:tc>
        <w:tc>
          <w:tcPr>
            <w:tcW w:w="5" w:type="pct"/>
            <w:shd w:val="clear" w:color="auto" w:fill="auto"/>
            <w:vAlign w:val="bottom"/>
          </w:tcPr>
          <w:p w14:paraId="22CFA928" w14:textId="77777777" w:rsidR="002661BA" w:rsidRDefault="002661BA">
            <w:pPr>
              <w:rPr>
                <w:rFonts w:ascii="宋体"/>
              </w:rPr>
            </w:pPr>
          </w:p>
        </w:tc>
        <w:tc>
          <w:tcPr>
            <w:tcW w:w="50" w:type="pct"/>
            <w:shd w:val="clear" w:color="auto" w:fill="auto"/>
            <w:vAlign w:val="bottom"/>
          </w:tcPr>
          <w:p w14:paraId="22CFA929" w14:textId="77777777" w:rsidR="002661BA" w:rsidRDefault="002661BA">
            <w:pPr>
              <w:rPr>
                <w:rFonts w:ascii="宋体"/>
              </w:rPr>
            </w:pPr>
          </w:p>
        </w:tc>
        <w:tc>
          <w:tcPr>
            <w:tcW w:w="478" w:type="pct"/>
            <w:shd w:val="clear" w:color="auto" w:fill="auto"/>
            <w:vAlign w:val="bottom"/>
          </w:tcPr>
          <w:p w14:paraId="22CFA92A" w14:textId="77777777" w:rsidR="002661BA" w:rsidRDefault="002661BA">
            <w:pPr>
              <w:rPr>
                <w:rFonts w:ascii="宋体"/>
              </w:rPr>
            </w:pPr>
          </w:p>
        </w:tc>
        <w:tc>
          <w:tcPr>
            <w:tcW w:w="5" w:type="pct"/>
            <w:shd w:val="clear" w:color="auto" w:fill="auto"/>
            <w:vAlign w:val="bottom"/>
          </w:tcPr>
          <w:p w14:paraId="22CFA92B" w14:textId="77777777" w:rsidR="002661BA" w:rsidRDefault="002661BA">
            <w:pPr>
              <w:rPr>
                <w:rFonts w:ascii="宋体"/>
              </w:rPr>
            </w:pPr>
          </w:p>
        </w:tc>
      </w:tr>
      <w:tr w:rsidR="002661BA" w14:paraId="22CFA92F" w14:textId="77777777">
        <w:tc>
          <w:tcPr>
            <w:tcW w:w="0" w:type="auto"/>
            <w:gridSpan w:val="3"/>
            <w:shd w:val="clear" w:color="auto" w:fill="auto"/>
            <w:tcMar>
              <w:top w:w="40" w:type="dxa"/>
              <w:left w:w="20" w:type="dxa"/>
              <w:bottom w:w="40" w:type="dxa"/>
              <w:right w:w="20" w:type="dxa"/>
            </w:tcMar>
            <w:vAlign w:val="bottom"/>
          </w:tcPr>
          <w:p w14:paraId="22CFA92D" w14:textId="77777777" w:rsidR="002661BA" w:rsidRDefault="00D972BC">
            <w:pPr>
              <w:textAlignment w:val="bottom"/>
            </w:pPr>
            <w:r>
              <w:rPr>
                <w:rFonts w:ascii="Arial" w:eastAsia="宋体" w:hAnsi="Arial" w:cs="Arial"/>
                <w:color w:val="000000"/>
                <w:sz w:val="17"/>
                <w:szCs w:val="17"/>
              </w:rPr>
              <w:t> </w:t>
            </w:r>
          </w:p>
        </w:tc>
        <w:tc>
          <w:tcPr>
            <w:tcW w:w="0" w:type="auto"/>
            <w:gridSpan w:val="27"/>
            <w:shd w:val="clear" w:color="auto" w:fill="auto"/>
            <w:tcMar>
              <w:top w:w="40" w:type="dxa"/>
              <w:left w:w="20" w:type="dxa"/>
              <w:bottom w:w="40" w:type="dxa"/>
              <w:right w:w="20" w:type="dxa"/>
            </w:tcMar>
            <w:vAlign w:val="bottom"/>
          </w:tcPr>
          <w:p w14:paraId="22CFA92E"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A93A" w14:textId="77777777">
        <w:tc>
          <w:tcPr>
            <w:tcW w:w="0" w:type="auto"/>
            <w:gridSpan w:val="3"/>
            <w:shd w:val="clear" w:color="auto" w:fill="auto"/>
            <w:tcMar>
              <w:top w:w="40" w:type="dxa"/>
              <w:left w:w="20" w:type="dxa"/>
              <w:bottom w:w="40" w:type="dxa"/>
              <w:right w:w="20" w:type="dxa"/>
            </w:tcMar>
            <w:vAlign w:val="bottom"/>
          </w:tcPr>
          <w:p w14:paraId="22CFA930"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931"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932"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933" w14:textId="77777777" w:rsidR="002661BA" w:rsidRDefault="00D972BC">
            <w:pPr>
              <w:jc w:val="center"/>
              <w:textAlignment w:val="bottom"/>
            </w:pPr>
            <w:r>
              <w:rPr>
                <w:rFonts w:ascii="Arial" w:eastAsia="宋体" w:hAnsi="Arial" w:cs="Arial"/>
                <w:b/>
                <w:bCs/>
                <w:color w:val="000000"/>
                <w:sz w:val="17"/>
                <w:szCs w:val="17"/>
              </w:rPr>
              <w:t>% Change</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934"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935"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936"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937" w14:textId="77777777" w:rsidR="002661BA" w:rsidRDefault="00D972BC">
            <w:pPr>
              <w:jc w:val="center"/>
              <w:textAlignment w:val="bottom"/>
            </w:pPr>
            <w:r>
              <w:rPr>
                <w:rFonts w:ascii="Arial" w:eastAsia="宋体" w:hAnsi="Arial" w:cs="Arial"/>
                <w:b/>
                <w:bCs/>
                <w:color w:val="000000"/>
                <w:sz w:val="17"/>
                <w:szCs w:val="17"/>
              </w:rPr>
              <w:t>% Change</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938"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939"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A94C" w14:textId="77777777">
        <w:tc>
          <w:tcPr>
            <w:tcW w:w="0" w:type="auto"/>
            <w:gridSpan w:val="3"/>
            <w:shd w:val="clear" w:color="auto" w:fill="E2E2E2"/>
            <w:tcMar>
              <w:top w:w="40" w:type="dxa"/>
              <w:left w:w="20" w:type="dxa"/>
              <w:bottom w:w="40" w:type="dxa"/>
              <w:right w:w="20" w:type="dxa"/>
            </w:tcMar>
            <w:vAlign w:val="bottom"/>
          </w:tcPr>
          <w:p w14:paraId="22CFA93B" w14:textId="77777777" w:rsidR="002661BA" w:rsidRDefault="00D972BC">
            <w:pPr>
              <w:textAlignment w:val="bottom"/>
            </w:pPr>
            <w:r>
              <w:rPr>
                <w:rFonts w:ascii="Arial" w:eastAsia="宋体" w:hAnsi="Arial" w:cs="Arial"/>
                <w:color w:val="000000"/>
                <w:sz w:val="18"/>
                <w:szCs w:val="18"/>
              </w:rPr>
              <w:t>Change in fair value of equity investment in Adevinta</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A93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93D" w14:textId="77777777" w:rsidR="002661BA" w:rsidRDefault="00D972BC">
            <w:pPr>
              <w:jc w:val="right"/>
              <w:textAlignment w:val="bottom"/>
            </w:pPr>
            <w:r>
              <w:rPr>
                <w:rFonts w:ascii="Arial" w:eastAsia="宋体" w:hAnsi="Arial" w:cs="Arial"/>
                <w:color w:val="000000"/>
                <w:sz w:val="18"/>
                <w:szCs w:val="18"/>
              </w:rPr>
              <w:t>(3,070)</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93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93F" w14:textId="77777777" w:rsidR="002661BA" w:rsidRDefault="002661B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22CFA940"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941"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A942"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943"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944"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945"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946"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947"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948"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A94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94A"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94B" w14:textId="77777777" w:rsidR="002661BA" w:rsidRDefault="002661BA">
            <w:pPr>
              <w:jc w:val="right"/>
              <w:rPr>
                <w:rFonts w:ascii="宋体"/>
              </w:rPr>
            </w:pPr>
          </w:p>
        </w:tc>
      </w:tr>
      <w:tr w:rsidR="002661BA" w14:paraId="22CFA95B" w14:textId="77777777">
        <w:tc>
          <w:tcPr>
            <w:tcW w:w="0" w:type="auto"/>
            <w:gridSpan w:val="3"/>
            <w:shd w:val="clear" w:color="auto" w:fill="FFFFFF"/>
            <w:tcMar>
              <w:top w:w="40" w:type="dxa"/>
              <w:left w:w="20" w:type="dxa"/>
              <w:bottom w:w="40" w:type="dxa"/>
              <w:right w:w="20" w:type="dxa"/>
            </w:tcMar>
            <w:vAlign w:val="bottom"/>
          </w:tcPr>
          <w:p w14:paraId="22CFA94D" w14:textId="77777777" w:rsidR="002661BA" w:rsidRDefault="00D972BC">
            <w:pPr>
              <w:textAlignment w:val="bottom"/>
            </w:pPr>
            <w:r>
              <w:rPr>
                <w:rFonts w:ascii="Arial" w:eastAsia="宋体" w:hAnsi="Arial" w:cs="Arial"/>
                <w:color w:val="000000"/>
                <w:sz w:val="18"/>
                <w:szCs w:val="18"/>
              </w:rPr>
              <w:t xml:space="preserve">Gain (loss) on sale of shares in Adevinta </w:t>
            </w:r>
            <w:r>
              <w:rPr>
                <w:rFonts w:ascii="Arial" w:eastAsia="宋体" w:hAnsi="Arial" w:cs="Arial"/>
                <w:color w:val="000000"/>
                <w:sz w:val="11"/>
                <w:szCs w:val="11"/>
              </w:rPr>
              <w:t>(1)</w:t>
            </w:r>
          </w:p>
        </w:tc>
        <w:tc>
          <w:tcPr>
            <w:tcW w:w="0" w:type="auto"/>
            <w:gridSpan w:val="2"/>
            <w:shd w:val="clear" w:color="auto" w:fill="FFFFFF"/>
            <w:tcMar>
              <w:top w:w="40" w:type="dxa"/>
              <w:left w:w="20" w:type="dxa"/>
              <w:bottom w:w="40" w:type="dxa"/>
              <w:right w:w="0" w:type="dxa"/>
            </w:tcMar>
            <w:vAlign w:val="bottom"/>
          </w:tcPr>
          <w:p w14:paraId="22CFA94E" w14:textId="77777777" w:rsidR="002661BA" w:rsidRDefault="00D972BC">
            <w:pPr>
              <w:jc w:val="right"/>
              <w:textAlignment w:val="bottom"/>
            </w:pPr>
            <w:r>
              <w:rPr>
                <w:rFonts w:ascii="Arial" w:eastAsia="宋体" w:hAnsi="Arial" w:cs="Arial"/>
                <w:color w:val="000000"/>
                <w:sz w:val="18"/>
                <w:szCs w:val="18"/>
              </w:rPr>
              <w:t>9 </w:t>
            </w:r>
          </w:p>
        </w:tc>
        <w:tc>
          <w:tcPr>
            <w:tcW w:w="0" w:type="auto"/>
            <w:shd w:val="clear" w:color="auto" w:fill="FFFFFF"/>
            <w:tcMar>
              <w:top w:w="40" w:type="dxa"/>
              <w:left w:w="0" w:type="dxa"/>
              <w:bottom w:w="40" w:type="dxa"/>
              <w:right w:w="20" w:type="dxa"/>
            </w:tcMar>
            <w:vAlign w:val="bottom"/>
          </w:tcPr>
          <w:p w14:paraId="22CFA94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950"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A951"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952"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953"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A95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955"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956"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A957"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958"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959"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A95A" w14:textId="77777777" w:rsidR="002661BA" w:rsidRDefault="002661BA">
            <w:pPr>
              <w:jc w:val="right"/>
              <w:rPr>
                <w:rFonts w:ascii="宋体"/>
              </w:rPr>
            </w:pPr>
          </w:p>
        </w:tc>
      </w:tr>
      <w:tr w:rsidR="002661BA" w14:paraId="22CFA966" w14:textId="77777777">
        <w:trPr>
          <w:hidden/>
        </w:trPr>
        <w:tc>
          <w:tcPr>
            <w:tcW w:w="0" w:type="auto"/>
            <w:gridSpan w:val="3"/>
            <w:shd w:val="clear" w:color="auto" w:fill="auto"/>
            <w:vAlign w:val="bottom"/>
          </w:tcPr>
          <w:p w14:paraId="22CFA95C" w14:textId="77777777" w:rsidR="002661BA" w:rsidRDefault="002661BA">
            <w:pPr>
              <w:rPr>
                <w:rFonts w:ascii="宋体"/>
                <w:vanish/>
              </w:rPr>
            </w:pPr>
          </w:p>
        </w:tc>
        <w:tc>
          <w:tcPr>
            <w:tcW w:w="0" w:type="auto"/>
            <w:gridSpan w:val="3"/>
            <w:shd w:val="clear" w:color="auto" w:fill="auto"/>
            <w:vAlign w:val="bottom"/>
          </w:tcPr>
          <w:p w14:paraId="22CFA95D" w14:textId="77777777" w:rsidR="002661BA" w:rsidRDefault="002661BA">
            <w:pPr>
              <w:rPr>
                <w:rFonts w:ascii="宋体"/>
                <w:vanish/>
              </w:rPr>
            </w:pPr>
          </w:p>
        </w:tc>
        <w:tc>
          <w:tcPr>
            <w:tcW w:w="0" w:type="auto"/>
            <w:gridSpan w:val="3"/>
            <w:shd w:val="clear" w:color="auto" w:fill="auto"/>
            <w:vAlign w:val="bottom"/>
          </w:tcPr>
          <w:p w14:paraId="22CFA95E" w14:textId="77777777" w:rsidR="002661BA" w:rsidRDefault="002661BA">
            <w:pPr>
              <w:rPr>
                <w:rFonts w:ascii="宋体"/>
                <w:vanish/>
              </w:rPr>
            </w:pPr>
          </w:p>
        </w:tc>
        <w:tc>
          <w:tcPr>
            <w:tcW w:w="0" w:type="auto"/>
            <w:gridSpan w:val="3"/>
            <w:shd w:val="clear" w:color="auto" w:fill="auto"/>
            <w:vAlign w:val="bottom"/>
          </w:tcPr>
          <w:p w14:paraId="22CFA95F" w14:textId="77777777" w:rsidR="002661BA" w:rsidRDefault="002661BA">
            <w:pPr>
              <w:rPr>
                <w:rFonts w:ascii="宋体"/>
                <w:vanish/>
              </w:rPr>
            </w:pPr>
          </w:p>
        </w:tc>
        <w:tc>
          <w:tcPr>
            <w:tcW w:w="0" w:type="auto"/>
            <w:gridSpan w:val="3"/>
            <w:shd w:val="clear" w:color="auto" w:fill="auto"/>
            <w:vAlign w:val="bottom"/>
          </w:tcPr>
          <w:p w14:paraId="22CFA960" w14:textId="77777777" w:rsidR="002661BA" w:rsidRDefault="002661BA">
            <w:pPr>
              <w:rPr>
                <w:rFonts w:ascii="宋体"/>
                <w:vanish/>
              </w:rPr>
            </w:pPr>
          </w:p>
        </w:tc>
        <w:tc>
          <w:tcPr>
            <w:tcW w:w="0" w:type="auto"/>
            <w:gridSpan w:val="3"/>
            <w:shd w:val="clear" w:color="auto" w:fill="auto"/>
            <w:vAlign w:val="bottom"/>
          </w:tcPr>
          <w:p w14:paraId="22CFA961" w14:textId="77777777" w:rsidR="002661BA" w:rsidRDefault="002661BA">
            <w:pPr>
              <w:rPr>
                <w:rFonts w:ascii="宋体"/>
                <w:vanish/>
              </w:rPr>
            </w:pPr>
          </w:p>
        </w:tc>
        <w:tc>
          <w:tcPr>
            <w:tcW w:w="0" w:type="auto"/>
            <w:gridSpan w:val="3"/>
            <w:shd w:val="clear" w:color="auto" w:fill="auto"/>
            <w:vAlign w:val="bottom"/>
          </w:tcPr>
          <w:p w14:paraId="22CFA962" w14:textId="77777777" w:rsidR="002661BA" w:rsidRDefault="002661BA">
            <w:pPr>
              <w:rPr>
                <w:rFonts w:ascii="宋体"/>
                <w:vanish/>
              </w:rPr>
            </w:pPr>
          </w:p>
        </w:tc>
        <w:tc>
          <w:tcPr>
            <w:tcW w:w="0" w:type="auto"/>
            <w:gridSpan w:val="3"/>
            <w:shd w:val="clear" w:color="auto" w:fill="auto"/>
            <w:vAlign w:val="bottom"/>
          </w:tcPr>
          <w:p w14:paraId="22CFA963" w14:textId="77777777" w:rsidR="002661BA" w:rsidRDefault="002661BA">
            <w:pPr>
              <w:rPr>
                <w:rFonts w:ascii="宋体"/>
                <w:vanish/>
              </w:rPr>
            </w:pPr>
          </w:p>
        </w:tc>
        <w:tc>
          <w:tcPr>
            <w:tcW w:w="0" w:type="auto"/>
            <w:gridSpan w:val="3"/>
            <w:shd w:val="clear" w:color="auto" w:fill="auto"/>
            <w:vAlign w:val="bottom"/>
          </w:tcPr>
          <w:p w14:paraId="22CFA964" w14:textId="77777777" w:rsidR="002661BA" w:rsidRDefault="002661BA">
            <w:pPr>
              <w:rPr>
                <w:rFonts w:ascii="宋体"/>
                <w:vanish/>
              </w:rPr>
            </w:pPr>
          </w:p>
        </w:tc>
        <w:tc>
          <w:tcPr>
            <w:tcW w:w="0" w:type="auto"/>
            <w:gridSpan w:val="3"/>
            <w:shd w:val="clear" w:color="auto" w:fill="auto"/>
            <w:vAlign w:val="bottom"/>
          </w:tcPr>
          <w:p w14:paraId="22CFA965" w14:textId="77777777" w:rsidR="002661BA" w:rsidRDefault="002661BA">
            <w:pPr>
              <w:rPr>
                <w:rFonts w:ascii="宋体"/>
                <w:vanish/>
              </w:rPr>
            </w:pPr>
          </w:p>
        </w:tc>
      </w:tr>
      <w:tr w:rsidR="002661BA" w14:paraId="22CFA975" w14:textId="77777777">
        <w:tc>
          <w:tcPr>
            <w:tcW w:w="0" w:type="auto"/>
            <w:gridSpan w:val="3"/>
            <w:shd w:val="clear" w:color="auto" w:fill="E2E2E2"/>
            <w:tcMar>
              <w:top w:w="40" w:type="dxa"/>
              <w:left w:w="20" w:type="dxa"/>
              <w:bottom w:w="40" w:type="dxa"/>
              <w:right w:w="20" w:type="dxa"/>
            </w:tcMar>
            <w:vAlign w:val="bottom"/>
          </w:tcPr>
          <w:p w14:paraId="22CFA967" w14:textId="77777777" w:rsidR="002661BA" w:rsidRDefault="00D972BC">
            <w:pPr>
              <w:textAlignment w:val="bottom"/>
            </w:pPr>
            <w:r>
              <w:rPr>
                <w:rFonts w:ascii="Arial" w:eastAsia="宋体" w:hAnsi="Arial" w:cs="Arial"/>
                <w:color w:val="000000"/>
                <w:sz w:val="18"/>
                <w:szCs w:val="18"/>
              </w:rPr>
              <w:t>Change in fair value of warrant</w:t>
            </w:r>
          </w:p>
        </w:tc>
        <w:tc>
          <w:tcPr>
            <w:tcW w:w="0" w:type="auto"/>
            <w:gridSpan w:val="2"/>
            <w:shd w:val="clear" w:color="auto" w:fill="E2E2E2"/>
            <w:tcMar>
              <w:top w:w="40" w:type="dxa"/>
              <w:left w:w="20" w:type="dxa"/>
              <w:bottom w:w="40" w:type="dxa"/>
              <w:right w:w="0" w:type="dxa"/>
            </w:tcMar>
            <w:vAlign w:val="bottom"/>
          </w:tcPr>
          <w:p w14:paraId="22CFA968" w14:textId="77777777" w:rsidR="002661BA" w:rsidRDefault="00D972BC">
            <w:pPr>
              <w:jc w:val="right"/>
              <w:textAlignment w:val="bottom"/>
            </w:pPr>
            <w:r>
              <w:rPr>
                <w:rFonts w:ascii="Arial" w:eastAsia="宋体" w:hAnsi="Arial" w:cs="Arial"/>
                <w:color w:val="000000"/>
                <w:sz w:val="18"/>
                <w:szCs w:val="18"/>
              </w:rPr>
              <w:t>354 </w:t>
            </w:r>
          </w:p>
        </w:tc>
        <w:tc>
          <w:tcPr>
            <w:tcW w:w="0" w:type="auto"/>
            <w:shd w:val="clear" w:color="auto" w:fill="E2E2E2"/>
            <w:tcMar>
              <w:top w:w="40" w:type="dxa"/>
              <w:left w:w="0" w:type="dxa"/>
              <w:bottom w:w="40" w:type="dxa"/>
              <w:right w:w="20" w:type="dxa"/>
            </w:tcMar>
            <w:vAlign w:val="bottom"/>
          </w:tcPr>
          <w:p w14:paraId="22CFA96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96A"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96B" w14:textId="77777777" w:rsidR="002661BA" w:rsidRDefault="00D972BC">
            <w:pPr>
              <w:jc w:val="right"/>
              <w:textAlignment w:val="bottom"/>
            </w:pPr>
            <w:r>
              <w:rPr>
                <w:rFonts w:ascii="Arial" w:eastAsia="宋体" w:hAnsi="Arial" w:cs="Arial"/>
                <w:color w:val="000000"/>
                <w:sz w:val="18"/>
                <w:szCs w:val="18"/>
              </w:rPr>
              <w:t>(54)</w:t>
            </w:r>
          </w:p>
        </w:tc>
        <w:tc>
          <w:tcPr>
            <w:tcW w:w="0" w:type="auto"/>
            <w:shd w:val="clear" w:color="auto" w:fill="E2E2E2"/>
            <w:tcMar>
              <w:top w:w="40" w:type="dxa"/>
              <w:left w:w="0" w:type="dxa"/>
              <w:bottom w:w="40" w:type="dxa"/>
              <w:right w:w="20" w:type="dxa"/>
            </w:tcMar>
            <w:vAlign w:val="bottom"/>
          </w:tcPr>
          <w:p w14:paraId="22CFA96C"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96D"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96E" w14:textId="77777777" w:rsidR="002661BA" w:rsidRDefault="00D972BC">
            <w:pPr>
              <w:jc w:val="right"/>
              <w:textAlignment w:val="bottom"/>
            </w:pPr>
            <w:r>
              <w:rPr>
                <w:rFonts w:ascii="Arial" w:eastAsia="宋体" w:hAnsi="Arial" w:cs="Arial"/>
                <w:color w:val="000000"/>
                <w:sz w:val="18"/>
                <w:szCs w:val="18"/>
              </w:rPr>
              <w:t>770 </w:t>
            </w:r>
          </w:p>
        </w:tc>
        <w:tc>
          <w:tcPr>
            <w:tcW w:w="0" w:type="auto"/>
            <w:shd w:val="clear" w:color="auto" w:fill="E2E2E2"/>
            <w:tcMar>
              <w:top w:w="40" w:type="dxa"/>
              <w:left w:w="0" w:type="dxa"/>
              <w:bottom w:w="40" w:type="dxa"/>
              <w:right w:w="20" w:type="dxa"/>
            </w:tcMar>
            <w:vAlign w:val="bottom"/>
          </w:tcPr>
          <w:p w14:paraId="22CFA96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970"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A971"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972"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973" w14:textId="77777777" w:rsidR="002661BA" w:rsidRDefault="00D972BC">
            <w:pPr>
              <w:jc w:val="right"/>
              <w:textAlignment w:val="bottom"/>
            </w:pPr>
            <w:r>
              <w:rPr>
                <w:rFonts w:ascii="Arial" w:eastAsia="宋体" w:hAnsi="Arial" w:cs="Arial"/>
                <w:color w:val="000000"/>
                <w:sz w:val="18"/>
                <w:szCs w:val="18"/>
              </w:rPr>
              <w:t>133 </w:t>
            </w:r>
          </w:p>
        </w:tc>
        <w:tc>
          <w:tcPr>
            <w:tcW w:w="0" w:type="auto"/>
            <w:shd w:val="clear" w:color="auto" w:fill="E2E2E2"/>
            <w:tcMar>
              <w:top w:w="40" w:type="dxa"/>
              <w:left w:w="0" w:type="dxa"/>
              <w:bottom w:w="40" w:type="dxa"/>
              <w:right w:w="20" w:type="dxa"/>
            </w:tcMar>
            <w:vAlign w:val="bottom"/>
          </w:tcPr>
          <w:p w14:paraId="22CFA974" w14:textId="77777777" w:rsidR="002661BA" w:rsidRDefault="002661BA">
            <w:pPr>
              <w:jc w:val="right"/>
              <w:rPr>
                <w:rFonts w:ascii="宋体"/>
              </w:rPr>
            </w:pPr>
          </w:p>
        </w:tc>
      </w:tr>
      <w:tr w:rsidR="002661BA" w14:paraId="22CFA984" w14:textId="77777777">
        <w:tc>
          <w:tcPr>
            <w:tcW w:w="0" w:type="auto"/>
            <w:gridSpan w:val="3"/>
            <w:shd w:val="clear" w:color="auto" w:fill="FFFFFF"/>
            <w:tcMar>
              <w:top w:w="40" w:type="dxa"/>
              <w:left w:w="20" w:type="dxa"/>
              <w:bottom w:w="40" w:type="dxa"/>
              <w:right w:w="20" w:type="dxa"/>
            </w:tcMar>
            <w:vAlign w:val="bottom"/>
          </w:tcPr>
          <w:p w14:paraId="22CFA976" w14:textId="77777777" w:rsidR="002661BA" w:rsidRDefault="00D972BC">
            <w:pPr>
              <w:textAlignment w:val="bottom"/>
            </w:pPr>
            <w:r>
              <w:rPr>
                <w:rFonts w:ascii="Arial" w:eastAsia="宋体" w:hAnsi="Arial" w:cs="Arial"/>
                <w:color w:val="000000"/>
                <w:sz w:val="18"/>
                <w:szCs w:val="18"/>
              </w:rPr>
              <w:t>Change in fair value of equity investment in Adyen</w:t>
            </w:r>
          </w:p>
        </w:tc>
        <w:tc>
          <w:tcPr>
            <w:tcW w:w="0" w:type="auto"/>
            <w:gridSpan w:val="2"/>
            <w:shd w:val="clear" w:color="auto" w:fill="FFFFFF"/>
            <w:tcMar>
              <w:top w:w="40" w:type="dxa"/>
              <w:left w:w="20" w:type="dxa"/>
              <w:bottom w:w="40" w:type="dxa"/>
              <w:right w:w="0" w:type="dxa"/>
            </w:tcMar>
            <w:vAlign w:val="bottom"/>
          </w:tcPr>
          <w:p w14:paraId="22CFA977" w14:textId="77777777" w:rsidR="002661BA" w:rsidRDefault="00D972BC">
            <w:pPr>
              <w:jc w:val="right"/>
              <w:textAlignment w:val="bottom"/>
            </w:pPr>
            <w:r>
              <w:rPr>
                <w:rFonts w:ascii="Arial" w:eastAsia="宋体" w:hAnsi="Arial" w:cs="Arial"/>
                <w:color w:val="000000"/>
                <w:sz w:val="18"/>
                <w:szCs w:val="18"/>
              </w:rPr>
              <w:t>(10)</w:t>
            </w:r>
          </w:p>
        </w:tc>
        <w:tc>
          <w:tcPr>
            <w:tcW w:w="0" w:type="auto"/>
            <w:shd w:val="clear" w:color="auto" w:fill="FFFFFF"/>
            <w:tcMar>
              <w:top w:w="40" w:type="dxa"/>
              <w:left w:w="0" w:type="dxa"/>
              <w:bottom w:w="40" w:type="dxa"/>
              <w:right w:w="20" w:type="dxa"/>
            </w:tcMar>
            <w:vAlign w:val="bottom"/>
          </w:tcPr>
          <w:p w14:paraId="22CFA97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979"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A97A"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97B"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97C"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A97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97E"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97F"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A980"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981"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982"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A983" w14:textId="77777777" w:rsidR="002661BA" w:rsidRDefault="002661BA">
            <w:pPr>
              <w:jc w:val="right"/>
              <w:rPr>
                <w:rFonts w:ascii="宋体"/>
              </w:rPr>
            </w:pPr>
          </w:p>
        </w:tc>
      </w:tr>
      <w:tr w:rsidR="002661BA" w14:paraId="22CFA993" w14:textId="77777777">
        <w:tc>
          <w:tcPr>
            <w:tcW w:w="0" w:type="auto"/>
            <w:gridSpan w:val="3"/>
            <w:shd w:val="clear" w:color="auto" w:fill="E2E2E2"/>
            <w:tcMar>
              <w:top w:w="40" w:type="dxa"/>
              <w:left w:w="20" w:type="dxa"/>
              <w:bottom w:w="40" w:type="dxa"/>
              <w:right w:w="20" w:type="dxa"/>
            </w:tcMar>
            <w:vAlign w:val="bottom"/>
          </w:tcPr>
          <w:p w14:paraId="22CFA985" w14:textId="77777777" w:rsidR="002661BA" w:rsidRDefault="00D972BC">
            <w:pPr>
              <w:textAlignment w:val="bottom"/>
            </w:pPr>
            <w:r>
              <w:rPr>
                <w:rFonts w:ascii="Arial" w:eastAsia="宋体" w:hAnsi="Arial" w:cs="Arial"/>
                <w:color w:val="000000"/>
                <w:sz w:val="18"/>
                <w:szCs w:val="18"/>
              </w:rPr>
              <w:t>Change in fair value of equity investment in KakaoBank</w:t>
            </w:r>
          </w:p>
        </w:tc>
        <w:tc>
          <w:tcPr>
            <w:tcW w:w="0" w:type="auto"/>
            <w:gridSpan w:val="2"/>
            <w:shd w:val="clear" w:color="auto" w:fill="E2E2E2"/>
            <w:tcMar>
              <w:top w:w="40" w:type="dxa"/>
              <w:left w:w="20" w:type="dxa"/>
              <w:bottom w:w="40" w:type="dxa"/>
              <w:right w:w="0" w:type="dxa"/>
            </w:tcMar>
            <w:vAlign w:val="bottom"/>
          </w:tcPr>
          <w:p w14:paraId="22CFA986" w14:textId="77777777" w:rsidR="002661BA" w:rsidRDefault="00D972BC">
            <w:pPr>
              <w:jc w:val="right"/>
              <w:textAlignment w:val="bottom"/>
            </w:pPr>
            <w:r>
              <w:rPr>
                <w:rFonts w:ascii="Arial" w:eastAsia="宋体" w:hAnsi="Arial" w:cs="Arial"/>
                <w:color w:val="000000"/>
                <w:sz w:val="18"/>
                <w:szCs w:val="18"/>
              </w:rPr>
              <w:t>403 </w:t>
            </w:r>
          </w:p>
        </w:tc>
        <w:tc>
          <w:tcPr>
            <w:tcW w:w="0" w:type="auto"/>
            <w:shd w:val="clear" w:color="auto" w:fill="E2E2E2"/>
            <w:tcMar>
              <w:top w:w="40" w:type="dxa"/>
              <w:left w:w="0" w:type="dxa"/>
              <w:bottom w:w="40" w:type="dxa"/>
              <w:right w:w="20" w:type="dxa"/>
            </w:tcMar>
            <w:vAlign w:val="bottom"/>
          </w:tcPr>
          <w:p w14:paraId="22CFA987"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988"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989" w14:textId="77777777" w:rsidR="002661BA" w:rsidRDefault="00D972BC">
            <w:pPr>
              <w:jc w:val="right"/>
              <w:textAlignment w:val="bottom"/>
            </w:pPr>
            <w:r>
              <w:rPr>
                <w:rFonts w:ascii="Arial" w:eastAsia="宋体" w:hAnsi="Arial" w:cs="Arial"/>
                <w:color w:val="000000"/>
                <w:sz w:val="18"/>
                <w:szCs w:val="18"/>
              </w:rPr>
              <w:t>69 </w:t>
            </w:r>
          </w:p>
        </w:tc>
        <w:tc>
          <w:tcPr>
            <w:tcW w:w="0" w:type="auto"/>
            <w:shd w:val="clear" w:color="auto" w:fill="E2E2E2"/>
            <w:tcMar>
              <w:top w:w="40" w:type="dxa"/>
              <w:left w:w="0" w:type="dxa"/>
              <w:bottom w:w="40" w:type="dxa"/>
              <w:right w:w="20" w:type="dxa"/>
            </w:tcMar>
            <w:vAlign w:val="bottom"/>
          </w:tcPr>
          <w:p w14:paraId="22CFA98A"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98B"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98C" w14:textId="77777777" w:rsidR="002661BA" w:rsidRDefault="00D972BC">
            <w:pPr>
              <w:jc w:val="right"/>
              <w:textAlignment w:val="bottom"/>
            </w:pPr>
            <w:r>
              <w:rPr>
                <w:rFonts w:ascii="Arial" w:eastAsia="宋体" w:hAnsi="Arial" w:cs="Arial"/>
                <w:color w:val="000000"/>
                <w:sz w:val="18"/>
                <w:szCs w:val="18"/>
              </w:rPr>
              <w:t>239 </w:t>
            </w:r>
          </w:p>
        </w:tc>
        <w:tc>
          <w:tcPr>
            <w:tcW w:w="0" w:type="auto"/>
            <w:shd w:val="clear" w:color="auto" w:fill="E2E2E2"/>
            <w:tcMar>
              <w:top w:w="40" w:type="dxa"/>
              <w:left w:w="0" w:type="dxa"/>
              <w:bottom w:w="40" w:type="dxa"/>
              <w:right w:w="20" w:type="dxa"/>
            </w:tcMar>
            <w:vAlign w:val="bottom"/>
          </w:tcPr>
          <w:p w14:paraId="22CFA98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98E"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A98F"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990"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991"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A992" w14:textId="77777777" w:rsidR="002661BA" w:rsidRDefault="002661BA">
            <w:pPr>
              <w:jc w:val="right"/>
              <w:rPr>
                <w:rFonts w:ascii="宋体"/>
              </w:rPr>
            </w:pPr>
          </w:p>
        </w:tc>
      </w:tr>
      <w:tr w:rsidR="002661BA" w14:paraId="22CFA9A2" w14:textId="77777777">
        <w:tc>
          <w:tcPr>
            <w:tcW w:w="0" w:type="auto"/>
            <w:gridSpan w:val="3"/>
            <w:shd w:val="clear" w:color="auto" w:fill="FFFFFF"/>
            <w:tcMar>
              <w:top w:w="40" w:type="dxa"/>
              <w:left w:w="20" w:type="dxa"/>
              <w:bottom w:w="40" w:type="dxa"/>
              <w:right w:w="20" w:type="dxa"/>
            </w:tcMar>
            <w:vAlign w:val="bottom"/>
          </w:tcPr>
          <w:p w14:paraId="22CFA994" w14:textId="77777777" w:rsidR="002661BA" w:rsidRDefault="00D972BC">
            <w:pPr>
              <w:textAlignment w:val="bottom"/>
            </w:pPr>
            <w:r>
              <w:rPr>
                <w:rFonts w:ascii="Arial" w:eastAsia="宋体" w:hAnsi="Arial" w:cs="Arial"/>
                <w:color w:val="000000"/>
                <w:sz w:val="18"/>
                <w:szCs w:val="18"/>
              </w:rPr>
              <w:t>Gain (loss) on sale of shares in KakaoBank</w:t>
            </w:r>
          </w:p>
        </w:tc>
        <w:tc>
          <w:tcPr>
            <w:tcW w:w="0" w:type="auto"/>
            <w:gridSpan w:val="2"/>
            <w:shd w:val="clear" w:color="auto" w:fill="FFFFFF"/>
            <w:tcMar>
              <w:top w:w="40" w:type="dxa"/>
              <w:left w:w="20" w:type="dxa"/>
              <w:bottom w:w="40" w:type="dxa"/>
              <w:right w:w="0" w:type="dxa"/>
            </w:tcMar>
            <w:vAlign w:val="bottom"/>
          </w:tcPr>
          <w:p w14:paraId="22CFA995" w14:textId="77777777" w:rsidR="002661BA" w:rsidRDefault="00D972BC">
            <w:pPr>
              <w:jc w:val="right"/>
              <w:textAlignment w:val="bottom"/>
            </w:pPr>
            <w:r>
              <w:rPr>
                <w:rFonts w:ascii="Arial" w:eastAsia="宋体" w:hAnsi="Arial" w:cs="Arial"/>
                <w:color w:val="000000"/>
                <w:sz w:val="18"/>
                <w:szCs w:val="18"/>
              </w:rPr>
              <w:t>83 </w:t>
            </w:r>
          </w:p>
        </w:tc>
        <w:tc>
          <w:tcPr>
            <w:tcW w:w="0" w:type="auto"/>
            <w:shd w:val="clear" w:color="auto" w:fill="FFFFFF"/>
            <w:tcMar>
              <w:top w:w="40" w:type="dxa"/>
              <w:left w:w="0" w:type="dxa"/>
              <w:bottom w:w="40" w:type="dxa"/>
              <w:right w:w="20" w:type="dxa"/>
            </w:tcMar>
            <w:vAlign w:val="bottom"/>
          </w:tcPr>
          <w:p w14:paraId="22CFA99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997"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A998"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999"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99A"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A99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99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99D"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A99E"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99F"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9A0"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A9A1" w14:textId="77777777" w:rsidR="002661BA" w:rsidRDefault="002661BA">
            <w:pPr>
              <w:jc w:val="right"/>
              <w:rPr>
                <w:rFonts w:ascii="宋体"/>
              </w:rPr>
            </w:pPr>
          </w:p>
        </w:tc>
      </w:tr>
      <w:tr w:rsidR="002661BA" w14:paraId="22CFA9B1" w14:textId="77777777">
        <w:tc>
          <w:tcPr>
            <w:tcW w:w="0" w:type="auto"/>
            <w:gridSpan w:val="3"/>
            <w:shd w:val="clear" w:color="auto" w:fill="E2E2E2"/>
            <w:tcMar>
              <w:top w:w="40" w:type="dxa"/>
              <w:left w:w="20" w:type="dxa"/>
              <w:bottom w:w="40" w:type="dxa"/>
              <w:right w:w="20" w:type="dxa"/>
            </w:tcMar>
            <w:vAlign w:val="bottom"/>
          </w:tcPr>
          <w:p w14:paraId="22CFA9A3" w14:textId="77777777" w:rsidR="002661BA" w:rsidRDefault="00D972BC">
            <w:pPr>
              <w:textAlignment w:val="bottom"/>
            </w:pPr>
            <w:r>
              <w:rPr>
                <w:rFonts w:ascii="Arial" w:eastAsia="宋体" w:hAnsi="Arial" w:cs="Arial"/>
                <w:color w:val="000000"/>
                <w:sz w:val="18"/>
                <w:szCs w:val="18"/>
              </w:rPr>
              <w:t>Impairment of equity investment in Paytm Mall</w:t>
            </w:r>
          </w:p>
        </w:tc>
        <w:tc>
          <w:tcPr>
            <w:tcW w:w="0" w:type="auto"/>
            <w:gridSpan w:val="2"/>
            <w:shd w:val="clear" w:color="auto" w:fill="E2E2E2"/>
            <w:tcMar>
              <w:top w:w="40" w:type="dxa"/>
              <w:left w:w="20" w:type="dxa"/>
              <w:bottom w:w="40" w:type="dxa"/>
              <w:right w:w="0" w:type="dxa"/>
            </w:tcMar>
            <w:vAlign w:val="bottom"/>
          </w:tcPr>
          <w:p w14:paraId="22CFA9A4" w14:textId="77777777" w:rsidR="002661BA" w:rsidRDefault="00D972BC">
            <w:pPr>
              <w:jc w:val="right"/>
              <w:textAlignment w:val="bottom"/>
            </w:pPr>
            <w:r>
              <w:rPr>
                <w:rFonts w:ascii="Arial" w:eastAsia="宋体" w:hAnsi="Arial" w:cs="Arial"/>
                <w:color w:val="000000"/>
                <w:sz w:val="18"/>
                <w:szCs w:val="18"/>
              </w:rPr>
              <w:t>(160)</w:t>
            </w:r>
          </w:p>
        </w:tc>
        <w:tc>
          <w:tcPr>
            <w:tcW w:w="0" w:type="auto"/>
            <w:shd w:val="clear" w:color="auto" w:fill="E2E2E2"/>
            <w:tcMar>
              <w:top w:w="40" w:type="dxa"/>
              <w:left w:w="0" w:type="dxa"/>
              <w:bottom w:w="40" w:type="dxa"/>
              <w:right w:w="20" w:type="dxa"/>
            </w:tcMar>
            <w:vAlign w:val="bottom"/>
          </w:tcPr>
          <w:p w14:paraId="22CFA9A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9A6"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A9A7"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9A8"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9A9"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A9A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9AB"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9AC"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A9AD"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9AE"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9AF"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A9B0" w14:textId="77777777" w:rsidR="002661BA" w:rsidRDefault="002661BA">
            <w:pPr>
              <w:jc w:val="right"/>
              <w:rPr>
                <w:rFonts w:ascii="宋体"/>
              </w:rPr>
            </w:pPr>
          </w:p>
        </w:tc>
      </w:tr>
      <w:tr w:rsidR="002661BA" w14:paraId="22CFA9BF" w14:textId="77777777">
        <w:tc>
          <w:tcPr>
            <w:tcW w:w="0" w:type="auto"/>
            <w:gridSpan w:val="3"/>
            <w:shd w:val="clear" w:color="auto" w:fill="FFFFFF"/>
            <w:tcMar>
              <w:top w:w="40" w:type="dxa"/>
              <w:left w:w="20" w:type="dxa"/>
              <w:bottom w:w="40" w:type="dxa"/>
              <w:right w:w="20" w:type="dxa"/>
            </w:tcMar>
            <w:vAlign w:val="bottom"/>
          </w:tcPr>
          <w:p w14:paraId="22CFA9B2" w14:textId="77777777" w:rsidR="002661BA" w:rsidRDefault="00D972BC">
            <w:pPr>
              <w:textAlignment w:val="bottom"/>
            </w:pPr>
            <w:r>
              <w:rPr>
                <w:rFonts w:ascii="Arial" w:eastAsia="宋体" w:hAnsi="Arial" w:cs="Arial"/>
                <w:color w:val="000000"/>
                <w:sz w:val="18"/>
                <w:szCs w:val="18"/>
              </w:rPr>
              <w:t xml:space="preserve">Gain (loss) on other investments </w:t>
            </w:r>
            <w:r>
              <w:rPr>
                <w:rFonts w:ascii="Arial" w:eastAsia="宋体" w:hAnsi="Arial" w:cs="Arial"/>
                <w:color w:val="000000"/>
                <w:sz w:val="11"/>
                <w:szCs w:val="11"/>
              </w:rPr>
              <w:t>(2)</w:t>
            </w:r>
          </w:p>
        </w:tc>
        <w:tc>
          <w:tcPr>
            <w:tcW w:w="0" w:type="auto"/>
            <w:gridSpan w:val="2"/>
            <w:shd w:val="clear" w:color="auto" w:fill="FFFFFF"/>
            <w:tcMar>
              <w:top w:w="40" w:type="dxa"/>
              <w:left w:w="20" w:type="dxa"/>
              <w:bottom w:w="40" w:type="dxa"/>
              <w:right w:w="0" w:type="dxa"/>
            </w:tcMar>
            <w:vAlign w:val="bottom"/>
          </w:tcPr>
          <w:p w14:paraId="22CFA9B3" w14:textId="77777777" w:rsidR="002661BA" w:rsidRDefault="00D972BC">
            <w:pPr>
              <w:jc w:val="right"/>
              <w:textAlignment w:val="bottom"/>
            </w:pPr>
            <w:r>
              <w:rPr>
                <w:rFonts w:ascii="Arial" w:eastAsia="宋体" w:hAnsi="Arial" w:cs="Arial"/>
                <w:color w:val="000000"/>
                <w:sz w:val="18"/>
                <w:szCs w:val="18"/>
              </w:rPr>
              <w:t>26 </w:t>
            </w:r>
          </w:p>
        </w:tc>
        <w:tc>
          <w:tcPr>
            <w:tcW w:w="0" w:type="auto"/>
            <w:shd w:val="clear" w:color="auto" w:fill="FFFFFF"/>
            <w:tcMar>
              <w:top w:w="40" w:type="dxa"/>
              <w:left w:w="0" w:type="dxa"/>
              <w:bottom w:w="40" w:type="dxa"/>
              <w:right w:w="20" w:type="dxa"/>
            </w:tcMar>
            <w:vAlign w:val="bottom"/>
          </w:tcPr>
          <w:p w14:paraId="22CFA9B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9B5"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A9B6"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9B7"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9B8" w14:textId="77777777" w:rsidR="002661BA" w:rsidRDefault="00D972BC">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22CFA9B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9BA"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A9BB"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9B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9BD"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A9BE" w14:textId="77777777" w:rsidR="002661BA" w:rsidRDefault="002661BA">
            <w:pPr>
              <w:jc w:val="right"/>
              <w:rPr>
                <w:rFonts w:ascii="宋体"/>
              </w:rPr>
            </w:pPr>
          </w:p>
        </w:tc>
      </w:tr>
      <w:tr w:rsidR="002661BA" w14:paraId="22CFA9D0" w14:textId="77777777">
        <w:tc>
          <w:tcPr>
            <w:tcW w:w="0" w:type="auto"/>
            <w:gridSpan w:val="3"/>
            <w:shd w:val="clear" w:color="auto" w:fill="E2E2E2"/>
            <w:tcMar>
              <w:top w:w="40" w:type="dxa"/>
              <w:left w:w="35" w:type="dxa"/>
              <w:bottom w:w="40" w:type="dxa"/>
              <w:right w:w="20" w:type="dxa"/>
            </w:tcMar>
            <w:vAlign w:val="bottom"/>
          </w:tcPr>
          <w:p w14:paraId="22CFA9C0" w14:textId="77777777" w:rsidR="002661BA" w:rsidRDefault="00D972BC">
            <w:pPr>
              <w:textAlignment w:val="bottom"/>
            </w:pPr>
            <w:r>
              <w:rPr>
                <w:rFonts w:ascii="Arial" w:eastAsia="宋体" w:hAnsi="Arial" w:cs="Arial"/>
                <w:color w:val="000000"/>
                <w:sz w:val="18"/>
                <w:szCs w:val="18"/>
              </w:rPr>
              <w:t>Total gain (loss) on equity investments and warrant, net</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A9C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A9C2" w14:textId="77777777" w:rsidR="002661BA" w:rsidRDefault="00D972BC">
            <w:pPr>
              <w:jc w:val="right"/>
              <w:textAlignment w:val="bottom"/>
            </w:pPr>
            <w:r>
              <w:rPr>
                <w:rFonts w:ascii="Arial" w:eastAsia="宋体" w:hAnsi="Arial" w:cs="Arial"/>
                <w:color w:val="000000"/>
                <w:sz w:val="18"/>
                <w:szCs w:val="18"/>
              </w:rPr>
              <w:t>(2,365)</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A9C3"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9C4"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A9C5"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40" w:type="dxa"/>
              <w:left w:w="20" w:type="dxa"/>
              <w:bottom w:w="40" w:type="dxa"/>
              <w:right w:w="20" w:type="dxa"/>
            </w:tcMar>
            <w:vAlign w:val="bottom"/>
          </w:tcPr>
          <w:p w14:paraId="22CFA9C6"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A9C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A9C8" w14:textId="77777777" w:rsidR="002661BA" w:rsidRDefault="00D972BC">
            <w:pPr>
              <w:jc w:val="right"/>
              <w:textAlignment w:val="bottom"/>
            </w:pPr>
            <w:r>
              <w:rPr>
                <w:rFonts w:ascii="Arial" w:eastAsia="宋体" w:hAnsi="Arial" w:cs="Arial"/>
                <w:color w:val="000000"/>
                <w:sz w:val="18"/>
                <w:szCs w:val="18"/>
              </w:rPr>
              <w:t>1,007 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A9C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9CA"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A9CB"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40" w:type="dxa"/>
              <w:left w:w="20" w:type="dxa"/>
              <w:bottom w:w="40" w:type="dxa"/>
              <w:right w:w="20" w:type="dxa"/>
            </w:tcMar>
            <w:vAlign w:val="bottom"/>
          </w:tcPr>
          <w:p w14:paraId="22CFA9CC"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A9C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A9CE" w14:textId="77777777" w:rsidR="002661BA" w:rsidRDefault="00D972BC">
            <w:pPr>
              <w:jc w:val="right"/>
              <w:textAlignment w:val="bottom"/>
            </w:pPr>
            <w:r>
              <w:rPr>
                <w:rFonts w:ascii="Arial" w:eastAsia="宋体" w:hAnsi="Arial" w:cs="Arial"/>
                <w:color w:val="000000"/>
                <w:sz w:val="18"/>
                <w:szCs w:val="18"/>
              </w:rPr>
              <w:t>133 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A9CF" w14:textId="77777777" w:rsidR="002661BA" w:rsidRDefault="002661BA">
            <w:pPr>
              <w:jc w:val="right"/>
              <w:rPr>
                <w:rFonts w:ascii="宋体"/>
              </w:rPr>
            </w:pPr>
          </w:p>
        </w:tc>
      </w:tr>
    </w:tbl>
    <w:p w14:paraId="22CFA9D1" w14:textId="77777777" w:rsidR="002661BA" w:rsidRDefault="00D972BC">
      <w:pPr>
        <w:spacing w:before="60"/>
        <w:ind w:hanging="360"/>
        <w:jc w:val="both"/>
      </w:pPr>
      <w:r>
        <w:rPr>
          <w:rFonts w:ascii="Arial" w:eastAsia="宋体" w:hAnsi="Arial" w:cs="Arial"/>
          <w:color w:val="000000"/>
          <w:sz w:val="16"/>
          <w:szCs w:val="16"/>
        </w:rPr>
        <w:t>(1)Gain (loss) on sale of shares in Adevinta included an $88 million gain recognized on the sale of the shares offset by a $79 million loss from th</w:t>
      </w:r>
      <w:r>
        <w:rPr>
          <w:rFonts w:ascii="Arial" w:eastAsia="宋体" w:hAnsi="Arial" w:cs="Arial"/>
          <w:color w:val="000000"/>
          <w:sz w:val="16"/>
          <w:szCs w:val="16"/>
        </w:rPr>
        <w:t>e change in fair value of the shares sold through the date of sale.</w:t>
      </w:r>
    </w:p>
    <w:p w14:paraId="22CFA9D2" w14:textId="77777777" w:rsidR="002661BA" w:rsidRDefault="00D972BC">
      <w:pPr>
        <w:spacing w:before="60"/>
        <w:ind w:hanging="360"/>
        <w:jc w:val="both"/>
      </w:pPr>
      <w:r>
        <w:rPr>
          <w:rFonts w:ascii="Arial" w:eastAsia="宋体" w:hAnsi="Arial" w:cs="Arial"/>
          <w:color w:val="000000"/>
          <w:sz w:val="16"/>
          <w:szCs w:val="16"/>
        </w:rPr>
        <w:t>(2)Gain (loss) on other investments primarily included: (i) in 2021, primarily a $41 million upward adjustment and a $10 million impairment recorded on equity investments without readily d</w:t>
      </w:r>
      <w:r>
        <w:rPr>
          <w:rFonts w:ascii="Arial" w:eastAsia="宋体" w:hAnsi="Arial" w:cs="Arial"/>
          <w:color w:val="000000"/>
          <w:sz w:val="16"/>
          <w:szCs w:val="16"/>
        </w:rPr>
        <w:t>eterminable fair values; (ii) in 2020, primarily a $40 million impairment recorded on an investment and a $37 million gain for the receipt of proceeds that were held in escrow related to a long-term investment that was sold in 2018.</w:t>
      </w:r>
    </w:p>
    <w:p w14:paraId="22CFA9D3" w14:textId="77777777" w:rsidR="002661BA" w:rsidRDefault="00D972BC">
      <w:pPr>
        <w:ind w:hanging="360"/>
        <w:jc w:val="both"/>
      </w:pPr>
      <w:r>
        <w:rPr>
          <w:rFonts w:ascii="Arial" w:eastAsia="宋体" w:hAnsi="Arial" w:cs="Arial"/>
          <w:color w:val="000000"/>
          <w:sz w:val="16"/>
          <w:szCs w:val="16"/>
        </w:rPr>
        <w:t>**    Not meaningful</w:t>
      </w:r>
    </w:p>
    <w:p w14:paraId="22CFA9D4" w14:textId="77777777" w:rsidR="002661BA" w:rsidRDefault="002661BA">
      <w:pPr>
        <w:ind w:firstLine="540"/>
        <w:jc w:val="both"/>
      </w:pPr>
    </w:p>
    <w:p w14:paraId="22CFA9D5" w14:textId="77777777" w:rsidR="002661BA" w:rsidRDefault="00D972BC">
      <w:pPr>
        <w:ind w:firstLine="540"/>
        <w:jc w:val="both"/>
      </w:pPr>
      <w:r>
        <w:rPr>
          <w:rFonts w:ascii="Arial" w:eastAsia="宋体" w:hAnsi="Arial" w:cs="Arial"/>
          <w:color w:val="000000"/>
          <w:sz w:val="20"/>
          <w:szCs w:val="20"/>
        </w:rPr>
        <w:t>T</w:t>
      </w:r>
      <w:r>
        <w:rPr>
          <w:rFonts w:ascii="Arial" w:eastAsia="宋体" w:hAnsi="Arial" w:cs="Arial"/>
          <w:color w:val="000000"/>
          <w:sz w:val="20"/>
          <w:szCs w:val="20"/>
        </w:rPr>
        <w:t>he decrease in gain (loss) on equity method investments and warrant, net in 2021 compared to 2020 was primarily driven by a $3.1 billion loss from the change in fair value of our equity investment in Adevinta, a $160 million impairment recorded on our equi</w:t>
      </w:r>
      <w:r>
        <w:rPr>
          <w:rFonts w:ascii="Arial" w:eastAsia="宋体" w:hAnsi="Arial" w:cs="Arial"/>
          <w:color w:val="000000"/>
          <w:sz w:val="20"/>
          <w:szCs w:val="20"/>
        </w:rPr>
        <w:t>ty investment in Paytm Mall and a $416 million change in the gain related to the Adyen warrant. These decreases were partially offset by a $164 million change in unrealized gain related to our equity investment in KakaoBank and a $83 million gain on sale o</w:t>
      </w:r>
      <w:r>
        <w:rPr>
          <w:rFonts w:ascii="Arial" w:eastAsia="宋体" w:hAnsi="Arial" w:cs="Arial"/>
          <w:color w:val="000000"/>
          <w:sz w:val="20"/>
          <w:szCs w:val="20"/>
        </w:rPr>
        <w:t>f a portion of our shares in KakaoBank.</w:t>
      </w:r>
    </w:p>
    <w:p w14:paraId="22CFA9D6" w14:textId="77777777" w:rsidR="002661BA" w:rsidRDefault="002661BA">
      <w:pPr>
        <w:jc w:val="both"/>
      </w:pPr>
    </w:p>
    <w:p w14:paraId="22CFA9D7" w14:textId="77777777" w:rsidR="002661BA" w:rsidRDefault="002661BA"/>
    <w:p w14:paraId="22CFA9D8" w14:textId="77777777" w:rsidR="002661BA" w:rsidRDefault="00D972BC">
      <w:pPr>
        <w:jc w:val="center"/>
      </w:pPr>
      <w:r>
        <w:rPr>
          <w:rFonts w:ascii="Arial" w:eastAsia="宋体" w:hAnsi="Arial" w:cs="Arial"/>
          <w:color w:val="000000"/>
          <w:sz w:val="18"/>
          <w:szCs w:val="18"/>
        </w:rPr>
        <w:t>38</w:t>
      </w:r>
    </w:p>
    <w:p w14:paraId="22CFA9D9" w14:textId="77777777" w:rsidR="002661BA" w:rsidRDefault="00D972BC">
      <w:r>
        <w:pict w14:anchorId="22CFE4D7">
          <v:rect id="_x0000_i1062" style="width:415.3pt;height:1.5pt" o:hralign="center" o:hrstd="t" o:hr="t" fillcolor="#a0a0a0" stroked="f"/>
        </w:pict>
      </w:r>
    </w:p>
    <w:p w14:paraId="22CFA9DA" w14:textId="77777777" w:rsidR="002661BA" w:rsidRDefault="00D972BC">
      <w:hyperlink r:id="rId64" w:anchor="id0d7a71b05ce452ea9fdb54f3cb359c7_7" w:history="1">
        <w:r>
          <w:rPr>
            <w:rStyle w:val="a5"/>
            <w:rFonts w:ascii="Arial" w:eastAsia="宋体" w:hAnsi="Arial" w:cs="Arial"/>
            <w:sz w:val="18"/>
            <w:szCs w:val="18"/>
          </w:rPr>
          <w:t>Table of Contents</w:t>
        </w:r>
      </w:hyperlink>
    </w:p>
    <w:p w14:paraId="22CFA9DB" w14:textId="77777777" w:rsidR="002661BA" w:rsidRDefault="00D972BC">
      <w:r>
        <w:rPr>
          <w:rFonts w:ascii="Arial" w:eastAsia="宋体" w:hAnsi="Arial" w:cs="Arial"/>
          <w:b/>
          <w:bCs/>
          <w:i/>
          <w:iCs/>
          <w:color w:val="000000"/>
          <w:sz w:val="20"/>
          <w:szCs w:val="20"/>
        </w:rPr>
        <w:t>Interest and Other, Net</w:t>
      </w:r>
    </w:p>
    <w:p w14:paraId="22CFA9DC" w14:textId="77777777" w:rsidR="002661BA" w:rsidRDefault="00D972BC">
      <w:pPr>
        <w:jc w:val="both"/>
      </w:pPr>
      <w:r>
        <w:rPr>
          <w:rFonts w:ascii="Arial" w:eastAsia="宋体" w:hAnsi="Arial" w:cs="Arial"/>
          <w:color w:val="000000"/>
          <w:sz w:val="20"/>
          <w:szCs w:val="20"/>
        </w:rPr>
        <w:t> </w:t>
      </w:r>
    </w:p>
    <w:p w14:paraId="22CFA9DD" w14:textId="77777777" w:rsidR="002661BA" w:rsidRDefault="00D972BC">
      <w:pPr>
        <w:spacing w:after="120"/>
        <w:ind w:firstLine="540"/>
        <w:jc w:val="both"/>
      </w:pPr>
      <w:r>
        <w:rPr>
          <w:rFonts w:ascii="Arial" w:eastAsia="宋体" w:hAnsi="Arial" w:cs="Arial"/>
          <w:color w:val="000000"/>
          <w:sz w:val="20"/>
          <w:szCs w:val="20"/>
        </w:rPr>
        <w:t>Interest and other, net primarily consists of interest earn</w:t>
      </w:r>
      <w:r>
        <w:rPr>
          <w:rFonts w:ascii="Arial" w:eastAsia="宋体" w:hAnsi="Arial" w:cs="Arial"/>
          <w:color w:val="000000"/>
          <w:sz w:val="20"/>
          <w:szCs w:val="20"/>
        </w:rPr>
        <w:t>ed on cash, cash equivalents and available-for-sale investments, as well as foreign exchange transaction gains and losses and interest expense, consisting of interest charges on any amounts borrowed and commitment fees on unborrowed amounts under our credi</w:t>
      </w:r>
      <w:r>
        <w:rPr>
          <w:rFonts w:ascii="Arial" w:eastAsia="宋体" w:hAnsi="Arial" w:cs="Arial"/>
          <w:color w:val="000000"/>
          <w:sz w:val="20"/>
          <w:szCs w:val="20"/>
        </w:rPr>
        <w:t>t agreement and interest expense on our outstanding debt securities and commercial paper, if any. The following table presents interest and other, net for the periods 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9"/>
        <w:gridCol w:w="3444"/>
        <w:gridCol w:w="38"/>
        <w:gridCol w:w="121"/>
        <w:gridCol w:w="696"/>
        <w:gridCol w:w="36"/>
        <w:gridCol w:w="36"/>
        <w:gridCol w:w="36"/>
        <w:gridCol w:w="36"/>
        <w:gridCol w:w="63"/>
        <w:gridCol w:w="615"/>
        <w:gridCol w:w="181"/>
        <w:gridCol w:w="37"/>
        <w:gridCol w:w="88"/>
        <w:gridCol w:w="36"/>
        <w:gridCol w:w="121"/>
        <w:gridCol w:w="696"/>
        <w:gridCol w:w="36"/>
        <w:gridCol w:w="36"/>
        <w:gridCol w:w="36"/>
        <w:gridCol w:w="36"/>
        <w:gridCol w:w="63"/>
        <w:gridCol w:w="615"/>
        <w:gridCol w:w="181"/>
        <w:gridCol w:w="37"/>
        <w:gridCol w:w="88"/>
        <w:gridCol w:w="36"/>
        <w:gridCol w:w="121"/>
        <w:gridCol w:w="696"/>
        <w:gridCol w:w="36"/>
      </w:tblGrid>
      <w:tr w:rsidR="002661BA" w14:paraId="22CFA9FC" w14:textId="77777777">
        <w:tc>
          <w:tcPr>
            <w:tcW w:w="50" w:type="pct"/>
            <w:shd w:val="clear" w:color="auto" w:fill="auto"/>
            <w:vAlign w:val="bottom"/>
          </w:tcPr>
          <w:p w14:paraId="22CFA9DE" w14:textId="77777777" w:rsidR="002661BA" w:rsidRDefault="002661BA">
            <w:pPr>
              <w:rPr>
                <w:rFonts w:ascii="宋体"/>
              </w:rPr>
            </w:pPr>
          </w:p>
        </w:tc>
        <w:tc>
          <w:tcPr>
            <w:tcW w:w="2159" w:type="pct"/>
            <w:shd w:val="clear" w:color="auto" w:fill="auto"/>
            <w:vAlign w:val="bottom"/>
          </w:tcPr>
          <w:p w14:paraId="22CFA9DF" w14:textId="77777777" w:rsidR="002661BA" w:rsidRDefault="002661BA">
            <w:pPr>
              <w:rPr>
                <w:rFonts w:ascii="宋体"/>
              </w:rPr>
            </w:pPr>
          </w:p>
        </w:tc>
        <w:tc>
          <w:tcPr>
            <w:tcW w:w="5" w:type="pct"/>
            <w:shd w:val="clear" w:color="auto" w:fill="auto"/>
            <w:vAlign w:val="bottom"/>
          </w:tcPr>
          <w:p w14:paraId="22CFA9E0" w14:textId="77777777" w:rsidR="002661BA" w:rsidRDefault="002661BA">
            <w:pPr>
              <w:rPr>
                <w:rFonts w:ascii="宋体"/>
              </w:rPr>
            </w:pPr>
          </w:p>
        </w:tc>
        <w:tc>
          <w:tcPr>
            <w:tcW w:w="50" w:type="pct"/>
            <w:shd w:val="clear" w:color="auto" w:fill="auto"/>
            <w:vAlign w:val="bottom"/>
          </w:tcPr>
          <w:p w14:paraId="22CFA9E1" w14:textId="77777777" w:rsidR="002661BA" w:rsidRDefault="002661BA">
            <w:pPr>
              <w:rPr>
                <w:rFonts w:ascii="宋体"/>
              </w:rPr>
            </w:pPr>
          </w:p>
        </w:tc>
        <w:tc>
          <w:tcPr>
            <w:tcW w:w="478" w:type="pct"/>
            <w:shd w:val="clear" w:color="auto" w:fill="auto"/>
            <w:vAlign w:val="bottom"/>
          </w:tcPr>
          <w:p w14:paraId="22CFA9E2" w14:textId="77777777" w:rsidR="002661BA" w:rsidRDefault="002661BA">
            <w:pPr>
              <w:rPr>
                <w:rFonts w:ascii="宋体"/>
              </w:rPr>
            </w:pPr>
          </w:p>
        </w:tc>
        <w:tc>
          <w:tcPr>
            <w:tcW w:w="5" w:type="pct"/>
            <w:shd w:val="clear" w:color="auto" w:fill="auto"/>
            <w:vAlign w:val="bottom"/>
          </w:tcPr>
          <w:p w14:paraId="22CFA9E3" w14:textId="77777777" w:rsidR="002661BA" w:rsidRDefault="002661BA">
            <w:pPr>
              <w:rPr>
                <w:rFonts w:ascii="宋体"/>
              </w:rPr>
            </w:pPr>
          </w:p>
        </w:tc>
        <w:tc>
          <w:tcPr>
            <w:tcW w:w="5" w:type="pct"/>
            <w:shd w:val="clear" w:color="auto" w:fill="auto"/>
            <w:vAlign w:val="bottom"/>
          </w:tcPr>
          <w:p w14:paraId="22CFA9E4" w14:textId="77777777" w:rsidR="002661BA" w:rsidRDefault="002661BA">
            <w:pPr>
              <w:rPr>
                <w:rFonts w:ascii="宋体"/>
              </w:rPr>
            </w:pPr>
          </w:p>
        </w:tc>
        <w:tc>
          <w:tcPr>
            <w:tcW w:w="19" w:type="pct"/>
            <w:shd w:val="clear" w:color="auto" w:fill="auto"/>
            <w:vAlign w:val="bottom"/>
          </w:tcPr>
          <w:p w14:paraId="22CFA9E5" w14:textId="77777777" w:rsidR="002661BA" w:rsidRDefault="002661BA">
            <w:pPr>
              <w:rPr>
                <w:rFonts w:ascii="宋体"/>
              </w:rPr>
            </w:pPr>
          </w:p>
        </w:tc>
        <w:tc>
          <w:tcPr>
            <w:tcW w:w="5" w:type="pct"/>
            <w:shd w:val="clear" w:color="auto" w:fill="auto"/>
            <w:vAlign w:val="bottom"/>
          </w:tcPr>
          <w:p w14:paraId="22CFA9E6" w14:textId="77777777" w:rsidR="002661BA" w:rsidRDefault="002661BA">
            <w:pPr>
              <w:rPr>
                <w:rFonts w:ascii="宋体"/>
              </w:rPr>
            </w:pPr>
          </w:p>
        </w:tc>
        <w:tc>
          <w:tcPr>
            <w:tcW w:w="50" w:type="pct"/>
            <w:shd w:val="clear" w:color="auto" w:fill="auto"/>
            <w:vAlign w:val="bottom"/>
          </w:tcPr>
          <w:p w14:paraId="22CFA9E7" w14:textId="77777777" w:rsidR="002661BA" w:rsidRDefault="002661BA">
            <w:pPr>
              <w:rPr>
                <w:rFonts w:ascii="宋体"/>
              </w:rPr>
            </w:pPr>
          </w:p>
        </w:tc>
        <w:tc>
          <w:tcPr>
            <w:tcW w:w="478" w:type="pct"/>
            <w:shd w:val="clear" w:color="auto" w:fill="auto"/>
            <w:vAlign w:val="bottom"/>
          </w:tcPr>
          <w:p w14:paraId="22CFA9E8" w14:textId="77777777" w:rsidR="002661BA" w:rsidRDefault="002661BA">
            <w:pPr>
              <w:rPr>
                <w:rFonts w:ascii="宋体"/>
              </w:rPr>
            </w:pPr>
          </w:p>
        </w:tc>
        <w:tc>
          <w:tcPr>
            <w:tcW w:w="5" w:type="pct"/>
            <w:shd w:val="clear" w:color="auto" w:fill="auto"/>
            <w:vAlign w:val="bottom"/>
          </w:tcPr>
          <w:p w14:paraId="22CFA9E9" w14:textId="77777777" w:rsidR="002661BA" w:rsidRDefault="002661BA">
            <w:pPr>
              <w:rPr>
                <w:rFonts w:ascii="宋体"/>
              </w:rPr>
            </w:pPr>
          </w:p>
        </w:tc>
        <w:tc>
          <w:tcPr>
            <w:tcW w:w="5" w:type="pct"/>
            <w:shd w:val="clear" w:color="auto" w:fill="auto"/>
            <w:vAlign w:val="bottom"/>
          </w:tcPr>
          <w:p w14:paraId="22CFA9EA" w14:textId="77777777" w:rsidR="002661BA" w:rsidRDefault="002661BA">
            <w:pPr>
              <w:rPr>
                <w:rFonts w:ascii="宋体"/>
              </w:rPr>
            </w:pPr>
          </w:p>
        </w:tc>
        <w:tc>
          <w:tcPr>
            <w:tcW w:w="19" w:type="pct"/>
            <w:shd w:val="clear" w:color="auto" w:fill="auto"/>
            <w:vAlign w:val="bottom"/>
          </w:tcPr>
          <w:p w14:paraId="22CFA9EB" w14:textId="77777777" w:rsidR="002661BA" w:rsidRDefault="002661BA">
            <w:pPr>
              <w:rPr>
                <w:rFonts w:ascii="宋体"/>
              </w:rPr>
            </w:pPr>
          </w:p>
        </w:tc>
        <w:tc>
          <w:tcPr>
            <w:tcW w:w="5" w:type="pct"/>
            <w:shd w:val="clear" w:color="auto" w:fill="auto"/>
            <w:vAlign w:val="bottom"/>
          </w:tcPr>
          <w:p w14:paraId="22CFA9EC" w14:textId="77777777" w:rsidR="002661BA" w:rsidRDefault="002661BA">
            <w:pPr>
              <w:rPr>
                <w:rFonts w:ascii="宋体"/>
              </w:rPr>
            </w:pPr>
          </w:p>
        </w:tc>
        <w:tc>
          <w:tcPr>
            <w:tcW w:w="50" w:type="pct"/>
            <w:shd w:val="clear" w:color="auto" w:fill="auto"/>
            <w:vAlign w:val="bottom"/>
          </w:tcPr>
          <w:p w14:paraId="22CFA9ED" w14:textId="77777777" w:rsidR="002661BA" w:rsidRDefault="002661BA">
            <w:pPr>
              <w:rPr>
                <w:rFonts w:ascii="宋体"/>
              </w:rPr>
            </w:pPr>
          </w:p>
        </w:tc>
        <w:tc>
          <w:tcPr>
            <w:tcW w:w="478" w:type="pct"/>
            <w:shd w:val="clear" w:color="auto" w:fill="auto"/>
            <w:vAlign w:val="bottom"/>
          </w:tcPr>
          <w:p w14:paraId="22CFA9EE" w14:textId="77777777" w:rsidR="002661BA" w:rsidRDefault="002661BA">
            <w:pPr>
              <w:rPr>
                <w:rFonts w:ascii="宋体"/>
              </w:rPr>
            </w:pPr>
          </w:p>
        </w:tc>
        <w:tc>
          <w:tcPr>
            <w:tcW w:w="5" w:type="pct"/>
            <w:shd w:val="clear" w:color="auto" w:fill="auto"/>
            <w:vAlign w:val="bottom"/>
          </w:tcPr>
          <w:p w14:paraId="22CFA9EF" w14:textId="77777777" w:rsidR="002661BA" w:rsidRDefault="002661BA">
            <w:pPr>
              <w:rPr>
                <w:rFonts w:ascii="宋体"/>
              </w:rPr>
            </w:pPr>
          </w:p>
        </w:tc>
        <w:tc>
          <w:tcPr>
            <w:tcW w:w="5" w:type="pct"/>
            <w:shd w:val="clear" w:color="auto" w:fill="auto"/>
            <w:vAlign w:val="bottom"/>
          </w:tcPr>
          <w:p w14:paraId="22CFA9F0" w14:textId="77777777" w:rsidR="002661BA" w:rsidRDefault="002661BA">
            <w:pPr>
              <w:rPr>
                <w:rFonts w:ascii="宋体"/>
              </w:rPr>
            </w:pPr>
          </w:p>
        </w:tc>
        <w:tc>
          <w:tcPr>
            <w:tcW w:w="19" w:type="pct"/>
            <w:shd w:val="clear" w:color="auto" w:fill="auto"/>
            <w:vAlign w:val="bottom"/>
          </w:tcPr>
          <w:p w14:paraId="22CFA9F1" w14:textId="77777777" w:rsidR="002661BA" w:rsidRDefault="002661BA">
            <w:pPr>
              <w:rPr>
                <w:rFonts w:ascii="宋体"/>
              </w:rPr>
            </w:pPr>
          </w:p>
        </w:tc>
        <w:tc>
          <w:tcPr>
            <w:tcW w:w="5" w:type="pct"/>
            <w:shd w:val="clear" w:color="auto" w:fill="auto"/>
            <w:vAlign w:val="bottom"/>
          </w:tcPr>
          <w:p w14:paraId="22CFA9F2" w14:textId="77777777" w:rsidR="002661BA" w:rsidRDefault="002661BA">
            <w:pPr>
              <w:rPr>
                <w:rFonts w:ascii="宋体"/>
              </w:rPr>
            </w:pPr>
          </w:p>
        </w:tc>
        <w:tc>
          <w:tcPr>
            <w:tcW w:w="50" w:type="pct"/>
            <w:shd w:val="clear" w:color="auto" w:fill="auto"/>
            <w:vAlign w:val="bottom"/>
          </w:tcPr>
          <w:p w14:paraId="22CFA9F3" w14:textId="77777777" w:rsidR="002661BA" w:rsidRDefault="002661BA">
            <w:pPr>
              <w:rPr>
                <w:rFonts w:ascii="宋体"/>
              </w:rPr>
            </w:pPr>
          </w:p>
        </w:tc>
        <w:tc>
          <w:tcPr>
            <w:tcW w:w="478" w:type="pct"/>
            <w:shd w:val="clear" w:color="auto" w:fill="auto"/>
            <w:vAlign w:val="bottom"/>
          </w:tcPr>
          <w:p w14:paraId="22CFA9F4" w14:textId="77777777" w:rsidR="002661BA" w:rsidRDefault="002661BA">
            <w:pPr>
              <w:rPr>
                <w:rFonts w:ascii="宋体"/>
              </w:rPr>
            </w:pPr>
          </w:p>
        </w:tc>
        <w:tc>
          <w:tcPr>
            <w:tcW w:w="5" w:type="pct"/>
            <w:shd w:val="clear" w:color="auto" w:fill="auto"/>
            <w:vAlign w:val="bottom"/>
          </w:tcPr>
          <w:p w14:paraId="22CFA9F5" w14:textId="77777777" w:rsidR="002661BA" w:rsidRDefault="002661BA">
            <w:pPr>
              <w:rPr>
                <w:rFonts w:ascii="宋体"/>
              </w:rPr>
            </w:pPr>
          </w:p>
        </w:tc>
        <w:tc>
          <w:tcPr>
            <w:tcW w:w="5" w:type="pct"/>
            <w:shd w:val="clear" w:color="auto" w:fill="auto"/>
            <w:vAlign w:val="bottom"/>
          </w:tcPr>
          <w:p w14:paraId="22CFA9F6" w14:textId="77777777" w:rsidR="002661BA" w:rsidRDefault="002661BA">
            <w:pPr>
              <w:rPr>
                <w:rFonts w:ascii="宋体"/>
              </w:rPr>
            </w:pPr>
          </w:p>
        </w:tc>
        <w:tc>
          <w:tcPr>
            <w:tcW w:w="19" w:type="pct"/>
            <w:shd w:val="clear" w:color="auto" w:fill="auto"/>
            <w:vAlign w:val="bottom"/>
          </w:tcPr>
          <w:p w14:paraId="22CFA9F7" w14:textId="77777777" w:rsidR="002661BA" w:rsidRDefault="002661BA">
            <w:pPr>
              <w:rPr>
                <w:rFonts w:ascii="宋体"/>
              </w:rPr>
            </w:pPr>
          </w:p>
        </w:tc>
        <w:tc>
          <w:tcPr>
            <w:tcW w:w="5" w:type="pct"/>
            <w:shd w:val="clear" w:color="auto" w:fill="auto"/>
            <w:vAlign w:val="bottom"/>
          </w:tcPr>
          <w:p w14:paraId="22CFA9F8" w14:textId="77777777" w:rsidR="002661BA" w:rsidRDefault="002661BA">
            <w:pPr>
              <w:rPr>
                <w:rFonts w:ascii="宋体"/>
              </w:rPr>
            </w:pPr>
          </w:p>
        </w:tc>
        <w:tc>
          <w:tcPr>
            <w:tcW w:w="50" w:type="pct"/>
            <w:shd w:val="clear" w:color="auto" w:fill="auto"/>
            <w:vAlign w:val="bottom"/>
          </w:tcPr>
          <w:p w14:paraId="22CFA9F9" w14:textId="77777777" w:rsidR="002661BA" w:rsidRDefault="002661BA">
            <w:pPr>
              <w:rPr>
                <w:rFonts w:ascii="宋体"/>
              </w:rPr>
            </w:pPr>
          </w:p>
        </w:tc>
        <w:tc>
          <w:tcPr>
            <w:tcW w:w="478" w:type="pct"/>
            <w:shd w:val="clear" w:color="auto" w:fill="auto"/>
            <w:vAlign w:val="bottom"/>
          </w:tcPr>
          <w:p w14:paraId="22CFA9FA" w14:textId="77777777" w:rsidR="002661BA" w:rsidRDefault="002661BA">
            <w:pPr>
              <w:rPr>
                <w:rFonts w:ascii="宋体"/>
              </w:rPr>
            </w:pPr>
          </w:p>
        </w:tc>
        <w:tc>
          <w:tcPr>
            <w:tcW w:w="5" w:type="pct"/>
            <w:shd w:val="clear" w:color="auto" w:fill="auto"/>
            <w:vAlign w:val="bottom"/>
          </w:tcPr>
          <w:p w14:paraId="22CFA9FB" w14:textId="77777777" w:rsidR="002661BA" w:rsidRDefault="002661BA">
            <w:pPr>
              <w:rPr>
                <w:rFonts w:ascii="宋体"/>
              </w:rPr>
            </w:pPr>
          </w:p>
        </w:tc>
      </w:tr>
      <w:tr w:rsidR="002661BA" w14:paraId="22CFA9FF" w14:textId="77777777">
        <w:tc>
          <w:tcPr>
            <w:tcW w:w="0" w:type="auto"/>
            <w:gridSpan w:val="3"/>
            <w:shd w:val="clear" w:color="auto" w:fill="auto"/>
            <w:tcMar>
              <w:top w:w="40" w:type="dxa"/>
              <w:left w:w="20" w:type="dxa"/>
              <w:bottom w:w="40" w:type="dxa"/>
              <w:right w:w="20" w:type="dxa"/>
            </w:tcMar>
            <w:vAlign w:val="bottom"/>
          </w:tcPr>
          <w:p w14:paraId="22CFA9FD" w14:textId="77777777" w:rsidR="002661BA" w:rsidRDefault="00D972BC">
            <w:pPr>
              <w:textAlignment w:val="bottom"/>
            </w:pPr>
            <w:r>
              <w:rPr>
                <w:rFonts w:ascii="Arial" w:eastAsia="宋体" w:hAnsi="Arial" w:cs="Arial"/>
                <w:color w:val="000000"/>
                <w:sz w:val="17"/>
                <w:szCs w:val="17"/>
              </w:rPr>
              <w:t> </w:t>
            </w:r>
          </w:p>
        </w:tc>
        <w:tc>
          <w:tcPr>
            <w:tcW w:w="0" w:type="auto"/>
            <w:gridSpan w:val="27"/>
            <w:shd w:val="clear" w:color="auto" w:fill="auto"/>
            <w:tcMar>
              <w:top w:w="40" w:type="dxa"/>
              <w:left w:w="20" w:type="dxa"/>
              <w:bottom w:w="40" w:type="dxa"/>
              <w:right w:w="20" w:type="dxa"/>
            </w:tcMar>
            <w:vAlign w:val="bottom"/>
          </w:tcPr>
          <w:p w14:paraId="22CFA9FE"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AA0A" w14:textId="77777777">
        <w:tc>
          <w:tcPr>
            <w:tcW w:w="0" w:type="auto"/>
            <w:gridSpan w:val="3"/>
            <w:shd w:val="clear" w:color="auto" w:fill="auto"/>
            <w:tcMar>
              <w:top w:w="40" w:type="dxa"/>
              <w:left w:w="20" w:type="dxa"/>
              <w:bottom w:w="40" w:type="dxa"/>
              <w:right w:w="20" w:type="dxa"/>
            </w:tcMar>
            <w:vAlign w:val="bottom"/>
          </w:tcPr>
          <w:p w14:paraId="22CFAA00"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A01"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A02"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A03" w14:textId="77777777" w:rsidR="002661BA" w:rsidRDefault="00D972BC">
            <w:pPr>
              <w:jc w:val="center"/>
              <w:textAlignment w:val="bottom"/>
            </w:pPr>
            <w:r>
              <w:rPr>
                <w:rFonts w:ascii="Arial" w:eastAsia="宋体" w:hAnsi="Arial" w:cs="Arial"/>
                <w:b/>
                <w:bCs/>
                <w:color w:val="000000"/>
                <w:sz w:val="17"/>
                <w:szCs w:val="17"/>
              </w:rPr>
              <w:t>% Change</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A04"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A05"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A06"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A07" w14:textId="77777777" w:rsidR="002661BA" w:rsidRDefault="00D972BC">
            <w:pPr>
              <w:jc w:val="center"/>
              <w:textAlignment w:val="bottom"/>
            </w:pPr>
            <w:r>
              <w:rPr>
                <w:rFonts w:ascii="Arial" w:eastAsia="宋体" w:hAnsi="Arial" w:cs="Arial"/>
                <w:b/>
                <w:bCs/>
                <w:color w:val="000000"/>
                <w:sz w:val="17"/>
                <w:szCs w:val="17"/>
              </w:rPr>
              <w:t>% Change</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A08"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A09"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AA1D" w14:textId="77777777">
        <w:tc>
          <w:tcPr>
            <w:tcW w:w="0" w:type="auto"/>
            <w:gridSpan w:val="3"/>
            <w:shd w:val="clear" w:color="auto" w:fill="E2E2E2"/>
            <w:tcMar>
              <w:top w:w="40" w:type="dxa"/>
              <w:left w:w="20" w:type="dxa"/>
              <w:bottom w:w="40" w:type="dxa"/>
              <w:right w:w="20" w:type="dxa"/>
            </w:tcMar>
            <w:vAlign w:val="bottom"/>
          </w:tcPr>
          <w:p w14:paraId="22CFAA0B" w14:textId="77777777" w:rsidR="002661BA" w:rsidRDefault="00D972BC">
            <w:pPr>
              <w:textAlignment w:val="bottom"/>
            </w:pPr>
            <w:r>
              <w:rPr>
                <w:rFonts w:ascii="Arial" w:eastAsia="宋体" w:hAnsi="Arial" w:cs="Arial"/>
                <w:color w:val="000000"/>
                <w:sz w:val="18"/>
                <w:szCs w:val="18"/>
              </w:rPr>
              <w:t>Interest income</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AA0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A0D" w14:textId="77777777" w:rsidR="002661BA" w:rsidRDefault="00D972BC">
            <w:pPr>
              <w:jc w:val="right"/>
              <w:textAlignment w:val="bottom"/>
            </w:pPr>
            <w:r>
              <w:rPr>
                <w:rFonts w:ascii="Arial" w:eastAsia="宋体" w:hAnsi="Arial" w:cs="Arial"/>
                <w:color w:val="000000"/>
                <w:sz w:val="18"/>
                <w:szCs w:val="18"/>
              </w:rPr>
              <w:t>19 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A0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A0F"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A10" w14:textId="77777777" w:rsidR="002661BA" w:rsidRDefault="00D972BC">
            <w:pPr>
              <w:jc w:val="right"/>
              <w:textAlignment w:val="bottom"/>
            </w:pPr>
            <w:r>
              <w:rPr>
                <w:rFonts w:ascii="Arial" w:eastAsia="宋体" w:hAnsi="Arial" w:cs="Arial"/>
                <w:color w:val="000000"/>
                <w:sz w:val="18"/>
                <w:szCs w:val="18"/>
              </w:rPr>
              <w:t>(50)</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A11"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40" w:type="dxa"/>
              <w:left w:w="20" w:type="dxa"/>
              <w:bottom w:w="40" w:type="dxa"/>
              <w:right w:w="20" w:type="dxa"/>
            </w:tcMar>
            <w:vAlign w:val="bottom"/>
          </w:tcPr>
          <w:p w14:paraId="22CFAA12"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AA1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A14" w14:textId="77777777" w:rsidR="002661BA" w:rsidRDefault="00D972BC">
            <w:pPr>
              <w:jc w:val="right"/>
              <w:textAlignment w:val="bottom"/>
            </w:pPr>
            <w:r>
              <w:rPr>
                <w:rFonts w:ascii="Arial" w:eastAsia="宋体" w:hAnsi="Arial" w:cs="Arial"/>
                <w:color w:val="000000"/>
                <w:sz w:val="18"/>
                <w:szCs w:val="18"/>
              </w:rPr>
              <w:t>38 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A1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A16"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A17" w14:textId="77777777" w:rsidR="002661BA" w:rsidRDefault="00D972BC">
            <w:pPr>
              <w:jc w:val="right"/>
              <w:textAlignment w:val="bottom"/>
            </w:pPr>
            <w:r>
              <w:rPr>
                <w:rFonts w:ascii="Arial" w:eastAsia="宋体" w:hAnsi="Arial" w:cs="Arial"/>
                <w:color w:val="000000"/>
                <w:sz w:val="18"/>
                <w:szCs w:val="18"/>
              </w:rPr>
              <w:t>(66)</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A18"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40" w:type="dxa"/>
              <w:left w:w="20" w:type="dxa"/>
              <w:bottom w:w="40" w:type="dxa"/>
              <w:right w:w="20" w:type="dxa"/>
            </w:tcMar>
            <w:vAlign w:val="bottom"/>
          </w:tcPr>
          <w:p w14:paraId="22CFAA19"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AA1A"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A1B" w14:textId="77777777" w:rsidR="002661BA" w:rsidRDefault="00D972BC">
            <w:pPr>
              <w:jc w:val="right"/>
              <w:textAlignment w:val="bottom"/>
            </w:pPr>
            <w:r>
              <w:rPr>
                <w:rFonts w:ascii="Arial" w:eastAsia="宋体" w:hAnsi="Arial" w:cs="Arial"/>
                <w:color w:val="000000"/>
                <w:sz w:val="18"/>
                <w:szCs w:val="18"/>
              </w:rPr>
              <w:t>112 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A1C" w14:textId="77777777" w:rsidR="002661BA" w:rsidRDefault="002661BA">
            <w:pPr>
              <w:jc w:val="right"/>
              <w:rPr>
                <w:rFonts w:ascii="宋体"/>
              </w:rPr>
            </w:pPr>
          </w:p>
        </w:tc>
      </w:tr>
      <w:tr w:rsidR="002661BA" w14:paraId="22CFAA2D" w14:textId="77777777">
        <w:tc>
          <w:tcPr>
            <w:tcW w:w="0" w:type="auto"/>
            <w:gridSpan w:val="3"/>
            <w:shd w:val="clear" w:color="auto" w:fill="FFFFFF"/>
            <w:tcMar>
              <w:top w:w="40" w:type="dxa"/>
              <w:left w:w="20" w:type="dxa"/>
              <w:bottom w:w="40" w:type="dxa"/>
              <w:right w:w="20" w:type="dxa"/>
            </w:tcMar>
            <w:vAlign w:val="bottom"/>
          </w:tcPr>
          <w:p w14:paraId="22CFAA1E" w14:textId="77777777" w:rsidR="002661BA" w:rsidRDefault="00D972BC">
            <w:pPr>
              <w:textAlignment w:val="bottom"/>
            </w:pPr>
            <w:r>
              <w:rPr>
                <w:rFonts w:ascii="Arial" w:eastAsia="宋体" w:hAnsi="Arial" w:cs="Arial"/>
                <w:color w:val="000000"/>
                <w:sz w:val="18"/>
                <w:szCs w:val="18"/>
              </w:rPr>
              <w:t>Interest expense</w:t>
            </w:r>
          </w:p>
        </w:tc>
        <w:tc>
          <w:tcPr>
            <w:tcW w:w="0" w:type="auto"/>
            <w:gridSpan w:val="2"/>
            <w:shd w:val="clear" w:color="auto" w:fill="FFFFFF"/>
            <w:tcMar>
              <w:top w:w="40" w:type="dxa"/>
              <w:left w:w="20" w:type="dxa"/>
              <w:bottom w:w="40" w:type="dxa"/>
              <w:right w:w="0" w:type="dxa"/>
            </w:tcMar>
            <w:vAlign w:val="bottom"/>
          </w:tcPr>
          <w:p w14:paraId="22CFAA1F" w14:textId="77777777" w:rsidR="002661BA" w:rsidRDefault="00D972BC">
            <w:pPr>
              <w:jc w:val="right"/>
              <w:textAlignment w:val="bottom"/>
            </w:pPr>
            <w:r>
              <w:rPr>
                <w:rFonts w:ascii="Arial" w:eastAsia="宋体" w:hAnsi="Arial" w:cs="Arial"/>
                <w:color w:val="000000"/>
                <w:sz w:val="18"/>
                <w:szCs w:val="18"/>
              </w:rPr>
              <w:t>(269)</w:t>
            </w:r>
          </w:p>
        </w:tc>
        <w:tc>
          <w:tcPr>
            <w:tcW w:w="0" w:type="auto"/>
            <w:shd w:val="clear" w:color="auto" w:fill="FFFFFF"/>
            <w:tcMar>
              <w:top w:w="40" w:type="dxa"/>
              <w:left w:w="0" w:type="dxa"/>
              <w:bottom w:w="40" w:type="dxa"/>
              <w:right w:w="20" w:type="dxa"/>
            </w:tcMar>
            <w:vAlign w:val="bottom"/>
          </w:tcPr>
          <w:p w14:paraId="22CFAA20"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A21"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A22" w14:textId="77777777" w:rsidR="002661BA" w:rsidRDefault="00D972BC">
            <w:pPr>
              <w:jc w:val="right"/>
              <w:textAlignment w:val="bottom"/>
            </w:pPr>
            <w:r>
              <w:rPr>
                <w:rFonts w:ascii="Arial" w:eastAsia="宋体" w:hAnsi="Arial" w:cs="Arial"/>
                <w:color w:val="000000"/>
                <w:sz w:val="18"/>
                <w:szCs w:val="18"/>
              </w:rPr>
              <w:t>(12)</w:t>
            </w:r>
          </w:p>
        </w:tc>
        <w:tc>
          <w:tcPr>
            <w:tcW w:w="0" w:type="auto"/>
            <w:shd w:val="clear" w:color="auto" w:fill="FFFFFF"/>
            <w:tcMar>
              <w:top w:w="40" w:type="dxa"/>
              <w:left w:w="0" w:type="dxa"/>
              <w:bottom w:w="40" w:type="dxa"/>
              <w:right w:w="20" w:type="dxa"/>
            </w:tcMar>
            <w:vAlign w:val="bottom"/>
          </w:tcPr>
          <w:p w14:paraId="22CFAA23"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A24"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A25" w14:textId="77777777" w:rsidR="002661BA" w:rsidRDefault="00D972BC">
            <w:pPr>
              <w:jc w:val="right"/>
              <w:textAlignment w:val="bottom"/>
            </w:pPr>
            <w:r>
              <w:rPr>
                <w:rFonts w:ascii="Arial" w:eastAsia="宋体" w:hAnsi="Arial" w:cs="Arial"/>
                <w:color w:val="000000"/>
                <w:sz w:val="18"/>
                <w:szCs w:val="18"/>
              </w:rPr>
              <w:t>(304)</w:t>
            </w:r>
          </w:p>
        </w:tc>
        <w:tc>
          <w:tcPr>
            <w:tcW w:w="0" w:type="auto"/>
            <w:shd w:val="clear" w:color="auto" w:fill="FFFFFF"/>
            <w:tcMar>
              <w:top w:w="40" w:type="dxa"/>
              <w:left w:w="0" w:type="dxa"/>
              <w:bottom w:w="40" w:type="dxa"/>
              <w:right w:w="20" w:type="dxa"/>
            </w:tcMar>
            <w:vAlign w:val="bottom"/>
          </w:tcPr>
          <w:p w14:paraId="22CFAA2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A27"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A28" w14:textId="77777777" w:rsidR="002661BA" w:rsidRDefault="00D972BC">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22CFAA29"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A2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A2B" w14:textId="77777777" w:rsidR="002661BA" w:rsidRDefault="00D972BC">
            <w:pPr>
              <w:jc w:val="right"/>
              <w:textAlignment w:val="bottom"/>
            </w:pPr>
            <w:r>
              <w:rPr>
                <w:rFonts w:ascii="Arial" w:eastAsia="宋体" w:hAnsi="Arial" w:cs="Arial"/>
                <w:color w:val="000000"/>
                <w:sz w:val="18"/>
                <w:szCs w:val="18"/>
              </w:rPr>
              <w:t>(311)</w:t>
            </w:r>
          </w:p>
        </w:tc>
        <w:tc>
          <w:tcPr>
            <w:tcW w:w="0" w:type="auto"/>
            <w:shd w:val="clear" w:color="auto" w:fill="FFFFFF"/>
            <w:tcMar>
              <w:top w:w="40" w:type="dxa"/>
              <w:left w:w="0" w:type="dxa"/>
              <w:bottom w:w="40" w:type="dxa"/>
              <w:right w:w="20" w:type="dxa"/>
            </w:tcMar>
            <w:vAlign w:val="bottom"/>
          </w:tcPr>
          <w:p w14:paraId="22CFAA2C" w14:textId="77777777" w:rsidR="002661BA" w:rsidRDefault="002661BA">
            <w:pPr>
              <w:jc w:val="right"/>
              <w:rPr>
                <w:rFonts w:ascii="宋体"/>
              </w:rPr>
            </w:pPr>
          </w:p>
        </w:tc>
      </w:tr>
      <w:tr w:rsidR="002661BA" w14:paraId="22CFAA3C" w14:textId="77777777">
        <w:tc>
          <w:tcPr>
            <w:tcW w:w="0" w:type="auto"/>
            <w:gridSpan w:val="3"/>
            <w:shd w:val="clear" w:color="auto" w:fill="E2E2E2"/>
            <w:tcMar>
              <w:top w:w="40" w:type="dxa"/>
              <w:left w:w="20" w:type="dxa"/>
              <w:bottom w:w="40" w:type="dxa"/>
              <w:right w:w="20" w:type="dxa"/>
            </w:tcMar>
            <w:vAlign w:val="bottom"/>
          </w:tcPr>
          <w:p w14:paraId="22CFAA2E" w14:textId="77777777" w:rsidR="002661BA" w:rsidRDefault="00D972BC">
            <w:pPr>
              <w:textAlignment w:val="bottom"/>
            </w:pPr>
            <w:r>
              <w:rPr>
                <w:rFonts w:ascii="Arial" w:eastAsia="宋体" w:hAnsi="Arial" w:cs="Arial"/>
                <w:color w:val="000000"/>
                <w:sz w:val="18"/>
                <w:szCs w:val="18"/>
              </w:rPr>
              <w:t>Foreign exchange and other</w:t>
            </w:r>
          </w:p>
        </w:tc>
        <w:tc>
          <w:tcPr>
            <w:tcW w:w="0" w:type="auto"/>
            <w:gridSpan w:val="2"/>
            <w:shd w:val="clear" w:color="auto" w:fill="E2E2E2"/>
            <w:tcMar>
              <w:top w:w="40" w:type="dxa"/>
              <w:left w:w="20" w:type="dxa"/>
              <w:bottom w:w="40" w:type="dxa"/>
              <w:right w:w="0" w:type="dxa"/>
            </w:tcMar>
            <w:vAlign w:val="bottom"/>
          </w:tcPr>
          <w:p w14:paraId="22CFAA2F" w14:textId="77777777" w:rsidR="002661BA" w:rsidRDefault="00D972BC">
            <w:pPr>
              <w:jc w:val="right"/>
              <w:textAlignment w:val="bottom"/>
            </w:pPr>
            <w:r>
              <w:rPr>
                <w:rFonts w:ascii="Arial" w:eastAsia="宋体" w:hAnsi="Arial" w:cs="Arial"/>
                <w:color w:val="000000"/>
                <w:sz w:val="18"/>
                <w:szCs w:val="18"/>
              </w:rPr>
              <w:t>90 </w:t>
            </w:r>
          </w:p>
        </w:tc>
        <w:tc>
          <w:tcPr>
            <w:tcW w:w="0" w:type="auto"/>
            <w:shd w:val="clear" w:color="auto" w:fill="E2E2E2"/>
            <w:tcMar>
              <w:top w:w="40" w:type="dxa"/>
              <w:left w:w="0" w:type="dxa"/>
              <w:bottom w:w="40" w:type="dxa"/>
              <w:right w:w="20" w:type="dxa"/>
            </w:tcMar>
            <w:vAlign w:val="bottom"/>
          </w:tcPr>
          <w:p w14:paraId="22CFAA30"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A31"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AA32"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40" w:type="dxa"/>
              <w:left w:w="20" w:type="dxa"/>
              <w:bottom w:w="40" w:type="dxa"/>
              <w:right w:w="20" w:type="dxa"/>
            </w:tcMar>
            <w:vAlign w:val="bottom"/>
          </w:tcPr>
          <w:p w14:paraId="22CFAA33"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AA34" w14:textId="77777777" w:rsidR="002661BA" w:rsidRDefault="00D972BC">
            <w:pPr>
              <w:jc w:val="right"/>
              <w:textAlignment w:val="bottom"/>
            </w:pPr>
            <w:r>
              <w:rPr>
                <w:rFonts w:ascii="Arial" w:eastAsia="宋体" w:hAnsi="Arial" w:cs="Arial"/>
                <w:color w:val="000000"/>
                <w:sz w:val="18"/>
                <w:szCs w:val="18"/>
              </w:rPr>
              <w:t>(32)</w:t>
            </w:r>
          </w:p>
        </w:tc>
        <w:tc>
          <w:tcPr>
            <w:tcW w:w="0" w:type="auto"/>
            <w:shd w:val="clear" w:color="auto" w:fill="E2E2E2"/>
            <w:tcMar>
              <w:top w:w="40" w:type="dxa"/>
              <w:left w:w="0" w:type="dxa"/>
              <w:bottom w:w="40" w:type="dxa"/>
              <w:right w:w="20" w:type="dxa"/>
            </w:tcMar>
            <w:vAlign w:val="bottom"/>
          </w:tcPr>
          <w:p w14:paraId="22CFAA3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A36"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A37" w14:textId="77777777" w:rsidR="002661BA" w:rsidRDefault="00D972BC">
            <w:pPr>
              <w:jc w:val="right"/>
              <w:textAlignment w:val="bottom"/>
            </w:pPr>
            <w:r>
              <w:rPr>
                <w:rFonts w:ascii="Arial" w:eastAsia="宋体" w:hAnsi="Arial" w:cs="Arial"/>
                <w:color w:val="000000"/>
                <w:sz w:val="18"/>
                <w:szCs w:val="18"/>
              </w:rPr>
              <w:t>(38)</w:t>
            </w:r>
          </w:p>
        </w:tc>
        <w:tc>
          <w:tcPr>
            <w:tcW w:w="0" w:type="auto"/>
            <w:shd w:val="clear" w:color="auto" w:fill="E2E2E2"/>
            <w:tcMar>
              <w:top w:w="40" w:type="dxa"/>
              <w:left w:w="0" w:type="dxa"/>
              <w:bottom w:w="40" w:type="dxa"/>
              <w:right w:w="20" w:type="dxa"/>
            </w:tcMar>
            <w:vAlign w:val="bottom"/>
          </w:tcPr>
          <w:p w14:paraId="22CFAA38"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40" w:type="dxa"/>
              <w:left w:w="20" w:type="dxa"/>
              <w:bottom w:w="40" w:type="dxa"/>
              <w:right w:w="20" w:type="dxa"/>
            </w:tcMar>
            <w:vAlign w:val="bottom"/>
          </w:tcPr>
          <w:p w14:paraId="22CFAA39"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AA3A" w14:textId="77777777" w:rsidR="002661BA" w:rsidRDefault="00D972BC">
            <w:pPr>
              <w:jc w:val="right"/>
              <w:textAlignment w:val="bottom"/>
            </w:pPr>
            <w:r>
              <w:rPr>
                <w:rFonts w:ascii="Arial" w:eastAsia="宋体" w:hAnsi="Arial" w:cs="Arial"/>
                <w:color w:val="000000"/>
                <w:sz w:val="18"/>
                <w:szCs w:val="18"/>
              </w:rPr>
              <w:t>(52)</w:t>
            </w:r>
          </w:p>
        </w:tc>
        <w:tc>
          <w:tcPr>
            <w:tcW w:w="0" w:type="auto"/>
            <w:shd w:val="clear" w:color="auto" w:fill="E2E2E2"/>
            <w:tcMar>
              <w:top w:w="40" w:type="dxa"/>
              <w:left w:w="0" w:type="dxa"/>
              <w:bottom w:w="40" w:type="dxa"/>
              <w:right w:w="20" w:type="dxa"/>
            </w:tcMar>
            <w:vAlign w:val="bottom"/>
          </w:tcPr>
          <w:p w14:paraId="22CFAA3B" w14:textId="77777777" w:rsidR="002661BA" w:rsidRDefault="002661BA">
            <w:pPr>
              <w:jc w:val="right"/>
              <w:rPr>
                <w:rFonts w:ascii="宋体"/>
              </w:rPr>
            </w:pPr>
          </w:p>
        </w:tc>
      </w:tr>
      <w:tr w:rsidR="002661BA" w14:paraId="22CFAA4F" w14:textId="77777777">
        <w:tc>
          <w:tcPr>
            <w:tcW w:w="0" w:type="auto"/>
            <w:gridSpan w:val="3"/>
            <w:shd w:val="clear" w:color="auto" w:fill="FFFFFF"/>
            <w:tcMar>
              <w:top w:w="40" w:type="dxa"/>
              <w:left w:w="35" w:type="dxa"/>
              <w:bottom w:w="40" w:type="dxa"/>
              <w:right w:w="20" w:type="dxa"/>
            </w:tcMar>
            <w:vAlign w:val="bottom"/>
          </w:tcPr>
          <w:p w14:paraId="22CFAA3D" w14:textId="77777777" w:rsidR="002661BA" w:rsidRDefault="00D972BC">
            <w:pPr>
              <w:textAlignment w:val="bottom"/>
            </w:pPr>
            <w:r>
              <w:rPr>
                <w:rFonts w:ascii="Arial" w:eastAsia="宋体" w:hAnsi="Arial" w:cs="Arial"/>
                <w:color w:val="000000"/>
                <w:sz w:val="18"/>
                <w:szCs w:val="18"/>
              </w:rPr>
              <w:t>Total interest and other,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AA3E"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AA3F" w14:textId="77777777" w:rsidR="002661BA" w:rsidRDefault="00D972BC">
            <w:pPr>
              <w:jc w:val="right"/>
              <w:textAlignment w:val="bottom"/>
            </w:pPr>
            <w:r>
              <w:rPr>
                <w:rFonts w:ascii="Arial" w:eastAsia="宋体" w:hAnsi="Arial" w:cs="Arial"/>
                <w:color w:val="000000"/>
                <w:sz w:val="18"/>
                <w:szCs w:val="18"/>
              </w:rPr>
              <w:t>(160)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AA40"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A41"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A42" w14:textId="77777777" w:rsidR="002661BA" w:rsidRDefault="00D972BC">
            <w:pPr>
              <w:jc w:val="right"/>
              <w:textAlignment w:val="bottom"/>
            </w:pPr>
            <w:r>
              <w:rPr>
                <w:rFonts w:ascii="Arial" w:eastAsia="宋体" w:hAnsi="Arial" w:cs="Arial"/>
                <w:color w:val="000000"/>
                <w:sz w:val="18"/>
                <w:szCs w:val="18"/>
              </w:rPr>
              <w:t>(46)</w:t>
            </w:r>
          </w:p>
        </w:tc>
        <w:tc>
          <w:tcPr>
            <w:tcW w:w="0" w:type="auto"/>
            <w:shd w:val="clear" w:color="auto" w:fill="FFFFFF"/>
            <w:tcMar>
              <w:top w:w="40" w:type="dxa"/>
              <w:left w:w="0" w:type="dxa"/>
              <w:bottom w:w="40" w:type="dxa"/>
              <w:right w:w="20" w:type="dxa"/>
            </w:tcMar>
            <w:vAlign w:val="bottom"/>
          </w:tcPr>
          <w:p w14:paraId="22CFAA43"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40" w:type="dxa"/>
              <w:left w:w="20" w:type="dxa"/>
              <w:bottom w:w="40" w:type="dxa"/>
              <w:right w:w="20" w:type="dxa"/>
            </w:tcMar>
            <w:vAlign w:val="bottom"/>
          </w:tcPr>
          <w:p w14:paraId="22CFAA44"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AA4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AA46" w14:textId="77777777" w:rsidR="002661BA" w:rsidRDefault="00D972BC">
            <w:pPr>
              <w:jc w:val="right"/>
              <w:textAlignment w:val="bottom"/>
            </w:pPr>
            <w:r>
              <w:rPr>
                <w:rFonts w:ascii="Arial" w:eastAsia="宋体" w:hAnsi="Arial" w:cs="Arial"/>
                <w:color w:val="000000"/>
                <w:sz w:val="18"/>
                <w:szCs w:val="18"/>
              </w:rPr>
              <w:t>(298)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AA4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A48"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A49" w14:textId="77777777" w:rsidR="002661BA" w:rsidRDefault="00D972BC">
            <w:pPr>
              <w:jc w:val="right"/>
              <w:textAlignment w:val="bottom"/>
            </w:pPr>
            <w:r>
              <w:rPr>
                <w:rFonts w:ascii="Arial" w:eastAsia="宋体" w:hAnsi="Arial" w:cs="Arial"/>
                <w:color w:val="000000"/>
                <w:sz w:val="18"/>
                <w:szCs w:val="18"/>
              </w:rPr>
              <w:t>19 </w:t>
            </w:r>
          </w:p>
        </w:tc>
        <w:tc>
          <w:tcPr>
            <w:tcW w:w="0" w:type="auto"/>
            <w:shd w:val="clear" w:color="auto" w:fill="FFFFFF"/>
            <w:tcMar>
              <w:top w:w="40" w:type="dxa"/>
              <w:left w:w="0" w:type="dxa"/>
              <w:bottom w:w="40" w:type="dxa"/>
              <w:right w:w="20" w:type="dxa"/>
            </w:tcMar>
            <w:vAlign w:val="bottom"/>
          </w:tcPr>
          <w:p w14:paraId="22CFAA4A"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40" w:type="dxa"/>
              <w:left w:w="20" w:type="dxa"/>
              <w:bottom w:w="40" w:type="dxa"/>
              <w:right w:w="20" w:type="dxa"/>
            </w:tcMar>
            <w:vAlign w:val="bottom"/>
          </w:tcPr>
          <w:p w14:paraId="22CFAA4B"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AA4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AA4D" w14:textId="77777777" w:rsidR="002661BA" w:rsidRDefault="00D972BC">
            <w:pPr>
              <w:jc w:val="right"/>
              <w:textAlignment w:val="bottom"/>
            </w:pPr>
            <w:r>
              <w:rPr>
                <w:rFonts w:ascii="Arial" w:eastAsia="宋体" w:hAnsi="Arial" w:cs="Arial"/>
                <w:color w:val="000000"/>
                <w:sz w:val="18"/>
                <w:szCs w:val="18"/>
              </w:rPr>
              <w:t>(251)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AA4E" w14:textId="77777777" w:rsidR="002661BA" w:rsidRDefault="002661BA">
            <w:pPr>
              <w:jc w:val="right"/>
              <w:rPr>
                <w:rFonts w:ascii="宋体"/>
              </w:rPr>
            </w:pPr>
          </w:p>
        </w:tc>
      </w:tr>
    </w:tbl>
    <w:p w14:paraId="22CFAA50" w14:textId="77777777" w:rsidR="002661BA" w:rsidRDefault="00D972BC">
      <w:pPr>
        <w:ind w:hanging="360"/>
        <w:jc w:val="both"/>
      </w:pPr>
      <w:r>
        <w:rPr>
          <w:rFonts w:ascii="Arial" w:eastAsia="宋体" w:hAnsi="Arial" w:cs="Arial"/>
          <w:color w:val="000000"/>
          <w:sz w:val="16"/>
          <w:szCs w:val="16"/>
        </w:rPr>
        <w:t>** Not meaningful</w:t>
      </w:r>
    </w:p>
    <w:p w14:paraId="22CFAA51" w14:textId="77777777" w:rsidR="002661BA" w:rsidRDefault="002661BA">
      <w:pPr>
        <w:ind w:firstLine="540"/>
        <w:jc w:val="both"/>
      </w:pPr>
    </w:p>
    <w:p w14:paraId="22CFAA52" w14:textId="77777777" w:rsidR="002661BA" w:rsidRDefault="00D972BC">
      <w:pPr>
        <w:ind w:firstLine="540"/>
        <w:jc w:val="both"/>
      </w:pPr>
      <w:r>
        <w:rPr>
          <w:rFonts w:ascii="Arial" w:eastAsia="宋体" w:hAnsi="Arial" w:cs="Arial"/>
          <w:color w:val="000000"/>
          <w:sz w:val="20"/>
          <w:szCs w:val="20"/>
        </w:rPr>
        <w:t>Interest and other, net expense decreased in 2021 compared to 2020 primarily due to foreign exchange transaction gains and lower interest expense.</w:t>
      </w:r>
    </w:p>
    <w:p w14:paraId="22CFAA53" w14:textId="77777777" w:rsidR="002661BA" w:rsidRDefault="002661BA">
      <w:pPr>
        <w:ind w:firstLine="540"/>
        <w:jc w:val="both"/>
      </w:pPr>
    </w:p>
    <w:p w14:paraId="22CFAA54" w14:textId="77777777" w:rsidR="002661BA" w:rsidRDefault="00D972BC">
      <w:pPr>
        <w:jc w:val="both"/>
      </w:pPr>
      <w:r>
        <w:rPr>
          <w:rFonts w:ascii="Arial" w:eastAsia="宋体" w:hAnsi="Arial" w:cs="Arial"/>
          <w:b/>
          <w:bCs/>
          <w:i/>
          <w:iCs/>
          <w:color w:val="000000"/>
          <w:sz w:val="20"/>
          <w:szCs w:val="20"/>
        </w:rPr>
        <w:t xml:space="preserve">Income Tax Provision </w:t>
      </w:r>
    </w:p>
    <w:p w14:paraId="22CFAA55" w14:textId="77777777" w:rsidR="002661BA" w:rsidRDefault="002661BA">
      <w:pPr>
        <w:jc w:val="both"/>
      </w:pPr>
    </w:p>
    <w:p w14:paraId="22CFAA56" w14:textId="77777777" w:rsidR="002661BA" w:rsidRDefault="00D972BC">
      <w:pPr>
        <w:spacing w:after="120"/>
        <w:ind w:firstLine="540"/>
        <w:jc w:val="both"/>
      </w:pPr>
      <w:r>
        <w:rPr>
          <w:rFonts w:ascii="Arial" w:eastAsia="宋体" w:hAnsi="Arial" w:cs="Arial"/>
          <w:color w:val="000000"/>
          <w:sz w:val="20"/>
          <w:szCs w:val="20"/>
        </w:rPr>
        <w:t xml:space="preserve">The </w:t>
      </w:r>
      <w:r>
        <w:rPr>
          <w:rFonts w:ascii="Arial" w:eastAsia="宋体" w:hAnsi="Arial" w:cs="Arial"/>
          <w:color w:val="000000"/>
          <w:sz w:val="20"/>
          <w:szCs w:val="20"/>
        </w:rPr>
        <w:t>following table presents provision for income taxes for the periods 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7"/>
        <w:gridCol w:w="4658"/>
        <w:gridCol w:w="36"/>
        <w:gridCol w:w="121"/>
        <w:gridCol w:w="789"/>
        <w:gridCol w:w="181"/>
        <w:gridCol w:w="37"/>
        <w:gridCol w:w="92"/>
        <w:gridCol w:w="36"/>
        <w:gridCol w:w="121"/>
        <w:gridCol w:w="789"/>
        <w:gridCol w:w="181"/>
        <w:gridCol w:w="37"/>
        <w:gridCol w:w="92"/>
        <w:gridCol w:w="36"/>
        <w:gridCol w:w="121"/>
        <w:gridCol w:w="791"/>
        <w:gridCol w:w="181"/>
      </w:tblGrid>
      <w:tr w:rsidR="002661BA" w14:paraId="22CFAA69" w14:textId="77777777">
        <w:tc>
          <w:tcPr>
            <w:tcW w:w="50" w:type="pct"/>
            <w:shd w:val="clear" w:color="auto" w:fill="auto"/>
            <w:vAlign w:val="bottom"/>
          </w:tcPr>
          <w:p w14:paraId="22CFAA57" w14:textId="77777777" w:rsidR="002661BA" w:rsidRDefault="002661BA">
            <w:pPr>
              <w:rPr>
                <w:rFonts w:ascii="宋体"/>
              </w:rPr>
            </w:pPr>
          </w:p>
        </w:tc>
        <w:tc>
          <w:tcPr>
            <w:tcW w:w="2978" w:type="pct"/>
            <w:shd w:val="clear" w:color="auto" w:fill="auto"/>
            <w:vAlign w:val="bottom"/>
          </w:tcPr>
          <w:p w14:paraId="22CFAA58" w14:textId="77777777" w:rsidR="002661BA" w:rsidRDefault="002661BA">
            <w:pPr>
              <w:rPr>
                <w:rFonts w:ascii="宋体"/>
              </w:rPr>
            </w:pPr>
          </w:p>
        </w:tc>
        <w:tc>
          <w:tcPr>
            <w:tcW w:w="5" w:type="pct"/>
            <w:shd w:val="clear" w:color="auto" w:fill="auto"/>
            <w:vAlign w:val="bottom"/>
          </w:tcPr>
          <w:p w14:paraId="22CFAA59" w14:textId="77777777" w:rsidR="002661BA" w:rsidRDefault="002661BA">
            <w:pPr>
              <w:rPr>
                <w:rFonts w:ascii="宋体"/>
              </w:rPr>
            </w:pPr>
          </w:p>
        </w:tc>
        <w:tc>
          <w:tcPr>
            <w:tcW w:w="50" w:type="pct"/>
            <w:shd w:val="clear" w:color="auto" w:fill="auto"/>
            <w:vAlign w:val="bottom"/>
          </w:tcPr>
          <w:p w14:paraId="22CFAA5A" w14:textId="77777777" w:rsidR="002661BA" w:rsidRDefault="002661BA">
            <w:pPr>
              <w:rPr>
                <w:rFonts w:ascii="宋体"/>
              </w:rPr>
            </w:pPr>
          </w:p>
        </w:tc>
        <w:tc>
          <w:tcPr>
            <w:tcW w:w="580" w:type="pct"/>
            <w:shd w:val="clear" w:color="auto" w:fill="auto"/>
            <w:vAlign w:val="bottom"/>
          </w:tcPr>
          <w:p w14:paraId="22CFAA5B" w14:textId="77777777" w:rsidR="002661BA" w:rsidRDefault="002661BA">
            <w:pPr>
              <w:rPr>
                <w:rFonts w:ascii="宋体"/>
              </w:rPr>
            </w:pPr>
          </w:p>
        </w:tc>
        <w:tc>
          <w:tcPr>
            <w:tcW w:w="5" w:type="pct"/>
            <w:shd w:val="clear" w:color="auto" w:fill="auto"/>
            <w:vAlign w:val="bottom"/>
          </w:tcPr>
          <w:p w14:paraId="22CFAA5C" w14:textId="77777777" w:rsidR="002661BA" w:rsidRDefault="002661BA">
            <w:pPr>
              <w:rPr>
                <w:rFonts w:ascii="宋体"/>
              </w:rPr>
            </w:pPr>
          </w:p>
        </w:tc>
        <w:tc>
          <w:tcPr>
            <w:tcW w:w="5" w:type="pct"/>
            <w:shd w:val="clear" w:color="auto" w:fill="auto"/>
            <w:vAlign w:val="bottom"/>
          </w:tcPr>
          <w:p w14:paraId="22CFAA5D" w14:textId="77777777" w:rsidR="002661BA" w:rsidRDefault="002661BA">
            <w:pPr>
              <w:rPr>
                <w:rFonts w:ascii="宋体"/>
              </w:rPr>
            </w:pPr>
          </w:p>
        </w:tc>
        <w:tc>
          <w:tcPr>
            <w:tcW w:w="19" w:type="pct"/>
            <w:shd w:val="clear" w:color="auto" w:fill="auto"/>
            <w:vAlign w:val="bottom"/>
          </w:tcPr>
          <w:p w14:paraId="22CFAA5E" w14:textId="77777777" w:rsidR="002661BA" w:rsidRDefault="002661BA">
            <w:pPr>
              <w:rPr>
                <w:rFonts w:ascii="宋体"/>
              </w:rPr>
            </w:pPr>
          </w:p>
        </w:tc>
        <w:tc>
          <w:tcPr>
            <w:tcW w:w="5" w:type="pct"/>
            <w:shd w:val="clear" w:color="auto" w:fill="auto"/>
            <w:vAlign w:val="bottom"/>
          </w:tcPr>
          <w:p w14:paraId="22CFAA5F" w14:textId="77777777" w:rsidR="002661BA" w:rsidRDefault="002661BA">
            <w:pPr>
              <w:rPr>
                <w:rFonts w:ascii="宋体"/>
              </w:rPr>
            </w:pPr>
          </w:p>
        </w:tc>
        <w:tc>
          <w:tcPr>
            <w:tcW w:w="50" w:type="pct"/>
            <w:shd w:val="clear" w:color="auto" w:fill="auto"/>
            <w:vAlign w:val="bottom"/>
          </w:tcPr>
          <w:p w14:paraId="22CFAA60" w14:textId="77777777" w:rsidR="002661BA" w:rsidRDefault="002661BA">
            <w:pPr>
              <w:rPr>
                <w:rFonts w:ascii="宋体"/>
              </w:rPr>
            </w:pPr>
          </w:p>
        </w:tc>
        <w:tc>
          <w:tcPr>
            <w:tcW w:w="580" w:type="pct"/>
            <w:shd w:val="clear" w:color="auto" w:fill="auto"/>
            <w:vAlign w:val="bottom"/>
          </w:tcPr>
          <w:p w14:paraId="22CFAA61" w14:textId="77777777" w:rsidR="002661BA" w:rsidRDefault="002661BA">
            <w:pPr>
              <w:rPr>
                <w:rFonts w:ascii="宋体"/>
              </w:rPr>
            </w:pPr>
          </w:p>
        </w:tc>
        <w:tc>
          <w:tcPr>
            <w:tcW w:w="5" w:type="pct"/>
            <w:shd w:val="clear" w:color="auto" w:fill="auto"/>
            <w:vAlign w:val="bottom"/>
          </w:tcPr>
          <w:p w14:paraId="22CFAA62" w14:textId="77777777" w:rsidR="002661BA" w:rsidRDefault="002661BA">
            <w:pPr>
              <w:rPr>
                <w:rFonts w:ascii="宋体"/>
              </w:rPr>
            </w:pPr>
          </w:p>
        </w:tc>
        <w:tc>
          <w:tcPr>
            <w:tcW w:w="5" w:type="pct"/>
            <w:shd w:val="clear" w:color="auto" w:fill="auto"/>
            <w:vAlign w:val="bottom"/>
          </w:tcPr>
          <w:p w14:paraId="22CFAA63" w14:textId="77777777" w:rsidR="002661BA" w:rsidRDefault="002661BA">
            <w:pPr>
              <w:rPr>
                <w:rFonts w:ascii="宋体"/>
              </w:rPr>
            </w:pPr>
          </w:p>
        </w:tc>
        <w:tc>
          <w:tcPr>
            <w:tcW w:w="19" w:type="pct"/>
            <w:shd w:val="clear" w:color="auto" w:fill="auto"/>
            <w:vAlign w:val="bottom"/>
          </w:tcPr>
          <w:p w14:paraId="22CFAA64" w14:textId="77777777" w:rsidR="002661BA" w:rsidRDefault="002661BA">
            <w:pPr>
              <w:rPr>
                <w:rFonts w:ascii="宋体"/>
              </w:rPr>
            </w:pPr>
          </w:p>
        </w:tc>
        <w:tc>
          <w:tcPr>
            <w:tcW w:w="5" w:type="pct"/>
            <w:shd w:val="clear" w:color="auto" w:fill="auto"/>
            <w:vAlign w:val="bottom"/>
          </w:tcPr>
          <w:p w14:paraId="22CFAA65" w14:textId="77777777" w:rsidR="002661BA" w:rsidRDefault="002661BA">
            <w:pPr>
              <w:rPr>
                <w:rFonts w:ascii="宋体"/>
              </w:rPr>
            </w:pPr>
          </w:p>
        </w:tc>
        <w:tc>
          <w:tcPr>
            <w:tcW w:w="50" w:type="pct"/>
            <w:shd w:val="clear" w:color="auto" w:fill="auto"/>
            <w:vAlign w:val="bottom"/>
          </w:tcPr>
          <w:p w14:paraId="22CFAA66" w14:textId="77777777" w:rsidR="002661BA" w:rsidRDefault="002661BA">
            <w:pPr>
              <w:rPr>
                <w:rFonts w:ascii="宋体"/>
              </w:rPr>
            </w:pPr>
          </w:p>
        </w:tc>
        <w:tc>
          <w:tcPr>
            <w:tcW w:w="581" w:type="pct"/>
            <w:shd w:val="clear" w:color="auto" w:fill="auto"/>
            <w:vAlign w:val="bottom"/>
          </w:tcPr>
          <w:p w14:paraId="22CFAA67" w14:textId="77777777" w:rsidR="002661BA" w:rsidRDefault="002661BA">
            <w:pPr>
              <w:rPr>
                <w:rFonts w:ascii="宋体"/>
              </w:rPr>
            </w:pPr>
          </w:p>
        </w:tc>
        <w:tc>
          <w:tcPr>
            <w:tcW w:w="5" w:type="pct"/>
            <w:shd w:val="clear" w:color="auto" w:fill="auto"/>
            <w:vAlign w:val="bottom"/>
          </w:tcPr>
          <w:p w14:paraId="22CFAA68" w14:textId="77777777" w:rsidR="002661BA" w:rsidRDefault="002661BA">
            <w:pPr>
              <w:rPr>
                <w:rFonts w:ascii="宋体"/>
              </w:rPr>
            </w:pPr>
          </w:p>
        </w:tc>
      </w:tr>
      <w:tr w:rsidR="002661BA" w14:paraId="22CFAA6C" w14:textId="77777777">
        <w:tc>
          <w:tcPr>
            <w:tcW w:w="0" w:type="auto"/>
            <w:gridSpan w:val="3"/>
            <w:shd w:val="clear" w:color="auto" w:fill="auto"/>
            <w:tcMar>
              <w:top w:w="40" w:type="dxa"/>
              <w:left w:w="20" w:type="dxa"/>
              <w:bottom w:w="40" w:type="dxa"/>
              <w:right w:w="20" w:type="dxa"/>
            </w:tcMar>
            <w:vAlign w:val="bottom"/>
          </w:tcPr>
          <w:p w14:paraId="22CFAA6A" w14:textId="77777777" w:rsidR="002661BA" w:rsidRDefault="00D972BC">
            <w:pPr>
              <w:textAlignment w:val="bottom"/>
            </w:pPr>
            <w:r>
              <w:rPr>
                <w:rFonts w:ascii="Arial" w:eastAsia="宋体" w:hAnsi="Arial" w:cs="Arial"/>
                <w:color w:val="000000"/>
                <w:sz w:val="17"/>
                <w:szCs w:val="17"/>
              </w:rPr>
              <w:t> </w:t>
            </w:r>
          </w:p>
        </w:tc>
        <w:tc>
          <w:tcPr>
            <w:tcW w:w="0" w:type="auto"/>
            <w:gridSpan w:val="15"/>
            <w:shd w:val="clear" w:color="auto" w:fill="auto"/>
            <w:tcMar>
              <w:top w:w="40" w:type="dxa"/>
              <w:left w:w="20" w:type="dxa"/>
              <w:bottom w:w="40" w:type="dxa"/>
              <w:right w:w="20" w:type="dxa"/>
            </w:tcMar>
            <w:vAlign w:val="bottom"/>
          </w:tcPr>
          <w:p w14:paraId="22CFAA6B"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AA73" w14:textId="77777777">
        <w:tc>
          <w:tcPr>
            <w:tcW w:w="0" w:type="auto"/>
            <w:gridSpan w:val="3"/>
            <w:shd w:val="clear" w:color="auto" w:fill="auto"/>
            <w:tcMar>
              <w:top w:w="40" w:type="dxa"/>
              <w:left w:w="20" w:type="dxa"/>
              <w:bottom w:w="40" w:type="dxa"/>
              <w:right w:w="20" w:type="dxa"/>
            </w:tcMar>
            <w:vAlign w:val="bottom"/>
          </w:tcPr>
          <w:p w14:paraId="22CFAA6D"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A6E"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A6F"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A70"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A71"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A72"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AA7A" w14:textId="77777777">
        <w:trPr>
          <w:hidden/>
        </w:trPr>
        <w:tc>
          <w:tcPr>
            <w:tcW w:w="0" w:type="auto"/>
            <w:gridSpan w:val="3"/>
            <w:shd w:val="clear" w:color="auto" w:fill="auto"/>
            <w:vAlign w:val="bottom"/>
          </w:tcPr>
          <w:p w14:paraId="22CFAA74" w14:textId="77777777" w:rsidR="002661BA" w:rsidRDefault="002661BA">
            <w:pPr>
              <w:rPr>
                <w:rFonts w:ascii="宋体"/>
                <w:vanish/>
              </w:rPr>
            </w:pPr>
          </w:p>
        </w:tc>
        <w:tc>
          <w:tcPr>
            <w:tcW w:w="0" w:type="auto"/>
            <w:gridSpan w:val="3"/>
            <w:shd w:val="clear" w:color="auto" w:fill="auto"/>
            <w:vAlign w:val="bottom"/>
          </w:tcPr>
          <w:p w14:paraId="22CFAA75" w14:textId="77777777" w:rsidR="002661BA" w:rsidRDefault="002661BA">
            <w:pPr>
              <w:rPr>
                <w:rFonts w:ascii="宋体"/>
                <w:vanish/>
              </w:rPr>
            </w:pPr>
          </w:p>
        </w:tc>
        <w:tc>
          <w:tcPr>
            <w:tcW w:w="0" w:type="auto"/>
            <w:gridSpan w:val="3"/>
            <w:shd w:val="clear" w:color="auto" w:fill="auto"/>
            <w:vAlign w:val="bottom"/>
          </w:tcPr>
          <w:p w14:paraId="22CFAA76" w14:textId="77777777" w:rsidR="002661BA" w:rsidRDefault="002661BA">
            <w:pPr>
              <w:rPr>
                <w:rFonts w:ascii="宋体"/>
                <w:vanish/>
              </w:rPr>
            </w:pPr>
          </w:p>
        </w:tc>
        <w:tc>
          <w:tcPr>
            <w:tcW w:w="0" w:type="auto"/>
            <w:gridSpan w:val="3"/>
            <w:shd w:val="clear" w:color="auto" w:fill="auto"/>
            <w:vAlign w:val="bottom"/>
          </w:tcPr>
          <w:p w14:paraId="22CFAA77" w14:textId="77777777" w:rsidR="002661BA" w:rsidRDefault="002661BA">
            <w:pPr>
              <w:rPr>
                <w:rFonts w:ascii="宋体"/>
                <w:vanish/>
              </w:rPr>
            </w:pPr>
          </w:p>
        </w:tc>
        <w:tc>
          <w:tcPr>
            <w:tcW w:w="0" w:type="auto"/>
            <w:gridSpan w:val="3"/>
            <w:shd w:val="clear" w:color="auto" w:fill="auto"/>
            <w:vAlign w:val="bottom"/>
          </w:tcPr>
          <w:p w14:paraId="22CFAA78" w14:textId="77777777" w:rsidR="002661BA" w:rsidRDefault="002661BA">
            <w:pPr>
              <w:rPr>
                <w:rFonts w:ascii="宋体"/>
                <w:vanish/>
              </w:rPr>
            </w:pPr>
          </w:p>
        </w:tc>
        <w:tc>
          <w:tcPr>
            <w:tcW w:w="0" w:type="auto"/>
            <w:gridSpan w:val="3"/>
            <w:shd w:val="clear" w:color="auto" w:fill="auto"/>
            <w:vAlign w:val="bottom"/>
          </w:tcPr>
          <w:p w14:paraId="22CFAA79" w14:textId="77777777" w:rsidR="002661BA" w:rsidRDefault="002661BA">
            <w:pPr>
              <w:rPr>
                <w:rFonts w:ascii="宋体"/>
                <w:vanish/>
              </w:rPr>
            </w:pPr>
          </w:p>
        </w:tc>
      </w:tr>
      <w:tr w:rsidR="002661BA" w14:paraId="22CFAA87" w14:textId="77777777">
        <w:tc>
          <w:tcPr>
            <w:tcW w:w="0" w:type="auto"/>
            <w:gridSpan w:val="3"/>
            <w:shd w:val="clear" w:color="auto" w:fill="DBDBDB"/>
            <w:tcMar>
              <w:top w:w="40" w:type="dxa"/>
              <w:left w:w="20" w:type="dxa"/>
              <w:bottom w:w="40" w:type="dxa"/>
              <w:right w:w="20" w:type="dxa"/>
            </w:tcMar>
            <w:vAlign w:val="bottom"/>
          </w:tcPr>
          <w:p w14:paraId="22CFAA7B" w14:textId="77777777" w:rsidR="002661BA" w:rsidRDefault="00D972BC">
            <w:pPr>
              <w:textAlignment w:val="bottom"/>
            </w:pPr>
            <w:r>
              <w:rPr>
                <w:rFonts w:ascii="Arial" w:eastAsia="宋体" w:hAnsi="Arial" w:cs="Arial"/>
                <w:color w:val="000000"/>
                <w:sz w:val="18"/>
                <w:szCs w:val="18"/>
              </w:rPr>
              <w:t>Income tax provision (benefit)</w:t>
            </w:r>
          </w:p>
        </w:tc>
        <w:tc>
          <w:tcPr>
            <w:tcW w:w="0" w:type="auto"/>
            <w:tcBorders>
              <w:top w:val="single" w:sz="8" w:space="0" w:color="000000"/>
            </w:tcBorders>
            <w:shd w:val="clear" w:color="auto" w:fill="DBDBDB"/>
            <w:tcMar>
              <w:top w:w="40" w:type="dxa"/>
              <w:left w:w="20" w:type="dxa"/>
              <w:bottom w:w="40" w:type="dxa"/>
              <w:right w:w="0" w:type="dxa"/>
            </w:tcMar>
            <w:vAlign w:val="bottom"/>
          </w:tcPr>
          <w:p w14:paraId="22CFAA7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AA7D" w14:textId="77777777" w:rsidR="002661BA" w:rsidRDefault="00D972BC">
            <w:pPr>
              <w:jc w:val="right"/>
              <w:textAlignment w:val="bottom"/>
            </w:pPr>
            <w:r>
              <w:rPr>
                <w:rFonts w:ascii="Arial" w:eastAsia="宋体" w:hAnsi="Arial" w:cs="Arial"/>
                <w:color w:val="000000"/>
                <w:sz w:val="18"/>
                <w:szCs w:val="18"/>
              </w:rPr>
              <w:t>146 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AA7E"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AA7F"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AA8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AA81" w14:textId="77777777" w:rsidR="002661BA" w:rsidRDefault="00D972BC">
            <w:pPr>
              <w:jc w:val="right"/>
              <w:textAlignment w:val="bottom"/>
            </w:pPr>
            <w:r>
              <w:rPr>
                <w:rFonts w:ascii="Arial" w:eastAsia="宋体" w:hAnsi="Arial" w:cs="Arial"/>
                <w:color w:val="000000"/>
                <w:sz w:val="18"/>
                <w:szCs w:val="18"/>
              </w:rPr>
              <w:t>858 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AA82"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AA83"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AA8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AA85" w14:textId="77777777" w:rsidR="002661BA" w:rsidRDefault="00D972BC">
            <w:pPr>
              <w:jc w:val="right"/>
              <w:textAlignment w:val="bottom"/>
            </w:pPr>
            <w:r>
              <w:rPr>
                <w:rFonts w:ascii="Arial" w:eastAsia="宋体" w:hAnsi="Arial" w:cs="Arial"/>
                <w:color w:val="000000"/>
                <w:sz w:val="18"/>
                <w:szCs w:val="18"/>
              </w:rPr>
              <w:t>219 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AA86" w14:textId="77777777" w:rsidR="002661BA" w:rsidRDefault="002661BA">
            <w:pPr>
              <w:jc w:val="right"/>
              <w:rPr>
                <w:rFonts w:ascii="宋体"/>
              </w:rPr>
            </w:pPr>
          </w:p>
        </w:tc>
      </w:tr>
      <w:tr w:rsidR="002661BA" w14:paraId="22CFAA91" w14:textId="77777777">
        <w:tc>
          <w:tcPr>
            <w:tcW w:w="0" w:type="auto"/>
            <w:gridSpan w:val="3"/>
            <w:shd w:val="clear" w:color="auto" w:fill="FFFFFF"/>
            <w:tcMar>
              <w:top w:w="40" w:type="dxa"/>
              <w:left w:w="20" w:type="dxa"/>
              <w:bottom w:w="40" w:type="dxa"/>
              <w:right w:w="20" w:type="dxa"/>
            </w:tcMar>
            <w:vAlign w:val="bottom"/>
          </w:tcPr>
          <w:p w14:paraId="22CFAA88" w14:textId="77777777" w:rsidR="002661BA" w:rsidRDefault="00D972BC">
            <w:pPr>
              <w:textAlignment w:val="bottom"/>
            </w:pPr>
            <w:r>
              <w:rPr>
                <w:rFonts w:ascii="Arial" w:eastAsia="宋体" w:hAnsi="Arial" w:cs="Arial"/>
                <w:i/>
                <w:iCs/>
                <w:color w:val="000000"/>
                <w:sz w:val="18"/>
                <w:szCs w:val="18"/>
              </w:rPr>
              <w:t>Effective tax rate</w:t>
            </w:r>
          </w:p>
        </w:tc>
        <w:tc>
          <w:tcPr>
            <w:tcW w:w="0" w:type="auto"/>
            <w:gridSpan w:val="2"/>
            <w:shd w:val="clear" w:color="auto" w:fill="FFFFFF"/>
            <w:tcMar>
              <w:top w:w="40" w:type="dxa"/>
              <w:left w:w="20" w:type="dxa"/>
              <w:bottom w:w="40" w:type="dxa"/>
              <w:right w:w="0" w:type="dxa"/>
            </w:tcMar>
            <w:vAlign w:val="bottom"/>
          </w:tcPr>
          <w:p w14:paraId="22CFAA89" w14:textId="77777777" w:rsidR="002661BA" w:rsidRDefault="00D972BC">
            <w:pPr>
              <w:jc w:val="right"/>
              <w:textAlignment w:val="bottom"/>
            </w:pPr>
            <w:r>
              <w:rPr>
                <w:rFonts w:ascii="Arial" w:eastAsia="宋体" w:hAnsi="Arial" w:cs="Arial"/>
                <w:i/>
                <w:iCs/>
                <w:color w:val="000000"/>
                <w:sz w:val="18"/>
                <w:szCs w:val="18"/>
              </w:rPr>
              <w:t>36.6 </w:t>
            </w:r>
          </w:p>
        </w:tc>
        <w:tc>
          <w:tcPr>
            <w:tcW w:w="0" w:type="auto"/>
            <w:shd w:val="clear" w:color="auto" w:fill="FFFFFF"/>
            <w:tcMar>
              <w:top w:w="40" w:type="dxa"/>
              <w:left w:w="0" w:type="dxa"/>
              <w:bottom w:w="40" w:type="dxa"/>
              <w:right w:w="20" w:type="dxa"/>
            </w:tcMar>
            <w:vAlign w:val="bottom"/>
          </w:tcPr>
          <w:p w14:paraId="22CFAA8A"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40" w:type="dxa"/>
              <w:left w:w="20" w:type="dxa"/>
              <w:bottom w:w="40" w:type="dxa"/>
              <w:right w:w="20" w:type="dxa"/>
            </w:tcMar>
            <w:vAlign w:val="bottom"/>
          </w:tcPr>
          <w:p w14:paraId="22CFAA8B" w14:textId="77777777" w:rsidR="002661BA" w:rsidRDefault="00D972BC">
            <w:pPr>
              <w:textAlignment w:val="bottom"/>
            </w:pPr>
            <w:r>
              <w:rPr>
                <w:rFonts w:ascii="Arial" w:eastAsia="宋体" w:hAnsi="Arial" w:cs="Arial"/>
                <w:i/>
                <w:iCs/>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AA8C" w14:textId="77777777" w:rsidR="002661BA" w:rsidRDefault="00D972BC">
            <w:pPr>
              <w:jc w:val="right"/>
              <w:textAlignment w:val="bottom"/>
            </w:pPr>
            <w:r>
              <w:rPr>
                <w:rFonts w:ascii="Arial" w:eastAsia="宋体" w:hAnsi="Arial" w:cs="Arial"/>
                <w:i/>
                <w:iCs/>
                <w:color w:val="000000"/>
                <w:sz w:val="18"/>
                <w:szCs w:val="18"/>
              </w:rPr>
              <w:t>25.6 </w:t>
            </w:r>
          </w:p>
        </w:tc>
        <w:tc>
          <w:tcPr>
            <w:tcW w:w="0" w:type="auto"/>
            <w:shd w:val="clear" w:color="auto" w:fill="FFFFFF"/>
            <w:tcMar>
              <w:top w:w="40" w:type="dxa"/>
              <w:left w:w="0" w:type="dxa"/>
              <w:bottom w:w="40" w:type="dxa"/>
              <w:right w:w="20" w:type="dxa"/>
            </w:tcMar>
            <w:vAlign w:val="bottom"/>
          </w:tcPr>
          <w:p w14:paraId="22CFAA8D" w14:textId="77777777" w:rsidR="002661BA" w:rsidRDefault="00D972BC">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40" w:type="dxa"/>
              <w:left w:w="20" w:type="dxa"/>
              <w:bottom w:w="40" w:type="dxa"/>
              <w:right w:w="20" w:type="dxa"/>
            </w:tcMar>
            <w:vAlign w:val="bottom"/>
          </w:tcPr>
          <w:p w14:paraId="22CFAA8E" w14:textId="77777777" w:rsidR="002661BA" w:rsidRDefault="00D972BC">
            <w:pPr>
              <w:textAlignment w:val="bottom"/>
            </w:pPr>
            <w:r>
              <w:rPr>
                <w:rFonts w:ascii="Arial" w:eastAsia="宋体" w:hAnsi="Arial" w:cs="Arial"/>
                <w:i/>
                <w:iCs/>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AA8F" w14:textId="77777777" w:rsidR="002661BA" w:rsidRDefault="00D972BC">
            <w:pPr>
              <w:jc w:val="right"/>
              <w:textAlignment w:val="bottom"/>
            </w:pPr>
            <w:r>
              <w:rPr>
                <w:rFonts w:ascii="Arial" w:eastAsia="宋体" w:hAnsi="Arial" w:cs="Arial"/>
                <w:i/>
                <w:iCs/>
                <w:color w:val="000000"/>
                <w:sz w:val="18"/>
                <w:szCs w:val="18"/>
              </w:rPr>
              <w:t>13.2 </w:t>
            </w:r>
          </w:p>
        </w:tc>
        <w:tc>
          <w:tcPr>
            <w:tcW w:w="0" w:type="auto"/>
            <w:shd w:val="clear" w:color="auto" w:fill="FFFFFF"/>
            <w:tcMar>
              <w:top w:w="40" w:type="dxa"/>
              <w:left w:w="0" w:type="dxa"/>
              <w:bottom w:w="40" w:type="dxa"/>
              <w:right w:w="20" w:type="dxa"/>
            </w:tcMar>
            <w:vAlign w:val="bottom"/>
          </w:tcPr>
          <w:p w14:paraId="22CFAA90" w14:textId="77777777" w:rsidR="002661BA" w:rsidRDefault="00D972BC">
            <w:pPr>
              <w:jc w:val="right"/>
              <w:textAlignment w:val="bottom"/>
            </w:pPr>
            <w:r>
              <w:rPr>
                <w:rFonts w:ascii="Arial" w:eastAsia="宋体" w:hAnsi="Arial" w:cs="Arial"/>
                <w:i/>
                <w:iCs/>
                <w:color w:val="000000"/>
                <w:sz w:val="18"/>
                <w:szCs w:val="18"/>
              </w:rPr>
              <w:t>%</w:t>
            </w:r>
          </w:p>
        </w:tc>
      </w:tr>
    </w:tbl>
    <w:p w14:paraId="22CFAA92" w14:textId="77777777" w:rsidR="002661BA" w:rsidRDefault="002661BA">
      <w:pPr>
        <w:jc w:val="both"/>
      </w:pPr>
    </w:p>
    <w:p w14:paraId="22CFAA93" w14:textId="77777777" w:rsidR="002661BA" w:rsidRDefault="00D972BC">
      <w:pPr>
        <w:ind w:firstLine="540"/>
        <w:jc w:val="both"/>
      </w:pPr>
      <w:r>
        <w:rPr>
          <w:rFonts w:ascii="Arial" w:eastAsia="宋体" w:hAnsi="Arial" w:cs="Arial"/>
          <w:color w:val="000000"/>
          <w:sz w:val="20"/>
          <w:szCs w:val="20"/>
        </w:rPr>
        <w:t xml:space="preserve">The increase in our effective tax rate in 2021 compared to 2020 was primarily due to non-deductible losses on investments, partially offset by a benefit from the </w:t>
      </w:r>
      <w:r>
        <w:rPr>
          <w:rFonts w:ascii="Arial" w:eastAsia="宋体" w:hAnsi="Arial" w:cs="Arial"/>
          <w:color w:val="000000"/>
          <w:sz w:val="20"/>
          <w:szCs w:val="20"/>
        </w:rPr>
        <w:t>release of a valuation allowance. The effective tax rate in 2020 included the effects of a retroactive California law change including incremental taxes on the gain on the sale of StubHub, partially offset by an increased tax benefit from stock-based compe</w:t>
      </w:r>
      <w:r>
        <w:rPr>
          <w:rFonts w:ascii="Arial" w:eastAsia="宋体" w:hAnsi="Arial" w:cs="Arial"/>
          <w:color w:val="000000"/>
          <w:sz w:val="20"/>
          <w:szCs w:val="20"/>
        </w:rPr>
        <w:t>nsation.</w:t>
      </w:r>
    </w:p>
    <w:p w14:paraId="22CFAA94" w14:textId="77777777" w:rsidR="002661BA" w:rsidRDefault="002661BA">
      <w:pPr>
        <w:ind w:firstLine="540"/>
        <w:jc w:val="both"/>
      </w:pPr>
    </w:p>
    <w:p w14:paraId="22CFAA95" w14:textId="77777777" w:rsidR="002661BA" w:rsidRDefault="00D972BC">
      <w:pPr>
        <w:ind w:firstLine="540"/>
        <w:jc w:val="both"/>
      </w:pPr>
      <w:r>
        <w:rPr>
          <w:rFonts w:ascii="Arial" w:eastAsia="宋体" w:hAnsi="Arial" w:cs="Arial"/>
          <w:color w:val="000000"/>
          <w:sz w:val="20"/>
          <w:szCs w:val="20"/>
        </w:rPr>
        <w:t xml:space="preserve">We are regularly under examination by tax authorities both domestically and internationally. We believe that adequate amounts have been reserved for any adjustments that may ultimately result from these examinations, although we cannot </w:t>
      </w:r>
      <w:r>
        <w:rPr>
          <w:rFonts w:ascii="Arial" w:eastAsia="宋体" w:hAnsi="Arial" w:cs="Arial"/>
          <w:color w:val="000000"/>
          <w:sz w:val="20"/>
          <w:szCs w:val="20"/>
        </w:rPr>
        <w:t>assure you that this will be the case given the inherent uncertainties in these examinations. Due to the ongoing tax examinations, it is generally impractical to determine the amount and timing of these adjustments. However, we expect several tax examinati</w:t>
      </w:r>
      <w:r>
        <w:rPr>
          <w:rFonts w:ascii="Arial" w:eastAsia="宋体" w:hAnsi="Arial" w:cs="Arial"/>
          <w:color w:val="000000"/>
          <w:sz w:val="20"/>
          <w:szCs w:val="20"/>
        </w:rPr>
        <w:t>ons to close within the next twelve months. See “Note 15 — Income Taxes” to the consolidated financial statements included in this report for more information on estimated settlements within the next twelve months.</w:t>
      </w:r>
    </w:p>
    <w:p w14:paraId="22CFAA96" w14:textId="77777777" w:rsidR="002661BA" w:rsidRDefault="002661BA">
      <w:pPr>
        <w:ind w:firstLine="540"/>
        <w:jc w:val="both"/>
      </w:pPr>
    </w:p>
    <w:p w14:paraId="22CFAA97" w14:textId="77777777" w:rsidR="002661BA" w:rsidRDefault="00D972BC">
      <w:r>
        <w:rPr>
          <w:rFonts w:ascii="Arial" w:eastAsia="宋体" w:hAnsi="Arial" w:cs="Arial"/>
          <w:b/>
          <w:bCs/>
          <w:i/>
          <w:iCs/>
          <w:color w:val="000000"/>
          <w:sz w:val="20"/>
          <w:szCs w:val="20"/>
        </w:rPr>
        <w:t xml:space="preserve">Discontinued Operations </w:t>
      </w:r>
    </w:p>
    <w:p w14:paraId="22CFAA98" w14:textId="77777777" w:rsidR="002661BA" w:rsidRDefault="002661BA">
      <w:pPr>
        <w:ind w:firstLine="540"/>
        <w:jc w:val="both"/>
      </w:pPr>
    </w:p>
    <w:p w14:paraId="22CFAA99" w14:textId="77777777" w:rsidR="002661BA" w:rsidRDefault="00D972BC">
      <w:pPr>
        <w:ind w:firstLine="540"/>
        <w:jc w:val="both"/>
      </w:pPr>
      <w:r>
        <w:rPr>
          <w:rFonts w:ascii="Arial" w:eastAsia="宋体" w:hAnsi="Arial" w:cs="Arial"/>
          <w:color w:val="000000"/>
          <w:sz w:val="20"/>
          <w:szCs w:val="20"/>
        </w:rPr>
        <w:t>On November 14</w:t>
      </w:r>
      <w:r>
        <w:rPr>
          <w:rFonts w:ascii="Arial" w:eastAsia="宋体" w:hAnsi="Arial" w:cs="Arial"/>
          <w:color w:val="000000"/>
          <w:sz w:val="20"/>
          <w:szCs w:val="20"/>
        </w:rPr>
        <w:t>, 2021, we completed the previously announced sale of 80.01% of the outstanding equity interests of eBay Korea to Emart. We have classified the results of our eBay Korea business as discontinued operations in our consolidated statement of income for the pe</w:t>
      </w:r>
      <w:r>
        <w:rPr>
          <w:rFonts w:ascii="Arial" w:eastAsia="宋体" w:hAnsi="Arial" w:cs="Arial"/>
          <w:color w:val="000000"/>
          <w:sz w:val="20"/>
          <w:szCs w:val="20"/>
        </w:rPr>
        <w:t xml:space="preserve">riods presented through November 14, 2021. Additionally, the related assets and liabilities associated with the discontinued operations are classified as discontinued operations in our consolidated balance sheet. </w:t>
      </w:r>
    </w:p>
    <w:p w14:paraId="22CFAA9A" w14:textId="77777777" w:rsidR="002661BA" w:rsidRDefault="002661BA">
      <w:pPr>
        <w:ind w:firstLine="540"/>
        <w:jc w:val="both"/>
      </w:pPr>
    </w:p>
    <w:p w14:paraId="22CFAA9B" w14:textId="77777777" w:rsidR="002661BA" w:rsidRDefault="00D972BC">
      <w:pPr>
        <w:ind w:firstLine="540"/>
        <w:jc w:val="both"/>
      </w:pPr>
      <w:r>
        <w:rPr>
          <w:rFonts w:ascii="Arial" w:eastAsia="宋体" w:hAnsi="Arial" w:cs="Arial"/>
          <w:color w:val="000000"/>
          <w:sz w:val="20"/>
          <w:szCs w:val="20"/>
        </w:rPr>
        <w:t>On June 24, 2021, we completed the previo</w:t>
      </w:r>
      <w:r>
        <w:rPr>
          <w:rFonts w:ascii="Arial" w:eastAsia="宋体" w:hAnsi="Arial" w:cs="Arial"/>
          <w:color w:val="000000"/>
          <w:sz w:val="20"/>
          <w:szCs w:val="20"/>
        </w:rPr>
        <w:t>usly announced transfer of our Classifieds business to Adevinta. We have classified the results of our Classifieds business as discontinued operations in our consolidated statement of income for the periods presented through June 24, 2021. Additionally, th</w:t>
      </w:r>
      <w:r>
        <w:rPr>
          <w:rFonts w:ascii="Arial" w:eastAsia="宋体" w:hAnsi="Arial" w:cs="Arial"/>
          <w:color w:val="000000"/>
          <w:sz w:val="20"/>
          <w:szCs w:val="20"/>
        </w:rPr>
        <w:t xml:space="preserve">e related assets and liabilities associated with the discontinued operations are classified as discontinued operations in our consolidated balance sheet. </w:t>
      </w:r>
    </w:p>
    <w:p w14:paraId="22CFAA9C" w14:textId="77777777" w:rsidR="002661BA" w:rsidRDefault="002661BA">
      <w:pPr>
        <w:ind w:firstLine="540"/>
        <w:jc w:val="both"/>
      </w:pPr>
    </w:p>
    <w:p w14:paraId="22CFAA9D" w14:textId="77777777" w:rsidR="002661BA" w:rsidRDefault="00D972BC">
      <w:pPr>
        <w:jc w:val="center"/>
      </w:pPr>
      <w:r>
        <w:rPr>
          <w:rFonts w:ascii="Arial" w:eastAsia="宋体" w:hAnsi="Arial" w:cs="Arial"/>
          <w:color w:val="000000"/>
          <w:sz w:val="18"/>
          <w:szCs w:val="18"/>
        </w:rPr>
        <w:t>39</w:t>
      </w:r>
    </w:p>
    <w:p w14:paraId="22CFAA9E" w14:textId="77777777" w:rsidR="002661BA" w:rsidRDefault="00D972BC">
      <w:r>
        <w:pict w14:anchorId="22CFE4D8">
          <v:rect id="_x0000_i1063" style="width:415.3pt;height:1.5pt" o:hralign="center" o:hrstd="t" o:hr="t" fillcolor="#a0a0a0" stroked="f"/>
        </w:pict>
      </w:r>
    </w:p>
    <w:p w14:paraId="22CFAA9F" w14:textId="77777777" w:rsidR="002661BA" w:rsidRDefault="00D972BC">
      <w:hyperlink r:id="rId65" w:anchor="id0d7a71b05ce452ea9fdb54f3cb359c7_7" w:history="1">
        <w:r>
          <w:rPr>
            <w:rStyle w:val="a5"/>
            <w:rFonts w:ascii="Arial" w:eastAsia="宋体" w:hAnsi="Arial" w:cs="Arial"/>
            <w:sz w:val="18"/>
            <w:szCs w:val="18"/>
          </w:rPr>
          <w:t>Table of Contents</w:t>
        </w:r>
      </w:hyperlink>
    </w:p>
    <w:p w14:paraId="22CFAAA0" w14:textId="77777777" w:rsidR="002661BA" w:rsidRDefault="00D972BC">
      <w:pPr>
        <w:ind w:firstLine="540"/>
        <w:jc w:val="both"/>
      </w:pPr>
      <w:r>
        <w:rPr>
          <w:rFonts w:ascii="Arial" w:eastAsia="宋体" w:hAnsi="Arial" w:cs="Arial"/>
          <w:color w:val="000000"/>
          <w:sz w:val="20"/>
          <w:szCs w:val="20"/>
        </w:rPr>
        <w:t>On February 13, 2020, we completed the previously announced sale of our StubHub business to an affiliate of viagogo. Beginning in the first quarter of 2020, StubHub’s financial res</w:t>
      </w:r>
      <w:r>
        <w:rPr>
          <w:rFonts w:ascii="Arial" w:eastAsia="宋体" w:hAnsi="Arial" w:cs="Arial"/>
          <w:color w:val="000000"/>
          <w:sz w:val="20"/>
          <w:szCs w:val="20"/>
        </w:rPr>
        <w:t>ults for periods prior to the sale have been reflected in our consolidated statement of income as discontinued operations. Additionally, the related assets and liabilities associated with the discontinued operations in the prior periods are classified as d</w:t>
      </w:r>
      <w:r>
        <w:rPr>
          <w:rFonts w:ascii="Arial" w:eastAsia="宋体" w:hAnsi="Arial" w:cs="Arial"/>
          <w:color w:val="000000"/>
          <w:sz w:val="20"/>
          <w:szCs w:val="20"/>
        </w:rPr>
        <w:t xml:space="preserve">iscontinued operations in our consolidated balance sheet. </w:t>
      </w:r>
    </w:p>
    <w:p w14:paraId="22CFAAA1" w14:textId="77777777" w:rsidR="002661BA" w:rsidRDefault="002661BA">
      <w:pPr>
        <w:ind w:firstLine="540"/>
        <w:jc w:val="both"/>
      </w:pPr>
    </w:p>
    <w:p w14:paraId="22CFAAA2" w14:textId="77777777" w:rsidR="002661BA" w:rsidRDefault="00D972BC">
      <w:pPr>
        <w:ind w:firstLine="540"/>
        <w:jc w:val="both"/>
      </w:pPr>
      <w:r>
        <w:rPr>
          <w:rFonts w:ascii="Arial" w:eastAsia="宋体" w:hAnsi="Arial" w:cs="Arial"/>
          <w:color w:val="000000"/>
          <w:sz w:val="20"/>
          <w:szCs w:val="20"/>
        </w:rPr>
        <w:t xml:space="preserve">See “Note 3 — Discontinued Operations” in our consolidated financial statements included elsewhere in this report for additional information. </w:t>
      </w:r>
    </w:p>
    <w:p w14:paraId="22CFAAA3" w14:textId="77777777" w:rsidR="002661BA" w:rsidRDefault="002661BA">
      <w:pPr>
        <w:ind w:firstLine="540"/>
        <w:jc w:val="both"/>
      </w:pPr>
    </w:p>
    <w:p w14:paraId="22CFAAA4" w14:textId="77777777" w:rsidR="002661BA" w:rsidRDefault="00D972BC">
      <w:pPr>
        <w:jc w:val="both"/>
      </w:pPr>
      <w:r>
        <w:rPr>
          <w:rFonts w:ascii="Arial" w:eastAsia="宋体" w:hAnsi="Arial" w:cs="Arial"/>
          <w:b/>
          <w:bCs/>
          <w:i/>
          <w:iCs/>
          <w:color w:val="000000"/>
          <w:sz w:val="20"/>
          <w:szCs w:val="20"/>
        </w:rPr>
        <w:t>Non-GAAP Measures of Financial Performance</w:t>
      </w:r>
    </w:p>
    <w:p w14:paraId="22CFAAA5" w14:textId="77777777" w:rsidR="002661BA" w:rsidRDefault="002661BA">
      <w:pPr>
        <w:jc w:val="both"/>
      </w:pPr>
    </w:p>
    <w:p w14:paraId="22CFAAA6" w14:textId="77777777" w:rsidR="002661BA" w:rsidRDefault="00D972BC">
      <w:pPr>
        <w:ind w:firstLine="540"/>
        <w:jc w:val="both"/>
      </w:pPr>
      <w:r>
        <w:rPr>
          <w:rFonts w:ascii="Arial" w:eastAsia="宋体" w:hAnsi="Arial" w:cs="Arial"/>
          <w:color w:val="000000"/>
          <w:sz w:val="20"/>
          <w:szCs w:val="20"/>
        </w:rPr>
        <w:t>To suppl</w:t>
      </w:r>
      <w:r>
        <w:rPr>
          <w:rFonts w:ascii="Arial" w:eastAsia="宋体" w:hAnsi="Arial" w:cs="Arial"/>
          <w:color w:val="000000"/>
          <w:sz w:val="20"/>
          <w:szCs w:val="20"/>
        </w:rPr>
        <w:t>ement our consolidated financial statements presented in accordance with generally accepted accounting principles, we use FX-Neutral net revenues, which are non-GAAP financial measures. Management uses the foregoing non-GAAP measures in reviewing our finan</w:t>
      </w:r>
      <w:r>
        <w:rPr>
          <w:rFonts w:ascii="Arial" w:eastAsia="宋体" w:hAnsi="Arial" w:cs="Arial"/>
          <w:color w:val="000000"/>
          <w:sz w:val="20"/>
          <w:szCs w:val="20"/>
        </w:rPr>
        <w:t>cial results. We define FX-Neutral net revenues as net revenues minus the exchange rate effect. We define exchange rate effect as the year-over-year impact of foreign currency movements using prior period foreign currency rates applied to current year tran</w:t>
      </w:r>
      <w:r>
        <w:rPr>
          <w:rFonts w:ascii="Arial" w:eastAsia="宋体" w:hAnsi="Arial" w:cs="Arial"/>
          <w:color w:val="000000"/>
          <w:sz w:val="20"/>
          <w:szCs w:val="20"/>
        </w:rPr>
        <w:t>sactional currency amounts, excluding hedging activity.</w:t>
      </w:r>
    </w:p>
    <w:p w14:paraId="22CFAAA7" w14:textId="77777777" w:rsidR="002661BA" w:rsidRDefault="002661BA">
      <w:pPr>
        <w:ind w:firstLine="540"/>
        <w:jc w:val="both"/>
      </w:pPr>
    </w:p>
    <w:p w14:paraId="22CFAAA8" w14:textId="77777777" w:rsidR="002661BA" w:rsidRDefault="00D972BC">
      <w:pPr>
        <w:ind w:firstLine="540"/>
        <w:jc w:val="both"/>
      </w:pPr>
      <w:r>
        <w:rPr>
          <w:rFonts w:ascii="Arial" w:eastAsia="宋体" w:hAnsi="Arial" w:cs="Arial"/>
          <w:color w:val="000000"/>
          <w:sz w:val="20"/>
          <w:szCs w:val="20"/>
        </w:rPr>
        <w:t>These non-GAAP measures are not in accordance with, or an alternative to, measures prepared in accordance with GAAP and may be different from non-GAAP measures used by other companies. In addition, t</w:t>
      </w:r>
      <w:r>
        <w:rPr>
          <w:rFonts w:ascii="Arial" w:eastAsia="宋体" w:hAnsi="Arial" w:cs="Arial"/>
          <w:color w:val="000000"/>
          <w:sz w:val="20"/>
          <w:szCs w:val="20"/>
        </w:rPr>
        <w:t>hese non-GAAP measures are not based on any comprehensive set of accounting rules or principles. Non-GAAP measures have limitations in that they do not reflect all of the amounts associated with our results of operations as determined in accordance with GA</w:t>
      </w:r>
      <w:r>
        <w:rPr>
          <w:rFonts w:ascii="Arial" w:eastAsia="宋体" w:hAnsi="Arial" w:cs="Arial"/>
          <w:color w:val="000000"/>
          <w:sz w:val="20"/>
          <w:szCs w:val="20"/>
        </w:rPr>
        <w:t xml:space="preserve">AP. These measures should only be used to evaluate our results of operations in conjunction with the corresponding GAAP measures. </w:t>
      </w:r>
    </w:p>
    <w:p w14:paraId="22CFAAA9" w14:textId="77777777" w:rsidR="002661BA" w:rsidRDefault="002661BA">
      <w:pPr>
        <w:ind w:firstLine="540"/>
        <w:jc w:val="both"/>
      </w:pPr>
    </w:p>
    <w:p w14:paraId="22CFAAAA" w14:textId="77777777" w:rsidR="002661BA" w:rsidRDefault="00D972BC">
      <w:pPr>
        <w:ind w:firstLine="540"/>
        <w:jc w:val="both"/>
      </w:pPr>
      <w:r>
        <w:rPr>
          <w:rFonts w:ascii="Arial" w:eastAsia="宋体" w:hAnsi="Arial" w:cs="Arial"/>
          <w:color w:val="000000"/>
          <w:sz w:val="20"/>
          <w:szCs w:val="20"/>
        </w:rPr>
        <w:t>These non-GAAP measures are provided to enhance investors’ overall understanding of our current financial performance and it</w:t>
      </w:r>
      <w:r>
        <w:rPr>
          <w:rFonts w:ascii="Arial" w:eastAsia="宋体" w:hAnsi="Arial" w:cs="Arial"/>
          <w:color w:val="000000"/>
          <w:sz w:val="20"/>
          <w:szCs w:val="20"/>
        </w:rPr>
        <w:t>s prospects for the future. Specifically, we believe these non-GAAP measures provide useful information to both management and investors by excluding the foreign currency exchange rate impact that may not be indicative of our core operating results and bus</w:t>
      </w:r>
      <w:r>
        <w:rPr>
          <w:rFonts w:ascii="Arial" w:eastAsia="宋体" w:hAnsi="Arial" w:cs="Arial"/>
          <w:color w:val="000000"/>
          <w:sz w:val="20"/>
          <w:szCs w:val="20"/>
        </w:rPr>
        <w:t xml:space="preserve">iness outlook. In addition, because we have historically reported certain non-GAAP results to investors, we believe that the inclusion of these non-GAAP measures provide consistency in our financial reporting. </w:t>
      </w:r>
    </w:p>
    <w:p w14:paraId="22CFAAAB" w14:textId="77777777" w:rsidR="002661BA" w:rsidRDefault="002661BA">
      <w:pPr>
        <w:ind w:firstLine="540"/>
        <w:jc w:val="both"/>
      </w:pPr>
    </w:p>
    <w:p w14:paraId="22CFAAAC" w14:textId="77777777" w:rsidR="002661BA" w:rsidRDefault="00D972BC">
      <w:pPr>
        <w:jc w:val="center"/>
      </w:pPr>
      <w:r>
        <w:rPr>
          <w:rFonts w:ascii="Arial" w:eastAsia="宋体" w:hAnsi="Arial" w:cs="Arial"/>
          <w:color w:val="000000"/>
          <w:sz w:val="18"/>
          <w:szCs w:val="18"/>
        </w:rPr>
        <w:t>40</w:t>
      </w:r>
    </w:p>
    <w:p w14:paraId="22CFAAAD" w14:textId="77777777" w:rsidR="002661BA" w:rsidRDefault="00D972BC">
      <w:r>
        <w:pict w14:anchorId="22CFE4D9">
          <v:rect id="_x0000_i1064" style="width:415.3pt;height:1.5pt" o:hralign="center" o:hrstd="t" o:hr="t" fillcolor="#a0a0a0" stroked="f"/>
        </w:pict>
      </w:r>
    </w:p>
    <w:p w14:paraId="22CFAAAE" w14:textId="77777777" w:rsidR="002661BA" w:rsidRDefault="00D972BC">
      <w:hyperlink r:id="rId66" w:anchor="id0d7a71b05ce452ea9fdb54f3cb359c7_7" w:history="1">
        <w:r>
          <w:rPr>
            <w:rStyle w:val="a5"/>
            <w:rFonts w:ascii="Arial" w:eastAsia="宋体" w:hAnsi="Arial" w:cs="Arial"/>
            <w:sz w:val="18"/>
            <w:szCs w:val="18"/>
          </w:rPr>
          <w:t>Table of Contents</w:t>
        </w:r>
      </w:hyperlink>
    </w:p>
    <w:p w14:paraId="22CFAAAF" w14:textId="77777777" w:rsidR="002661BA" w:rsidRDefault="00D972BC">
      <w:pPr>
        <w:spacing w:after="120"/>
        <w:ind w:firstLine="540"/>
        <w:jc w:val="both"/>
      </w:pPr>
      <w:r>
        <w:rPr>
          <w:rFonts w:ascii="Arial" w:eastAsia="宋体" w:hAnsi="Arial" w:cs="Arial"/>
          <w:color w:val="000000"/>
          <w:sz w:val="20"/>
          <w:szCs w:val="20"/>
        </w:rPr>
        <w:t>The following tables present a reconciliation of FX-Neutral GMV and FX-Neutral net re</w:t>
      </w:r>
      <w:r>
        <w:rPr>
          <w:rFonts w:ascii="Arial" w:eastAsia="宋体" w:hAnsi="Arial" w:cs="Arial"/>
          <w:color w:val="000000"/>
          <w:sz w:val="20"/>
          <w:szCs w:val="20"/>
        </w:rPr>
        <w:t>venues (each as defined below) to our reported GMV and net revenues for the periods 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43"/>
        <w:gridCol w:w="1651"/>
        <w:gridCol w:w="37"/>
        <w:gridCol w:w="122"/>
        <w:gridCol w:w="713"/>
        <w:gridCol w:w="36"/>
        <w:gridCol w:w="36"/>
        <w:gridCol w:w="36"/>
        <w:gridCol w:w="36"/>
        <w:gridCol w:w="122"/>
        <w:gridCol w:w="764"/>
        <w:gridCol w:w="36"/>
        <w:gridCol w:w="36"/>
        <w:gridCol w:w="36"/>
        <w:gridCol w:w="36"/>
        <w:gridCol w:w="122"/>
        <w:gridCol w:w="815"/>
        <w:gridCol w:w="36"/>
        <w:gridCol w:w="36"/>
        <w:gridCol w:w="36"/>
        <w:gridCol w:w="36"/>
        <w:gridCol w:w="122"/>
        <w:gridCol w:w="713"/>
        <w:gridCol w:w="36"/>
        <w:gridCol w:w="36"/>
        <w:gridCol w:w="36"/>
        <w:gridCol w:w="36"/>
        <w:gridCol w:w="85"/>
        <w:gridCol w:w="892"/>
        <w:gridCol w:w="181"/>
        <w:gridCol w:w="36"/>
        <w:gridCol w:w="36"/>
        <w:gridCol w:w="36"/>
        <w:gridCol w:w="94"/>
        <w:gridCol w:w="995"/>
        <w:gridCol w:w="181"/>
      </w:tblGrid>
      <w:tr w:rsidR="002661BA" w14:paraId="22CFAAD4" w14:textId="77777777">
        <w:tc>
          <w:tcPr>
            <w:tcW w:w="50" w:type="pct"/>
            <w:shd w:val="clear" w:color="auto" w:fill="auto"/>
            <w:vAlign w:val="bottom"/>
          </w:tcPr>
          <w:p w14:paraId="22CFAAB0" w14:textId="77777777" w:rsidR="002661BA" w:rsidRDefault="002661BA">
            <w:pPr>
              <w:rPr>
                <w:rFonts w:ascii="宋体"/>
              </w:rPr>
            </w:pPr>
          </w:p>
        </w:tc>
        <w:tc>
          <w:tcPr>
            <w:tcW w:w="1290" w:type="pct"/>
            <w:shd w:val="clear" w:color="auto" w:fill="auto"/>
            <w:vAlign w:val="bottom"/>
          </w:tcPr>
          <w:p w14:paraId="22CFAAB1" w14:textId="77777777" w:rsidR="002661BA" w:rsidRDefault="002661BA">
            <w:pPr>
              <w:rPr>
                <w:rFonts w:ascii="宋体"/>
              </w:rPr>
            </w:pPr>
          </w:p>
        </w:tc>
        <w:tc>
          <w:tcPr>
            <w:tcW w:w="5" w:type="pct"/>
            <w:shd w:val="clear" w:color="auto" w:fill="auto"/>
            <w:vAlign w:val="bottom"/>
          </w:tcPr>
          <w:p w14:paraId="22CFAAB2" w14:textId="77777777" w:rsidR="002661BA" w:rsidRDefault="002661BA">
            <w:pPr>
              <w:rPr>
                <w:rFonts w:ascii="宋体"/>
              </w:rPr>
            </w:pPr>
          </w:p>
        </w:tc>
        <w:tc>
          <w:tcPr>
            <w:tcW w:w="50" w:type="pct"/>
            <w:shd w:val="clear" w:color="auto" w:fill="auto"/>
            <w:vAlign w:val="bottom"/>
          </w:tcPr>
          <w:p w14:paraId="22CFAAB3" w14:textId="77777777" w:rsidR="002661BA" w:rsidRDefault="002661BA">
            <w:pPr>
              <w:rPr>
                <w:rFonts w:ascii="宋体"/>
              </w:rPr>
            </w:pPr>
          </w:p>
        </w:tc>
        <w:tc>
          <w:tcPr>
            <w:tcW w:w="529" w:type="pct"/>
            <w:shd w:val="clear" w:color="auto" w:fill="auto"/>
            <w:vAlign w:val="bottom"/>
          </w:tcPr>
          <w:p w14:paraId="22CFAAB4" w14:textId="77777777" w:rsidR="002661BA" w:rsidRDefault="002661BA">
            <w:pPr>
              <w:rPr>
                <w:rFonts w:ascii="宋体"/>
              </w:rPr>
            </w:pPr>
          </w:p>
        </w:tc>
        <w:tc>
          <w:tcPr>
            <w:tcW w:w="5" w:type="pct"/>
            <w:shd w:val="clear" w:color="auto" w:fill="auto"/>
            <w:vAlign w:val="bottom"/>
          </w:tcPr>
          <w:p w14:paraId="22CFAAB5" w14:textId="77777777" w:rsidR="002661BA" w:rsidRDefault="002661BA">
            <w:pPr>
              <w:rPr>
                <w:rFonts w:ascii="宋体"/>
              </w:rPr>
            </w:pPr>
          </w:p>
        </w:tc>
        <w:tc>
          <w:tcPr>
            <w:tcW w:w="5" w:type="pct"/>
            <w:shd w:val="clear" w:color="auto" w:fill="auto"/>
            <w:vAlign w:val="bottom"/>
          </w:tcPr>
          <w:p w14:paraId="22CFAAB6" w14:textId="77777777" w:rsidR="002661BA" w:rsidRDefault="002661BA">
            <w:pPr>
              <w:rPr>
                <w:rFonts w:ascii="宋体"/>
              </w:rPr>
            </w:pPr>
          </w:p>
        </w:tc>
        <w:tc>
          <w:tcPr>
            <w:tcW w:w="19" w:type="pct"/>
            <w:shd w:val="clear" w:color="auto" w:fill="auto"/>
            <w:vAlign w:val="bottom"/>
          </w:tcPr>
          <w:p w14:paraId="22CFAAB7" w14:textId="77777777" w:rsidR="002661BA" w:rsidRDefault="002661BA">
            <w:pPr>
              <w:rPr>
                <w:rFonts w:ascii="宋体"/>
              </w:rPr>
            </w:pPr>
          </w:p>
        </w:tc>
        <w:tc>
          <w:tcPr>
            <w:tcW w:w="5" w:type="pct"/>
            <w:shd w:val="clear" w:color="auto" w:fill="auto"/>
            <w:vAlign w:val="bottom"/>
          </w:tcPr>
          <w:p w14:paraId="22CFAAB8" w14:textId="77777777" w:rsidR="002661BA" w:rsidRDefault="002661BA">
            <w:pPr>
              <w:rPr>
                <w:rFonts w:ascii="宋体"/>
              </w:rPr>
            </w:pPr>
          </w:p>
        </w:tc>
        <w:tc>
          <w:tcPr>
            <w:tcW w:w="50" w:type="pct"/>
            <w:shd w:val="clear" w:color="auto" w:fill="auto"/>
            <w:vAlign w:val="bottom"/>
          </w:tcPr>
          <w:p w14:paraId="22CFAAB9" w14:textId="77777777" w:rsidR="002661BA" w:rsidRDefault="002661BA">
            <w:pPr>
              <w:rPr>
                <w:rFonts w:ascii="宋体"/>
              </w:rPr>
            </w:pPr>
          </w:p>
        </w:tc>
        <w:tc>
          <w:tcPr>
            <w:tcW w:w="529" w:type="pct"/>
            <w:shd w:val="clear" w:color="auto" w:fill="auto"/>
            <w:vAlign w:val="bottom"/>
          </w:tcPr>
          <w:p w14:paraId="22CFAABA" w14:textId="77777777" w:rsidR="002661BA" w:rsidRDefault="002661BA">
            <w:pPr>
              <w:rPr>
                <w:rFonts w:ascii="宋体"/>
              </w:rPr>
            </w:pPr>
          </w:p>
        </w:tc>
        <w:tc>
          <w:tcPr>
            <w:tcW w:w="5" w:type="pct"/>
            <w:shd w:val="clear" w:color="auto" w:fill="auto"/>
            <w:vAlign w:val="bottom"/>
          </w:tcPr>
          <w:p w14:paraId="22CFAABB" w14:textId="77777777" w:rsidR="002661BA" w:rsidRDefault="002661BA">
            <w:pPr>
              <w:rPr>
                <w:rFonts w:ascii="宋体"/>
              </w:rPr>
            </w:pPr>
          </w:p>
        </w:tc>
        <w:tc>
          <w:tcPr>
            <w:tcW w:w="5" w:type="pct"/>
            <w:shd w:val="clear" w:color="auto" w:fill="auto"/>
            <w:vAlign w:val="bottom"/>
          </w:tcPr>
          <w:p w14:paraId="22CFAABC" w14:textId="77777777" w:rsidR="002661BA" w:rsidRDefault="002661BA">
            <w:pPr>
              <w:rPr>
                <w:rFonts w:ascii="宋体"/>
              </w:rPr>
            </w:pPr>
          </w:p>
        </w:tc>
        <w:tc>
          <w:tcPr>
            <w:tcW w:w="19" w:type="pct"/>
            <w:shd w:val="clear" w:color="auto" w:fill="auto"/>
            <w:vAlign w:val="bottom"/>
          </w:tcPr>
          <w:p w14:paraId="22CFAABD" w14:textId="77777777" w:rsidR="002661BA" w:rsidRDefault="002661BA">
            <w:pPr>
              <w:rPr>
                <w:rFonts w:ascii="宋体"/>
              </w:rPr>
            </w:pPr>
          </w:p>
        </w:tc>
        <w:tc>
          <w:tcPr>
            <w:tcW w:w="5" w:type="pct"/>
            <w:shd w:val="clear" w:color="auto" w:fill="auto"/>
            <w:vAlign w:val="bottom"/>
          </w:tcPr>
          <w:p w14:paraId="22CFAABE" w14:textId="77777777" w:rsidR="002661BA" w:rsidRDefault="002661BA">
            <w:pPr>
              <w:rPr>
                <w:rFonts w:ascii="宋体"/>
              </w:rPr>
            </w:pPr>
          </w:p>
        </w:tc>
        <w:tc>
          <w:tcPr>
            <w:tcW w:w="50" w:type="pct"/>
            <w:shd w:val="clear" w:color="auto" w:fill="auto"/>
            <w:vAlign w:val="bottom"/>
          </w:tcPr>
          <w:p w14:paraId="22CFAABF" w14:textId="77777777" w:rsidR="002661BA" w:rsidRDefault="002661BA">
            <w:pPr>
              <w:rPr>
                <w:rFonts w:ascii="宋体"/>
              </w:rPr>
            </w:pPr>
          </w:p>
        </w:tc>
        <w:tc>
          <w:tcPr>
            <w:tcW w:w="529" w:type="pct"/>
            <w:shd w:val="clear" w:color="auto" w:fill="auto"/>
            <w:vAlign w:val="bottom"/>
          </w:tcPr>
          <w:p w14:paraId="22CFAAC0" w14:textId="77777777" w:rsidR="002661BA" w:rsidRDefault="002661BA">
            <w:pPr>
              <w:rPr>
                <w:rFonts w:ascii="宋体"/>
              </w:rPr>
            </w:pPr>
          </w:p>
        </w:tc>
        <w:tc>
          <w:tcPr>
            <w:tcW w:w="5" w:type="pct"/>
            <w:shd w:val="clear" w:color="auto" w:fill="auto"/>
            <w:vAlign w:val="bottom"/>
          </w:tcPr>
          <w:p w14:paraId="22CFAAC1" w14:textId="77777777" w:rsidR="002661BA" w:rsidRDefault="002661BA">
            <w:pPr>
              <w:rPr>
                <w:rFonts w:ascii="宋体"/>
              </w:rPr>
            </w:pPr>
          </w:p>
        </w:tc>
        <w:tc>
          <w:tcPr>
            <w:tcW w:w="5" w:type="pct"/>
            <w:shd w:val="clear" w:color="auto" w:fill="auto"/>
            <w:vAlign w:val="bottom"/>
          </w:tcPr>
          <w:p w14:paraId="22CFAAC2" w14:textId="77777777" w:rsidR="002661BA" w:rsidRDefault="002661BA">
            <w:pPr>
              <w:rPr>
                <w:rFonts w:ascii="宋体"/>
              </w:rPr>
            </w:pPr>
          </w:p>
        </w:tc>
        <w:tc>
          <w:tcPr>
            <w:tcW w:w="19" w:type="pct"/>
            <w:shd w:val="clear" w:color="auto" w:fill="auto"/>
            <w:vAlign w:val="bottom"/>
          </w:tcPr>
          <w:p w14:paraId="22CFAAC3" w14:textId="77777777" w:rsidR="002661BA" w:rsidRDefault="002661BA">
            <w:pPr>
              <w:rPr>
                <w:rFonts w:ascii="宋体"/>
              </w:rPr>
            </w:pPr>
          </w:p>
        </w:tc>
        <w:tc>
          <w:tcPr>
            <w:tcW w:w="5" w:type="pct"/>
            <w:shd w:val="clear" w:color="auto" w:fill="auto"/>
            <w:vAlign w:val="bottom"/>
          </w:tcPr>
          <w:p w14:paraId="22CFAAC4" w14:textId="77777777" w:rsidR="002661BA" w:rsidRDefault="002661BA">
            <w:pPr>
              <w:rPr>
                <w:rFonts w:ascii="宋体"/>
              </w:rPr>
            </w:pPr>
          </w:p>
        </w:tc>
        <w:tc>
          <w:tcPr>
            <w:tcW w:w="50" w:type="pct"/>
            <w:shd w:val="clear" w:color="auto" w:fill="auto"/>
            <w:vAlign w:val="bottom"/>
          </w:tcPr>
          <w:p w14:paraId="22CFAAC5" w14:textId="77777777" w:rsidR="002661BA" w:rsidRDefault="002661BA">
            <w:pPr>
              <w:rPr>
                <w:rFonts w:ascii="宋体"/>
              </w:rPr>
            </w:pPr>
          </w:p>
        </w:tc>
        <w:tc>
          <w:tcPr>
            <w:tcW w:w="529" w:type="pct"/>
            <w:shd w:val="clear" w:color="auto" w:fill="auto"/>
            <w:vAlign w:val="bottom"/>
          </w:tcPr>
          <w:p w14:paraId="22CFAAC6" w14:textId="77777777" w:rsidR="002661BA" w:rsidRDefault="002661BA">
            <w:pPr>
              <w:rPr>
                <w:rFonts w:ascii="宋体"/>
              </w:rPr>
            </w:pPr>
          </w:p>
        </w:tc>
        <w:tc>
          <w:tcPr>
            <w:tcW w:w="5" w:type="pct"/>
            <w:shd w:val="clear" w:color="auto" w:fill="auto"/>
            <w:vAlign w:val="bottom"/>
          </w:tcPr>
          <w:p w14:paraId="22CFAAC7" w14:textId="77777777" w:rsidR="002661BA" w:rsidRDefault="002661BA">
            <w:pPr>
              <w:rPr>
                <w:rFonts w:ascii="宋体"/>
              </w:rPr>
            </w:pPr>
          </w:p>
        </w:tc>
        <w:tc>
          <w:tcPr>
            <w:tcW w:w="5" w:type="pct"/>
            <w:shd w:val="clear" w:color="auto" w:fill="auto"/>
            <w:vAlign w:val="bottom"/>
          </w:tcPr>
          <w:p w14:paraId="22CFAAC8" w14:textId="77777777" w:rsidR="002661BA" w:rsidRDefault="002661BA">
            <w:pPr>
              <w:rPr>
                <w:rFonts w:ascii="宋体"/>
              </w:rPr>
            </w:pPr>
          </w:p>
        </w:tc>
        <w:tc>
          <w:tcPr>
            <w:tcW w:w="19" w:type="pct"/>
            <w:shd w:val="clear" w:color="auto" w:fill="auto"/>
            <w:vAlign w:val="bottom"/>
          </w:tcPr>
          <w:p w14:paraId="22CFAAC9" w14:textId="77777777" w:rsidR="002661BA" w:rsidRDefault="002661BA">
            <w:pPr>
              <w:rPr>
                <w:rFonts w:ascii="宋体"/>
              </w:rPr>
            </w:pPr>
          </w:p>
        </w:tc>
        <w:tc>
          <w:tcPr>
            <w:tcW w:w="5" w:type="pct"/>
            <w:shd w:val="clear" w:color="auto" w:fill="auto"/>
            <w:vAlign w:val="bottom"/>
          </w:tcPr>
          <w:p w14:paraId="22CFAACA" w14:textId="77777777" w:rsidR="002661BA" w:rsidRDefault="002661BA">
            <w:pPr>
              <w:rPr>
                <w:rFonts w:ascii="宋体"/>
              </w:rPr>
            </w:pPr>
          </w:p>
        </w:tc>
        <w:tc>
          <w:tcPr>
            <w:tcW w:w="50" w:type="pct"/>
            <w:shd w:val="clear" w:color="auto" w:fill="auto"/>
            <w:vAlign w:val="bottom"/>
          </w:tcPr>
          <w:p w14:paraId="22CFAACB" w14:textId="77777777" w:rsidR="002661BA" w:rsidRDefault="002661BA">
            <w:pPr>
              <w:rPr>
                <w:rFonts w:ascii="宋体"/>
              </w:rPr>
            </w:pPr>
          </w:p>
        </w:tc>
        <w:tc>
          <w:tcPr>
            <w:tcW w:w="529" w:type="pct"/>
            <w:shd w:val="clear" w:color="auto" w:fill="auto"/>
            <w:vAlign w:val="bottom"/>
          </w:tcPr>
          <w:p w14:paraId="22CFAACC" w14:textId="77777777" w:rsidR="002661BA" w:rsidRDefault="002661BA">
            <w:pPr>
              <w:rPr>
                <w:rFonts w:ascii="宋体"/>
              </w:rPr>
            </w:pPr>
          </w:p>
        </w:tc>
        <w:tc>
          <w:tcPr>
            <w:tcW w:w="5" w:type="pct"/>
            <w:shd w:val="clear" w:color="auto" w:fill="auto"/>
            <w:vAlign w:val="bottom"/>
          </w:tcPr>
          <w:p w14:paraId="22CFAACD" w14:textId="77777777" w:rsidR="002661BA" w:rsidRDefault="002661BA">
            <w:pPr>
              <w:rPr>
                <w:rFonts w:ascii="宋体"/>
              </w:rPr>
            </w:pPr>
          </w:p>
        </w:tc>
        <w:tc>
          <w:tcPr>
            <w:tcW w:w="5" w:type="pct"/>
            <w:shd w:val="clear" w:color="auto" w:fill="auto"/>
            <w:vAlign w:val="bottom"/>
          </w:tcPr>
          <w:p w14:paraId="22CFAACE" w14:textId="77777777" w:rsidR="002661BA" w:rsidRDefault="002661BA">
            <w:pPr>
              <w:rPr>
                <w:rFonts w:ascii="宋体"/>
              </w:rPr>
            </w:pPr>
          </w:p>
        </w:tc>
        <w:tc>
          <w:tcPr>
            <w:tcW w:w="19" w:type="pct"/>
            <w:shd w:val="clear" w:color="auto" w:fill="auto"/>
            <w:vAlign w:val="bottom"/>
          </w:tcPr>
          <w:p w14:paraId="22CFAACF" w14:textId="77777777" w:rsidR="002661BA" w:rsidRDefault="002661BA">
            <w:pPr>
              <w:rPr>
                <w:rFonts w:ascii="宋体"/>
              </w:rPr>
            </w:pPr>
          </w:p>
        </w:tc>
        <w:tc>
          <w:tcPr>
            <w:tcW w:w="5" w:type="pct"/>
            <w:shd w:val="clear" w:color="auto" w:fill="auto"/>
            <w:vAlign w:val="bottom"/>
          </w:tcPr>
          <w:p w14:paraId="22CFAAD0" w14:textId="77777777" w:rsidR="002661BA" w:rsidRDefault="002661BA">
            <w:pPr>
              <w:rPr>
                <w:rFonts w:ascii="宋体"/>
              </w:rPr>
            </w:pPr>
          </w:p>
        </w:tc>
        <w:tc>
          <w:tcPr>
            <w:tcW w:w="50" w:type="pct"/>
            <w:shd w:val="clear" w:color="auto" w:fill="auto"/>
            <w:vAlign w:val="bottom"/>
          </w:tcPr>
          <w:p w14:paraId="22CFAAD1" w14:textId="77777777" w:rsidR="002661BA" w:rsidRDefault="002661BA">
            <w:pPr>
              <w:rPr>
                <w:rFonts w:ascii="宋体"/>
              </w:rPr>
            </w:pPr>
          </w:p>
        </w:tc>
        <w:tc>
          <w:tcPr>
            <w:tcW w:w="530" w:type="pct"/>
            <w:shd w:val="clear" w:color="auto" w:fill="auto"/>
            <w:vAlign w:val="bottom"/>
          </w:tcPr>
          <w:p w14:paraId="22CFAAD2" w14:textId="77777777" w:rsidR="002661BA" w:rsidRDefault="002661BA">
            <w:pPr>
              <w:rPr>
                <w:rFonts w:ascii="宋体"/>
              </w:rPr>
            </w:pPr>
          </w:p>
        </w:tc>
        <w:tc>
          <w:tcPr>
            <w:tcW w:w="5" w:type="pct"/>
            <w:shd w:val="clear" w:color="auto" w:fill="auto"/>
            <w:vAlign w:val="bottom"/>
          </w:tcPr>
          <w:p w14:paraId="22CFAAD3" w14:textId="77777777" w:rsidR="002661BA" w:rsidRDefault="002661BA">
            <w:pPr>
              <w:rPr>
                <w:rFonts w:ascii="宋体"/>
              </w:rPr>
            </w:pPr>
          </w:p>
        </w:tc>
      </w:tr>
      <w:tr w:rsidR="002661BA" w14:paraId="22CFAADB" w14:textId="77777777">
        <w:tc>
          <w:tcPr>
            <w:tcW w:w="0" w:type="auto"/>
            <w:gridSpan w:val="3"/>
            <w:shd w:val="clear" w:color="auto" w:fill="auto"/>
            <w:tcMar>
              <w:top w:w="0" w:type="dxa"/>
              <w:left w:w="20" w:type="dxa"/>
              <w:bottom w:w="0" w:type="dxa"/>
              <w:right w:w="20" w:type="dxa"/>
            </w:tcMar>
            <w:vAlign w:val="bottom"/>
          </w:tcPr>
          <w:p w14:paraId="22CFAAD5" w14:textId="77777777" w:rsidR="002661BA" w:rsidRDefault="002661BA">
            <w:pPr>
              <w:rPr>
                <w:rFonts w:ascii="宋体"/>
              </w:rPr>
            </w:pPr>
          </w:p>
        </w:tc>
        <w:tc>
          <w:tcPr>
            <w:tcW w:w="0" w:type="auto"/>
            <w:gridSpan w:val="21"/>
            <w:shd w:val="clear" w:color="auto" w:fill="auto"/>
            <w:tcMar>
              <w:top w:w="40" w:type="dxa"/>
              <w:left w:w="20" w:type="dxa"/>
              <w:bottom w:w="40" w:type="dxa"/>
              <w:right w:w="20" w:type="dxa"/>
            </w:tcMar>
            <w:vAlign w:val="bottom"/>
          </w:tcPr>
          <w:p w14:paraId="22CFAAD6" w14:textId="77777777" w:rsidR="002661BA" w:rsidRDefault="00D972BC">
            <w:pPr>
              <w:jc w:val="center"/>
              <w:textAlignment w:val="bottom"/>
            </w:pPr>
            <w:r>
              <w:rPr>
                <w:rFonts w:ascii="Arial" w:eastAsia="宋体" w:hAnsi="Arial" w:cs="Arial"/>
                <w:b/>
                <w:bCs/>
                <w:color w:val="000000"/>
                <w:sz w:val="17"/>
                <w:szCs w:val="17"/>
              </w:rPr>
              <w:t>Year Ended Year Ended December 31,</w:t>
            </w:r>
          </w:p>
        </w:tc>
        <w:tc>
          <w:tcPr>
            <w:tcW w:w="0" w:type="auto"/>
            <w:gridSpan w:val="3"/>
            <w:shd w:val="clear" w:color="auto" w:fill="auto"/>
            <w:tcMar>
              <w:top w:w="0" w:type="dxa"/>
              <w:left w:w="20" w:type="dxa"/>
              <w:bottom w:w="0" w:type="dxa"/>
              <w:right w:w="20" w:type="dxa"/>
            </w:tcMar>
            <w:vAlign w:val="bottom"/>
          </w:tcPr>
          <w:p w14:paraId="22CFAAD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AD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AD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ADA" w14:textId="77777777" w:rsidR="002661BA" w:rsidRDefault="002661BA">
            <w:pPr>
              <w:rPr>
                <w:rFonts w:ascii="宋体"/>
              </w:rPr>
            </w:pPr>
          </w:p>
        </w:tc>
      </w:tr>
      <w:tr w:rsidR="002661BA" w14:paraId="22CFAAE4" w14:textId="77777777">
        <w:tc>
          <w:tcPr>
            <w:tcW w:w="0" w:type="auto"/>
            <w:gridSpan w:val="3"/>
            <w:shd w:val="clear" w:color="auto" w:fill="auto"/>
            <w:tcMar>
              <w:top w:w="40" w:type="dxa"/>
              <w:left w:w="20" w:type="dxa"/>
              <w:bottom w:w="40" w:type="dxa"/>
              <w:right w:w="20" w:type="dxa"/>
            </w:tcMar>
            <w:vAlign w:val="bottom"/>
          </w:tcPr>
          <w:p w14:paraId="22CFAADC" w14:textId="77777777" w:rsidR="002661BA" w:rsidRDefault="00D972BC">
            <w:pPr>
              <w:textAlignment w:val="bottom"/>
            </w:pPr>
            <w:r>
              <w:rPr>
                <w:rFonts w:ascii="Arial" w:eastAsia="宋体" w:hAnsi="Arial" w:cs="Arial"/>
                <w:b/>
                <w:bCs/>
                <w:color w:val="000000"/>
                <w:sz w:val="17"/>
                <w:szCs w:val="17"/>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2CFAADD"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ADE"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ADF"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22CFAAE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AE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AE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AE3" w14:textId="77777777" w:rsidR="002661BA" w:rsidRDefault="002661BA">
            <w:pPr>
              <w:rPr>
                <w:rFonts w:ascii="宋体"/>
              </w:rPr>
            </w:pPr>
          </w:p>
        </w:tc>
      </w:tr>
      <w:tr w:rsidR="002661BA" w14:paraId="22CFAAF1" w14:textId="77777777">
        <w:tc>
          <w:tcPr>
            <w:tcW w:w="0" w:type="auto"/>
            <w:gridSpan w:val="3"/>
            <w:shd w:val="clear" w:color="auto" w:fill="auto"/>
            <w:tcMar>
              <w:top w:w="40" w:type="dxa"/>
              <w:left w:w="20" w:type="dxa"/>
              <w:bottom w:w="40" w:type="dxa"/>
              <w:right w:w="20" w:type="dxa"/>
            </w:tcMar>
            <w:vAlign w:val="bottom"/>
          </w:tcPr>
          <w:p w14:paraId="22CFAAE5" w14:textId="77777777" w:rsidR="002661BA" w:rsidRDefault="00D972BC">
            <w:pPr>
              <w:textAlignment w:val="bottom"/>
            </w:pPr>
            <w:r>
              <w:rPr>
                <w:rFonts w:ascii="Arial" w:eastAsia="宋体" w:hAnsi="Arial" w:cs="Arial"/>
                <w:b/>
                <w:bCs/>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AE6" w14:textId="77777777" w:rsidR="002661BA" w:rsidRDefault="00D972BC">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AE7"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AE8" w14:textId="77777777" w:rsidR="002661BA" w:rsidRDefault="00D972BC">
            <w:pPr>
              <w:jc w:val="center"/>
              <w:textAlignment w:val="bottom"/>
            </w:pPr>
            <w:r>
              <w:rPr>
                <w:rFonts w:ascii="Arial" w:eastAsia="宋体" w:hAnsi="Arial" w:cs="Arial"/>
                <w:b/>
                <w:bCs/>
                <w:color w:val="000000"/>
                <w:sz w:val="17"/>
                <w:szCs w:val="17"/>
              </w:rPr>
              <w:t xml:space="preserve">Exchange Rate Effect </w:t>
            </w:r>
            <w:r>
              <w:rPr>
                <w:rFonts w:ascii="Arial" w:eastAsia="宋体" w:hAnsi="Arial" w:cs="Arial"/>
                <w:b/>
                <w:bCs/>
                <w:color w:val="000000"/>
                <w:sz w:val="11"/>
                <w:szCs w:val="11"/>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AE9"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AEA" w14:textId="77777777" w:rsidR="002661BA" w:rsidRDefault="00D972BC">
            <w:pPr>
              <w:jc w:val="center"/>
              <w:textAlignment w:val="bottom"/>
            </w:pPr>
            <w:r>
              <w:rPr>
                <w:rFonts w:ascii="Arial" w:eastAsia="宋体" w:hAnsi="Arial" w:cs="Arial"/>
                <w:b/>
                <w:bCs/>
                <w:color w:val="000000"/>
                <w:sz w:val="17"/>
                <w:szCs w:val="17"/>
              </w:rPr>
              <w:t xml:space="preserve">FX-Neutral </w:t>
            </w:r>
            <w:r>
              <w:rPr>
                <w:rFonts w:ascii="Arial" w:eastAsia="宋体" w:hAnsi="Arial" w:cs="Arial"/>
                <w:b/>
                <w:bCs/>
                <w:color w:val="000000"/>
                <w:sz w:val="11"/>
                <w:szCs w:val="11"/>
              </w:rPr>
              <w:t>(2)</w:t>
            </w:r>
          </w:p>
        </w:tc>
        <w:tc>
          <w:tcPr>
            <w:tcW w:w="0" w:type="auto"/>
            <w:gridSpan w:val="3"/>
            <w:shd w:val="clear" w:color="auto" w:fill="auto"/>
            <w:tcMar>
              <w:top w:w="0" w:type="dxa"/>
              <w:left w:w="20" w:type="dxa"/>
              <w:bottom w:w="0" w:type="dxa"/>
              <w:right w:w="20" w:type="dxa"/>
            </w:tcMar>
            <w:vAlign w:val="bottom"/>
          </w:tcPr>
          <w:p w14:paraId="22CFAAEB"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AEC" w14:textId="77777777" w:rsidR="002661BA" w:rsidRDefault="00D972BC">
            <w:pPr>
              <w:jc w:val="center"/>
              <w:textAlignment w:val="bottom"/>
            </w:pPr>
            <w:r>
              <w:rPr>
                <w:rFonts w:ascii="Arial" w:eastAsia="宋体" w:hAnsi="Arial" w:cs="Arial"/>
                <w:b/>
                <w:bCs/>
                <w:color w:val="000000"/>
                <w:sz w:val="17"/>
                <w:szCs w:val="17"/>
              </w:rPr>
              <w:t>As Reported</w:t>
            </w:r>
          </w:p>
        </w:tc>
        <w:tc>
          <w:tcPr>
            <w:tcW w:w="0" w:type="auto"/>
            <w:gridSpan w:val="3"/>
            <w:shd w:val="clear" w:color="auto" w:fill="auto"/>
            <w:tcMar>
              <w:top w:w="0" w:type="dxa"/>
              <w:left w:w="20" w:type="dxa"/>
              <w:bottom w:w="0" w:type="dxa"/>
              <w:right w:w="20" w:type="dxa"/>
            </w:tcMar>
            <w:vAlign w:val="bottom"/>
          </w:tcPr>
          <w:p w14:paraId="22CFAAED"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AAEE" w14:textId="77777777" w:rsidR="002661BA" w:rsidRDefault="00D972BC">
            <w:pPr>
              <w:jc w:val="center"/>
              <w:textAlignment w:val="bottom"/>
            </w:pPr>
            <w:r>
              <w:rPr>
                <w:rFonts w:ascii="Arial" w:eastAsia="宋体" w:hAnsi="Arial" w:cs="Arial"/>
                <w:b/>
                <w:bCs/>
                <w:color w:val="000000"/>
                <w:sz w:val="17"/>
                <w:szCs w:val="17"/>
              </w:rPr>
              <w:t>As Reported % Change</w:t>
            </w:r>
          </w:p>
        </w:tc>
        <w:tc>
          <w:tcPr>
            <w:tcW w:w="0" w:type="auto"/>
            <w:gridSpan w:val="3"/>
            <w:shd w:val="clear" w:color="auto" w:fill="auto"/>
            <w:tcMar>
              <w:top w:w="0" w:type="dxa"/>
              <w:left w:w="20" w:type="dxa"/>
              <w:bottom w:w="0" w:type="dxa"/>
              <w:right w:w="20" w:type="dxa"/>
            </w:tcMar>
            <w:vAlign w:val="bottom"/>
          </w:tcPr>
          <w:p w14:paraId="22CFAAE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AAF0" w14:textId="77777777" w:rsidR="002661BA" w:rsidRDefault="00D972BC">
            <w:pPr>
              <w:jc w:val="center"/>
              <w:textAlignment w:val="bottom"/>
            </w:pPr>
            <w:r>
              <w:rPr>
                <w:rFonts w:ascii="Arial" w:eastAsia="宋体" w:hAnsi="Arial" w:cs="Arial"/>
                <w:b/>
                <w:bCs/>
                <w:color w:val="000000"/>
                <w:sz w:val="17"/>
                <w:szCs w:val="17"/>
              </w:rPr>
              <w:t>FX-Neutral % Change</w:t>
            </w:r>
          </w:p>
        </w:tc>
      </w:tr>
      <w:tr w:rsidR="002661BA" w14:paraId="22CFAB08" w14:textId="77777777">
        <w:tc>
          <w:tcPr>
            <w:tcW w:w="0" w:type="auto"/>
            <w:gridSpan w:val="3"/>
            <w:shd w:val="clear" w:color="auto" w:fill="E2E2E2"/>
            <w:tcMar>
              <w:top w:w="40" w:type="dxa"/>
              <w:left w:w="35" w:type="dxa"/>
              <w:bottom w:w="40" w:type="dxa"/>
              <w:right w:w="20" w:type="dxa"/>
            </w:tcMar>
            <w:vAlign w:val="bottom"/>
          </w:tcPr>
          <w:p w14:paraId="22CFAAF2" w14:textId="77777777" w:rsidR="002661BA" w:rsidRDefault="00D972BC">
            <w:pPr>
              <w:textAlignment w:val="bottom"/>
            </w:pPr>
            <w:r>
              <w:rPr>
                <w:rFonts w:ascii="Arial" w:eastAsia="宋体" w:hAnsi="Arial" w:cs="Arial"/>
                <w:b/>
                <w:bCs/>
                <w:color w:val="000000"/>
                <w:sz w:val="18"/>
                <w:szCs w:val="18"/>
              </w:rPr>
              <w:t>GMV</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AAF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AF4" w14:textId="77777777" w:rsidR="002661BA" w:rsidRDefault="00D972BC">
            <w:pPr>
              <w:jc w:val="right"/>
              <w:textAlignment w:val="bottom"/>
            </w:pPr>
            <w:r>
              <w:rPr>
                <w:rFonts w:ascii="Arial" w:eastAsia="宋体" w:hAnsi="Arial" w:cs="Arial"/>
                <w:color w:val="000000"/>
                <w:sz w:val="18"/>
                <w:szCs w:val="18"/>
              </w:rPr>
              <w:t>87,3</w:t>
            </w:r>
            <w:r>
              <w:rPr>
                <w:rFonts w:ascii="Arial" w:eastAsia="宋体" w:hAnsi="Arial" w:cs="Arial"/>
                <w:color w:val="000000"/>
                <w:sz w:val="18"/>
                <w:szCs w:val="18"/>
              </w:rPr>
              <w:t>65 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AF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AF6"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AAF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AF8" w14:textId="77777777" w:rsidR="002661BA" w:rsidRDefault="00D972BC">
            <w:pPr>
              <w:jc w:val="right"/>
              <w:textAlignment w:val="bottom"/>
            </w:pPr>
            <w:r>
              <w:rPr>
                <w:rFonts w:ascii="Arial" w:eastAsia="宋体" w:hAnsi="Arial" w:cs="Arial"/>
                <w:color w:val="000000"/>
                <w:sz w:val="18"/>
                <w:szCs w:val="18"/>
              </w:rPr>
              <w:t>2,362 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AF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AFA"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AAFB"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AFC" w14:textId="77777777" w:rsidR="002661BA" w:rsidRDefault="00D972BC">
            <w:pPr>
              <w:jc w:val="right"/>
              <w:textAlignment w:val="bottom"/>
            </w:pPr>
            <w:r>
              <w:rPr>
                <w:rFonts w:ascii="Arial" w:eastAsia="宋体" w:hAnsi="Arial" w:cs="Arial"/>
                <w:color w:val="000000"/>
                <w:sz w:val="18"/>
                <w:szCs w:val="18"/>
              </w:rPr>
              <w:t>85,003 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AF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AFE"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AAF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B00" w14:textId="77777777" w:rsidR="002661BA" w:rsidRDefault="00D972BC">
            <w:pPr>
              <w:jc w:val="right"/>
              <w:textAlignment w:val="bottom"/>
            </w:pPr>
            <w:r>
              <w:rPr>
                <w:rFonts w:ascii="Arial" w:eastAsia="宋体" w:hAnsi="Arial" w:cs="Arial"/>
                <w:color w:val="000000"/>
                <w:sz w:val="18"/>
                <w:szCs w:val="18"/>
              </w:rPr>
              <w:t>87,608 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B01"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B02"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B03"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B04"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B05"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B06" w14:textId="77777777" w:rsidR="002661BA" w:rsidRDefault="00D972BC">
            <w:pPr>
              <w:jc w:val="right"/>
              <w:textAlignment w:val="bottom"/>
            </w:pPr>
            <w:r>
              <w:rPr>
                <w:rFonts w:ascii="Arial" w:eastAsia="宋体" w:hAnsi="Arial" w:cs="Arial"/>
                <w:color w:val="000000"/>
                <w:sz w:val="18"/>
                <w:szCs w:val="18"/>
              </w:rPr>
              <w:t>(3)</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B07" w14:textId="77777777" w:rsidR="002661BA" w:rsidRDefault="00D972BC">
            <w:pPr>
              <w:jc w:val="right"/>
              <w:textAlignment w:val="bottom"/>
            </w:pPr>
            <w:r>
              <w:rPr>
                <w:rFonts w:ascii="Arial" w:eastAsia="宋体" w:hAnsi="Arial" w:cs="Arial"/>
                <w:color w:val="000000"/>
                <w:sz w:val="18"/>
                <w:szCs w:val="18"/>
              </w:rPr>
              <w:t>%</w:t>
            </w:r>
          </w:p>
        </w:tc>
      </w:tr>
      <w:tr w:rsidR="002661BA" w14:paraId="22CFAB15" w14:textId="77777777">
        <w:trPr>
          <w:hidden/>
        </w:trPr>
        <w:tc>
          <w:tcPr>
            <w:tcW w:w="0" w:type="auto"/>
            <w:gridSpan w:val="3"/>
            <w:shd w:val="clear" w:color="auto" w:fill="auto"/>
            <w:vAlign w:val="bottom"/>
          </w:tcPr>
          <w:p w14:paraId="22CFAB09" w14:textId="77777777" w:rsidR="002661BA" w:rsidRDefault="002661BA">
            <w:pPr>
              <w:rPr>
                <w:rFonts w:ascii="宋体"/>
                <w:vanish/>
              </w:rPr>
            </w:pPr>
          </w:p>
        </w:tc>
        <w:tc>
          <w:tcPr>
            <w:tcW w:w="0" w:type="auto"/>
            <w:gridSpan w:val="3"/>
            <w:shd w:val="clear" w:color="auto" w:fill="auto"/>
            <w:vAlign w:val="bottom"/>
          </w:tcPr>
          <w:p w14:paraId="22CFAB0A" w14:textId="77777777" w:rsidR="002661BA" w:rsidRDefault="002661BA">
            <w:pPr>
              <w:rPr>
                <w:rFonts w:ascii="宋体"/>
                <w:vanish/>
              </w:rPr>
            </w:pPr>
          </w:p>
        </w:tc>
        <w:tc>
          <w:tcPr>
            <w:tcW w:w="0" w:type="auto"/>
            <w:gridSpan w:val="3"/>
            <w:shd w:val="clear" w:color="auto" w:fill="auto"/>
            <w:vAlign w:val="bottom"/>
          </w:tcPr>
          <w:p w14:paraId="22CFAB0B" w14:textId="77777777" w:rsidR="002661BA" w:rsidRDefault="002661BA">
            <w:pPr>
              <w:rPr>
                <w:rFonts w:ascii="宋体"/>
                <w:vanish/>
              </w:rPr>
            </w:pPr>
          </w:p>
        </w:tc>
        <w:tc>
          <w:tcPr>
            <w:tcW w:w="0" w:type="auto"/>
            <w:gridSpan w:val="3"/>
            <w:shd w:val="clear" w:color="auto" w:fill="auto"/>
            <w:vAlign w:val="bottom"/>
          </w:tcPr>
          <w:p w14:paraId="22CFAB0C" w14:textId="77777777" w:rsidR="002661BA" w:rsidRDefault="002661BA">
            <w:pPr>
              <w:rPr>
                <w:rFonts w:ascii="宋体"/>
                <w:vanish/>
              </w:rPr>
            </w:pPr>
          </w:p>
        </w:tc>
        <w:tc>
          <w:tcPr>
            <w:tcW w:w="0" w:type="auto"/>
            <w:gridSpan w:val="3"/>
            <w:shd w:val="clear" w:color="auto" w:fill="auto"/>
            <w:vAlign w:val="bottom"/>
          </w:tcPr>
          <w:p w14:paraId="22CFAB0D" w14:textId="77777777" w:rsidR="002661BA" w:rsidRDefault="002661BA">
            <w:pPr>
              <w:rPr>
                <w:rFonts w:ascii="宋体"/>
                <w:vanish/>
              </w:rPr>
            </w:pPr>
          </w:p>
        </w:tc>
        <w:tc>
          <w:tcPr>
            <w:tcW w:w="0" w:type="auto"/>
            <w:gridSpan w:val="3"/>
            <w:shd w:val="clear" w:color="auto" w:fill="auto"/>
            <w:vAlign w:val="bottom"/>
          </w:tcPr>
          <w:p w14:paraId="22CFAB0E" w14:textId="77777777" w:rsidR="002661BA" w:rsidRDefault="002661BA">
            <w:pPr>
              <w:rPr>
                <w:rFonts w:ascii="宋体"/>
                <w:vanish/>
              </w:rPr>
            </w:pPr>
          </w:p>
        </w:tc>
        <w:tc>
          <w:tcPr>
            <w:tcW w:w="0" w:type="auto"/>
            <w:gridSpan w:val="3"/>
            <w:shd w:val="clear" w:color="auto" w:fill="auto"/>
            <w:vAlign w:val="bottom"/>
          </w:tcPr>
          <w:p w14:paraId="22CFAB0F" w14:textId="77777777" w:rsidR="002661BA" w:rsidRDefault="002661BA">
            <w:pPr>
              <w:rPr>
                <w:rFonts w:ascii="宋体"/>
                <w:vanish/>
              </w:rPr>
            </w:pPr>
          </w:p>
        </w:tc>
        <w:tc>
          <w:tcPr>
            <w:tcW w:w="0" w:type="auto"/>
            <w:gridSpan w:val="3"/>
            <w:shd w:val="clear" w:color="auto" w:fill="auto"/>
            <w:vAlign w:val="bottom"/>
          </w:tcPr>
          <w:p w14:paraId="22CFAB10" w14:textId="77777777" w:rsidR="002661BA" w:rsidRDefault="002661BA">
            <w:pPr>
              <w:rPr>
                <w:rFonts w:ascii="宋体"/>
                <w:vanish/>
              </w:rPr>
            </w:pPr>
          </w:p>
        </w:tc>
        <w:tc>
          <w:tcPr>
            <w:tcW w:w="0" w:type="auto"/>
            <w:gridSpan w:val="3"/>
            <w:shd w:val="clear" w:color="auto" w:fill="auto"/>
            <w:vAlign w:val="bottom"/>
          </w:tcPr>
          <w:p w14:paraId="22CFAB11" w14:textId="77777777" w:rsidR="002661BA" w:rsidRDefault="002661BA">
            <w:pPr>
              <w:rPr>
                <w:rFonts w:ascii="宋体"/>
                <w:vanish/>
              </w:rPr>
            </w:pPr>
          </w:p>
        </w:tc>
        <w:tc>
          <w:tcPr>
            <w:tcW w:w="0" w:type="auto"/>
            <w:gridSpan w:val="3"/>
            <w:shd w:val="clear" w:color="auto" w:fill="auto"/>
            <w:vAlign w:val="bottom"/>
          </w:tcPr>
          <w:p w14:paraId="22CFAB12" w14:textId="77777777" w:rsidR="002661BA" w:rsidRDefault="002661BA">
            <w:pPr>
              <w:rPr>
                <w:rFonts w:ascii="宋体"/>
                <w:vanish/>
              </w:rPr>
            </w:pPr>
          </w:p>
        </w:tc>
        <w:tc>
          <w:tcPr>
            <w:tcW w:w="0" w:type="auto"/>
            <w:gridSpan w:val="3"/>
            <w:shd w:val="clear" w:color="auto" w:fill="auto"/>
            <w:vAlign w:val="bottom"/>
          </w:tcPr>
          <w:p w14:paraId="22CFAB13" w14:textId="77777777" w:rsidR="002661BA" w:rsidRDefault="002661BA">
            <w:pPr>
              <w:rPr>
                <w:rFonts w:ascii="宋体"/>
                <w:vanish/>
              </w:rPr>
            </w:pPr>
          </w:p>
        </w:tc>
        <w:tc>
          <w:tcPr>
            <w:tcW w:w="0" w:type="auto"/>
            <w:gridSpan w:val="3"/>
            <w:shd w:val="clear" w:color="auto" w:fill="auto"/>
            <w:vAlign w:val="bottom"/>
          </w:tcPr>
          <w:p w14:paraId="22CFAB14" w14:textId="77777777" w:rsidR="002661BA" w:rsidRDefault="002661BA">
            <w:pPr>
              <w:rPr>
                <w:rFonts w:ascii="宋体"/>
                <w:vanish/>
              </w:rPr>
            </w:pPr>
          </w:p>
        </w:tc>
      </w:tr>
      <w:tr w:rsidR="002661BA" w14:paraId="22CFAB22" w14:textId="77777777">
        <w:trPr>
          <w:hidden/>
        </w:trPr>
        <w:tc>
          <w:tcPr>
            <w:tcW w:w="0" w:type="auto"/>
            <w:gridSpan w:val="3"/>
            <w:shd w:val="clear" w:color="auto" w:fill="auto"/>
            <w:vAlign w:val="bottom"/>
          </w:tcPr>
          <w:p w14:paraId="22CFAB16" w14:textId="77777777" w:rsidR="002661BA" w:rsidRDefault="002661BA">
            <w:pPr>
              <w:rPr>
                <w:rFonts w:ascii="宋体"/>
                <w:vanish/>
              </w:rPr>
            </w:pPr>
          </w:p>
        </w:tc>
        <w:tc>
          <w:tcPr>
            <w:tcW w:w="0" w:type="auto"/>
            <w:gridSpan w:val="3"/>
            <w:shd w:val="clear" w:color="auto" w:fill="auto"/>
            <w:vAlign w:val="bottom"/>
          </w:tcPr>
          <w:p w14:paraId="22CFAB17" w14:textId="77777777" w:rsidR="002661BA" w:rsidRDefault="002661BA">
            <w:pPr>
              <w:rPr>
                <w:rFonts w:ascii="宋体"/>
                <w:vanish/>
              </w:rPr>
            </w:pPr>
          </w:p>
        </w:tc>
        <w:tc>
          <w:tcPr>
            <w:tcW w:w="0" w:type="auto"/>
            <w:gridSpan w:val="3"/>
            <w:shd w:val="clear" w:color="auto" w:fill="auto"/>
            <w:vAlign w:val="bottom"/>
          </w:tcPr>
          <w:p w14:paraId="22CFAB18" w14:textId="77777777" w:rsidR="002661BA" w:rsidRDefault="002661BA">
            <w:pPr>
              <w:rPr>
                <w:rFonts w:ascii="宋体"/>
                <w:vanish/>
              </w:rPr>
            </w:pPr>
          </w:p>
        </w:tc>
        <w:tc>
          <w:tcPr>
            <w:tcW w:w="0" w:type="auto"/>
            <w:gridSpan w:val="3"/>
            <w:shd w:val="clear" w:color="auto" w:fill="auto"/>
            <w:vAlign w:val="bottom"/>
          </w:tcPr>
          <w:p w14:paraId="22CFAB19" w14:textId="77777777" w:rsidR="002661BA" w:rsidRDefault="002661BA">
            <w:pPr>
              <w:rPr>
                <w:rFonts w:ascii="宋体"/>
                <w:vanish/>
              </w:rPr>
            </w:pPr>
          </w:p>
        </w:tc>
        <w:tc>
          <w:tcPr>
            <w:tcW w:w="0" w:type="auto"/>
            <w:gridSpan w:val="3"/>
            <w:shd w:val="clear" w:color="auto" w:fill="auto"/>
            <w:vAlign w:val="bottom"/>
          </w:tcPr>
          <w:p w14:paraId="22CFAB1A" w14:textId="77777777" w:rsidR="002661BA" w:rsidRDefault="002661BA">
            <w:pPr>
              <w:rPr>
                <w:rFonts w:ascii="宋体"/>
                <w:vanish/>
              </w:rPr>
            </w:pPr>
          </w:p>
        </w:tc>
        <w:tc>
          <w:tcPr>
            <w:tcW w:w="0" w:type="auto"/>
            <w:gridSpan w:val="3"/>
            <w:shd w:val="clear" w:color="auto" w:fill="auto"/>
            <w:vAlign w:val="bottom"/>
          </w:tcPr>
          <w:p w14:paraId="22CFAB1B" w14:textId="77777777" w:rsidR="002661BA" w:rsidRDefault="002661BA">
            <w:pPr>
              <w:rPr>
                <w:rFonts w:ascii="宋体"/>
                <w:vanish/>
              </w:rPr>
            </w:pPr>
          </w:p>
        </w:tc>
        <w:tc>
          <w:tcPr>
            <w:tcW w:w="0" w:type="auto"/>
            <w:gridSpan w:val="3"/>
            <w:shd w:val="clear" w:color="auto" w:fill="auto"/>
            <w:vAlign w:val="bottom"/>
          </w:tcPr>
          <w:p w14:paraId="22CFAB1C" w14:textId="77777777" w:rsidR="002661BA" w:rsidRDefault="002661BA">
            <w:pPr>
              <w:rPr>
                <w:rFonts w:ascii="宋体"/>
                <w:vanish/>
              </w:rPr>
            </w:pPr>
          </w:p>
        </w:tc>
        <w:tc>
          <w:tcPr>
            <w:tcW w:w="0" w:type="auto"/>
            <w:gridSpan w:val="3"/>
            <w:shd w:val="clear" w:color="auto" w:fill="auto"/>
            <w:vAlign w:val="bottom"/>
          </w:tcPr>
          <w:p w14:paraId="22CFAB1D" w14:textId="77777777" w:rsidR="002661BA" w:rsidRDefault="002661BA">
            <w:pPr>
              <w:rPr>
                <w:rFonts w:ascii="宋体"/>
                <w:vanish/>
              </w:rPr>
            </w:pPr>
          </w:p>
        </w:tc>
        <w:tc>
          <w:tcPr>
            <w:tcW w:w="0" w:type="auto"/>
            <w:gridSpan w:val="3"/>
            <w:shd w:val="clear" w:color="auto" w:fill="auto"/>
            <w:vAlign w:val="bottom"/>
          </w:tcPr>
          <w:p w14:paraId="22CFAB1E" w14:textId="77777777" w:rsidR="002661BA" w:rsidRDefault="002661BA">
            <w:pPr>
              <w:rPr>
                <w:rFonts w:ascii="宋体"/>
                <w:vanish/>
              </w:rPr>
            </w:pPr>
          </w:p>
        </w:tc>
        <w:tc>
          <w:tcPr>
            <w:tcW w:w="0" w:type="auto"/>
            <w:gridSpan w:val="3"/>
            <w:shd w:val="clear" w:color="auto" w:fill="auto"/>
            <w:vAlign w:val="bottom"/>
          </w:tcPr>
          <w:p w14:paraId="22CFAB1F" w14:textId="77777777" w:rsidR="002661BA" w:rsidRDefault="002661BA">
            <w:pPr>
              <w:rPr>
                <w:rFonts w:ascii="宋体"/>
                <w:vanish/>
              </w:rPr>
            </w:pPr>
          </w:p>
        </w:tc>
        <w:tc>
          <w:tcPr>
            <w:tcW w:w="0" w:type="auto"/>
            <w:gridSpan w:val="3"/>
            <w:shd w:val="clear" w:color="auto" w:fill="auto"/>
            <w:vAlign w:val="bottom"/>
          </w:tcPr>
          <w:p w14:paraId="22CFAB20" w14:textId="77777777" w:rsidR="002661BA" w:rsidRDefault="002661BA">
            <w:pPr>
              <w:rPr>
                <w:rFonts w:ascii="宋体"/>
                <w:vanish/>
              </w:rPr>
            </w:pPr>
          </w:p>
        </w:tc>
        <w:tc>
          <w:tcPr>
            <w:tcW w:w="0" w:type="auto"/>
            <w:gridSpan w:val="3"/>
            <w:shd w:val="clear" w:color="auto" w:fill="auto"/>
            <w:vAlign w:val="bottom"/>
          </w:tcPr>
          <w:p w14:paraId="22CFAB21" w14:textId="77777777" w:rsidR="002661BA" w:rsidRDefault="002661BA">
            <w:pPr>
              <w:rPr>
                <w:rFonts w:ascii="宋体"/>
                <w:vanish/>
              </w:rPr>
            </w:pPr>
          </w:p>
        </w:tc>
      </w:tr>
      <w:tr w:rsidR="002661BA" w14:paraId="22CFAB2F" w14:textId="77777777">
        <w:trPr>
          <w:trHeight w:val="280"/>
        </w:trPr>
        <w:tc>
          <w:tcPr>
            <w:tcW w:w="0" w:type="auto"/>
            <w:gridSpan w:val="3"/>
            <w:shd w:val="clear" w:color="auto" w:fill="FFFFFF"/>
            <w:tcMar>
              <w:top w:w="0" w:type="dxa"/>
              <w:left w:w="20" w:type="dxa"/>
              <w:bottom w:w="0" w:type="dxa"/>
              <w:right w:w="20" w:type="dxa"/>
            </w:tcMar>
            <w:vAlign w:val="bottom"/>
          </w:tcPr>
          <w:p w14:paraId="22CFAB23"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B24"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B25"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B26"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B27"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B28"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B29"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B2A"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B2B"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B2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B2D"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B2E" w14:textId="77777777" w:rsidR="002661BA" w:rsidRDefault="002661BA">
            <w:pPr>
              <w:rPr>
                <w:rFonts w:ascii="宋体"/>
              </w:rPr>
            </w:pPr>
          </w:p>
        </w:tc>
      </w:tr>
      <w:tr w:rsidR="002661BA" w14:paraId="22CFAB3C" w14:textId="77777777">
        <w:tc>
          <w:tcPr>
            <w:tcW w:w="0" w:type="auto"/>
            <w:gridSpan w:val="3"/>
            <w:shd w:val="clear" w:color="auto" w:fill="E2E2E2"/>
            <w:tcMar>
              <w:top w:w="40" w:type="dxa"/>
              <w:left w:w="20" w:type="dxa"/>
              <w:bottom w:w="40" w:type="dxa"/>
              <w:right w:w="20" w:type="dxa"/>
            </w:tcMar>
            <w:vAlign w:val="bottom"/>
          </w:tcPr>
          <w:p w14:paraId="22CFAB30" w14:textId="77777777" w:rsidR="002661BA" w:rsidRDefault="00D972BC">
            <w:pPr>
              <w:textAlignment w:val="bottom"/>
            </w:pPr>
            <w:r>
              <w:rPr>
                <w:rFonts w:ascii="Arial" w:eastAsia="宋体" w:hAnsi="Arial" w:cs="Arial"/>
                <w:b/>
                <w:bCs/>
                <w:color w:val="000000"/>
                <w:sz w:val="18"/>
                <w:szCs w:val="18"/>
              </w:rPr>
              <w:t>Net Revenues:</w:t>
            </w:r>
          </w:p>
        </w:tc>
        <w:tc>
          <w:tcPr>
            <w:tcW w:w="0" w:type="auto"/>
            <w:gridSpan w:val="3"/>
            <w:shd w:val="clear" w:color="auto" w:fill="E2E2E2"/>
            <w:tcMar>
              <w:top w:w="0" w:type="dxa"/>
              <w:left w:w="20" w:type="dxa"/>
              <w:bottom w:w="0" w:type="dxa"/>
              <w:right w:w="20" w:type="dxa"/>
            </w:tcMar>
            <w:vAlign w:val="bottom"/>
          </w:tcPr>
          <w:p w14:paraId="22CFAB31"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B32"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B33"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B34"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B35"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B36"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B37"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B38"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B39"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B3A"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B3B" w14:textId="77777777" w:rsidR="002661BA" w:rsidRDefault="002661BA">
            <w:pPr>
              <w:rPr>
                <w:rFonts w:ascii="宋体"/>
              </w:rPr>
            </w:pPr>
          </w:p>
        </w:tc>
      </w:tr>
      <w:tr w:rsidR="002661BA" w14:paraId="22CFAB53" w14:textId="77777777">
        <w:tc>
          <w:tcPr>
            <w:tcW w:w="0" w:type="auto"/>
            <w:gridSpan w:val="3"/>
            <w:shd w:val="clear" w:color="auto" w:fill="FFFFFF"/>
            <w:tcMar>
              <w:top w:w="40" w:type="dxa"/>
              <w:left w:w="20" w:type="dxa"/>
              <w:bottom w:w="40" w:type="dxa"/>
              <w:right w:w="20" w:type="dxa"/>
            </w:tcMar>
            <w:vAlign w:val="bottom"/>
          </w:tcPr>
          <w:p w14:paraId="22CFAB3D" w14:textId="77777777" w:rsidR="002661BA" w:rsidRDefault="00D972BC">
            <w:pPr>
              <w:textAlignment w:val="bottom"/>
            </w:pPr>
            <w:r>
              <w:rPr>
                <w:rFonts w:ascii="Arial" w:eastAsia="宋体" w:hAnsi="Arial" w:cs="Arial"/>
                <w:color w:val="000000"/>
                <w:sz w:val="18"/>
                <w:szCs w:val="18"/>
              </w:rPr>
              <w:t xml:space="preserve">Net transaction revenues </w:t>
            </w:r>
            <w:r>
              <w:rPr>
                <w:rFonts w:ascii="Arial" w:eastAsia="宋体" w:hAnsi="Arial" w:cs="Arial"/>
                <w:color w:val="000000"/>
                <w:sz w:val="11"/>
                <w:szCs w:val="11"/>
              </w:rPr>
              <w:t>(3)</w:t>
            </w:r>
          </w:p>
        </w:tc>
        <w:tc>
          <w:tcPr>
            <w:tcW w:w="0" w:type="auto"/>
            <w:shd w:val="clear" w:color="auto" w:fill="FFFFFF"/>
            <w:tcMar>
              <w:top w:w="40" w:type="dxa"/>
              <w:left w:w="20" w:type="dxa"/>
              <w:bottom w:w="40" w:type="dxa"/>
              <w:right w:w="0" w:type="dxa"/>
            </w:tcMar>
            <w:vAlign w:val="bottom"/>
          </w:tcPr>
          <w:p w14:paraId="22CFAB3E"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B3F" w14:textId="77777777" w:rsidR="002661BA" w:rsidRDefault="00D972BC">
            <w:pPr>
              <w:jc w:val="right"/>
              <w:textAlignment w:val="bottom"/>
            </w:pPr>
            <w:r>
              <w:rPr>
                <w:rFonts w:ascii="Arial" w:eastAsia="宋体" w:hAnsi="Arial" w:cs="Arial"/>
                <w:color w:val="000000"/>
                <w:sz w:val="18"/>
                <w:szCs w:val="18"/>
              </w:rPr>
              <w:t>9,772 </w:t>
            </w:r>
          </w:p>
        </w:tc>
        <w:tc>
          <w:tcPr>
            <w:tcW w:w="0" w:type="auto"/>
            <w:shd w:val="clear" w:color="auto" w:fill="FFFFFF"/>
            <w:tcMar>
              <w:top w:w="40" w:type="dxa"/>
              <w:left w:w="0" w:type="dxa"/>
              <w:bottom w:w="40" w:type="dxa"/>
              <w:right w:w="20" w:type="dxa"/>
            </w:tcMar>
            <w:vAlign w:val="bottom"/>
          </w:tcPr>
          <w:p w14:paraId="22CFAB40"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B41"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AB42"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B43" w14:textId="77777777" w:rsidR="002661BA" w:rsidRDefault="00D972BC">
            <w:pPr>
              <w:jc w:val="right"/>
              <w:textAlignment w:val="bottom"/>
            </w:pPr>
            <w:r>
              <w:rPr>
                <w:rFonts w:ascii="Arial" w:eastAsia="宋体" w:hAnsi="Arial" w:cs="Arial"/>
                <w:color w:val="000000"/>
                <w:sz w:val="18"/>
                <w:szCs w:val="18"/>
              </w:rPr>
              <w:t>180 </w:t>
            </w:r>
          </w:p>
        </w:tc>
        <w:tc>
          <w:tcPr>
            <w:tcW w:w="0" w:type="auto"/>
            <w:shd w:val="clear" w:color="auto" w:fill="FFFFFF"/>
            <w:tcMar>
              <w:top w:w="40" w:type="dxa"/>
              <w:left w:w="0" w:type="dxa"/>
              <w:bottom w:w="40" w:type="dxa"/>
              <w:right w:w="20" w:type="dxa"/>
            </w:tcMar>
            <w:vAlign w:val="bottom"/>
          </w:tcPr>
          <w:p w14:paraId="22CFAB4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B45"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AB4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B47" w14:textId="77777777" w:rsidR="002661BA" w:rsidRDefault="00D972BC">
            <w:pPr>
              <w:jc w:val="right"/>
              <w:textAlignment w:val="bottom"/>
            </w:pPr>
            <w:r>
              <w:rPr>
                <w:rFonts w:ascii="Arial" w:eastAsia="宋体" w:hAnsi="Arial" w:cs="Arial"/>
                <w:color w:val="000000"/>
                <w:sz w:val="18"/>
                <w:szCs w:val="18"/>
              </w:rPr>
              <w:t>9,592 </w:t>
            </w:r>
          </w:p>
        </w:tc>
        <w:tc>
          <w:tcPr>
            <w:tcW w:w="0" w:type="auto"/>
            <w:shd w:val="clear" w:color="auto" w:fill="FFFFFF"/>
            <w:tcMar>
              <w:top w:w="40" w:type="dxa"/>
              <w:left w:w="0" w:type="dxa"/>
              <w:bottom w:w="40" w:type="dxa"/>
              <w:right w:w="20" w:type="dxa"/>
            </w:tcMar>
            <w:vAlign w:val="bottom"/>
          </w:tcPr>
          <w:p w14:paraId="22CFAB4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B49"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AB4A"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B4B" w14:textId="77777777" w:rsidR="002661BA" w:rsidRDefault="00D972BC">
            <w:pPr>
              <w:jc w:val="right"/>
              <w:textAlignment w:val="bottom"/>
            </w:pPr>
            <w:r>
              <w:rPr>
                <w:rFonts w:ascii="Arial" w:eastAsia="宋体" w:hAnsi="Arial" w:cs="Arial"/>
                <w:color w:val="000000"/>
                <w:sz w:val="18"/>
                <w:szCs w:val="18"/>
              </w:rPr>
              <w:t>8,243 </w:t>
            </w:r>
          </w:p>
        </w:tc>
        <w:tc>
          <w:tcPr>
            <w:tcW w:w="0" w:type="auto"/>
            <w:shd w:val="clear" w:color="auto" w:fill="FFFFFF"/>
            <w:tcMar>
              <w:top w:w="40" w:type="dxa"/>
              <w:left w:w="0" w:type="dxa"/>
              <w:bottom w:w="40" w:type="dxa"/>
              <w:right w:w="20" w:type="dxa"/>
            </w:tcMar>
            <w:vAlign w:val="bottom"/>
          </w:tcPr>
          <w:p w14:paraId="22CFAB4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B4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B4E" w14:textId="77777777" w:rsidR="002661BA" w:rsidRDefault="00D972BC">
            <w:pPr>
              <w:jc w:val="right"/>
              <w:textAlignment w:val="bottom"/>
            </w:pPr>
            <w:r>
              <w:rPr>
                <w:rFonts w:ascii="Arial" w:eastAsia="宋体" w:hAnsi="Arial" w:cs="Arial"/>
                <w:color w:val="000000"/>
                <w:sz w:val="18"/>
                <w:szCs w:val="18"/>
              </w:rPr>
              <w:t>19 </w:t>
            </w:r>
          </w:p>
        </w:tc>
        <w:tc>
          <w:tcPr>
            <w:tcW w:w="0" w:type="auto"/>
            <w:shd w:val="clear" w:color="auto" w:fill="FFFFFF"/>
            <w:tcMar>
              <w:top w:w="40" w:type="dxa"/>
              <w:left w:w="0" w:type="dxa"/>
              <w:bottom w:w="40" w:type="dxa"/>
              <w:right w:w="20" w:type="dxa"/>
            </w:tcMar>
            <w:vAlign w:val="bottom"/>
          </w:tcPr>
          <w:p w14:paraId="22CFAB4F"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B5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B51" w14:textId="77777777" w:rsidR="002661BA" w:rsidRDefault="00D972BC">
            <w:pPr>
              <w:jc w:val="right"/>
              <w:textAlignment w:val="bottom"/>
            </w:pPr>
            <w:r>
              <w:rPr>
                <w:rFonts w:ascii="Arial" w:eastAsia="宋体" w:hAnsi="Arial" w:cs="Arial"/>
                <w:color w:val="000000"/>
                <w:sz w:val="18"/>
                <w:szCs w:val="18"/>
              </w:rPr>
              <w:t>17 </w:t>
            </w:r>
          </w:p>
        </w:tc>
        <w:tc>
          <w:tcPr>
            <w:tcW w:w="0" w:type="auto"/>
            <w:shd w:val="clear" w:color="auto" w:fill="FFFFFF"/>
            <w:tcMar>
              <w:top w:w="40" w:type="dxa"/>
              <w:left w:w="0" w:type="dxa"/>
              <w:bottom w:w="40" w:type="dxa"/>
              <w:right w:w="20" w:type="dxa"/>
            </w:tcMar>
            <w:vAlign w:val="bottom"/>
          </w:tcPr>
          <w:p w14:paraId="22CFAB52" w14:textId="77777777" w:rsidR="002661BA" w:rsidRDefault="00D972BC">
            <w:pPr>
              <w:jc w:val="right"/>
              <w:textAlignment w:val="bottom"/>
            </w:pPr>
            <w:r>
              <w:rPr>
                <w:rFonts w:ascii="Arial" w:eastAsia="宋体" w:hAnsi="Arial" w:cs="Arial"/>
                <w:color w:val="000000"/>
                <w:sz w:val="18"/>
                <w:szCs w:val="18"/>
              </w:rPr>
              <w:t>%</w:t>
            </w:r>
          </w:p>
        </w:tc>
      </w:tr>
      <w:tr w:rsidR="002661BA" w14:paraId="22CFAB60" w14:textId="77777777">
        <w:trPr>
          <w:hidden/>
        </w:trPr>
        <w:tc>
          <w:tcPr>
            <w:tcW w:w="0" w:type="auto"/>
            <w:gridSpan w:val="3"/>
            <w:shd w:val="clear" w:color="auto" w:fill="auto"/>
            <w:vAlign w:val="bottom"/>
          </w:tcPr>
          <w:p w14:paraId="22CFAB54" w14:textId="77777777" w:rsidR="002661BA" w:rsidRDefault="002661BA">
            <w:pPr>
              <w:rPr>
                <w:rFonts w:ascii="宋体"/>
                <w:vanish/>
              </w:rPr>
            </w:pPr>
          </w:p>
        </w:tc>
        <w:tc>
          <w:tcPr>
            <w:tcW w:w="0" w:type="auto"/>
            <w:gridSpan w:val="3"/>
            <w:shd w:val="clear" w:color="auto" w:fill="auto"/>
            <w:vAlign w:val="bottom"/>
          </w:tcPr>
          <w:p w14:paraId="22CFAB55" w14:textId="77777777" w:rsidR="002661BA" w:rsidRDefault="002661BA">
            <w:pPr>
              <w:rPr>
                <w:rFonts w:ascii="宋体"/>
                <w:vanish/>
              </w:rPr>
            </w:pPr>
          </w:p>
        </w:tc>
        <w:tc>
          <w:tcPr>
            <w:tcW w:w="0" w:type="auto"/>
            <w:gridSpan w:val="3"/>
            <w:shd w:val="clear" w:color="auto" w:fill="auto"/>
            <w:vAlign w:val="bottom"/>
          </w:tcPr>
          <w:p w14:paraId="22CFAB56" w14:textId="77777777" w:rsidR="002661BA" w:rsidRDefault="002661BA">
            <w:pPr>
              <w:rPr>
                <w:rFonts w:ascii="宋体"/>
                <w:vanish/>
              </w:rPr>
            </w:pPr>
          </w:p>
        </w:tc>
        <w:tc>
          <w:tcPr>
            <w:tcW w:w="0" w:type="auto"/>
            <w:gridSpan w:val="3"/>
            <w:shd w:val="clear" w:color="auto" w:fill="auto"/>
            <w:vAlign w:val="bottom"/>
          </w:tcPr>
          <w:p w14:paraId="22CFAB57" w14:textId="77777777" w:rsidR="002661BA" w:rsidRDefault="002661BA">
            <w:pPr>
              <w:rPr>
                <w:rFonts w:ascii="宋体"/>
                <w:vanish/>
              </w:rPr>
            </w:pPr>
          </w:p>
        </w:tc>
        <w:tc>
          <w:tcPr>
            <w:tcW w:w="0" w:type="auto"/>
            <w:gridSpan w:val="3"/>
            <w:shd w:val="clear" w:color="auto" w:fill="auto"/>
            <w:vAlign w:val="bottom"/>
          </w:tcPr>
          <w:p w14:paraId="22CFAB58" w14:textId="77777777" w:rsidR="002661BA" w:rsidRDefault="002661BA">
            <w:pPr>
              <w:rPr>
                <w:rFonts w:ascii="宋体"/>
                <w:vanish/>
              </w:rPr>
            </w:pPr>
          </w:p>
        </w:tc>
        <w:tc>
          <w:tcPr>
            <w:tcW w:w="0" w:type="auto"/>
            <w:gridSpan w:val="3"/>
            <w:shd w:val="clear" w:color="auto" w:fill="auto"/>
            <w:vAlign w:val="bottom"/>
          </w:tcPr>
          <w:p w14:paraId="22CFAB59" w14:textId="77777777" w:rsidR="002661BA" w:rsidRDefault="002661BA">
            <w:pPr>
              <w:rPr>
                <w:rFonts w:ascii="宋体"/>
                <w:vanish/>
              </w:rPr>
            </w:pPr>
          </w:p>
        </w:tc>
        <w:tc>
          <w:tcPr>
            <w:tcW w:w="0" w:type="auto"/>
            <w:gridSpan w:val="3"/>
            <w:shd w:val="clear" w:color="auto" w:fill="auto"/>
            <w:vAlign w:val="bottom"/>
          </w:tcPr>
          <w:p w14:paraId="22CFAB5A" w14:textId="77777777" w:rsidR="002661BA" w:rsidRDefault="002661BA">
            <w:pPr>
              <w:rPr>
                <w:rFonts w:ascii="宋体"/>
                <w:vanish/>
              </w:rPr>
            </w:pPr>
          </w:p>
        </w:tc>
        <w:tc>
          <w:tcPr>
            <w:tcW w:w="0" w:type="auto"/>
            <w:gridSpan w:val="3"/>
            <w:shd w:val="clear" w:color="auto" w:fill="auto"/>
            <w:vAlign w:val="bottom"/>
          </w:tcPr>
          <w:p w14:paraId="22CFAB5B" w14:textId="77777777" w:rsidR="002661BA" w:rsidRDefault="002661BA">
            <w:pPr>
              <w:rPr>
                <w:rFonts w:ascii="宋体"/>
                <w:vanish/>
              </w:rPr>
            </w:pPr>
          </w:p>
        </w:tc>
        <w:tc>
          <w:tcPr>
            <w:tcW w:w="0" w:type="auto"/>
            <w:gridSpan w:val="3"/>
            <w:shd w:val="clear" w:color="auto" w:fill="auto"/>
            <w:vAlign w:val="bottom"/>
          </w:tcPr>
          <w:p w14:paraId="22CFAB5C" w14:textId="77777777" w:rsidR="002661BA" w:rsidRDefault="002661BA">
            <w:pPr>
              <w:rPr>
                <w:rFonts w:ascii="宋体"/>
                <w:vanish/>
              </w:rPr>
            </w:pPr>
          </w:p>
        </w:tc>
        <w:tc>
          <w:tcPr>
            <w:tcW w:w="0" w:type="auto"/>
            <w:gridSpan w:val="3"/>
            <w:shd w:val="clear" w:color="auto" w:fill="auto"/>
            <w:vAlign w:val="bottom"/>
          </w:tcPr>
          <w:p w14:paraId="22CFAB5D" w14:textId="77777777" w:rsidR="002661BA" w:rsidRDefault="002661BA">
            <w:pPr>
              <w:rPr>
                <w:rFonts w:ascii="宋体"/>
                <w:vanish/>
              </w:rPr>
            </w:pPr>
          </w:p>
        </w:tc>
        <w:tc>
          <w:tcPr>
            <w:tcW w:w="0" w:type="auto"/>
            <w:gridSpan w:val="3"/>
            <w:shd w:val="clear" w:color="auto" w:fill="auto"/>
            <w:vAlign w:val="bottom"/>
          </w:tcPr>
          <w:p w14:paraId="22CFAB5E" w14:textId="77777777" w:rsidR="002661BA" w:rsidRDefault="002661BA">
            <w:pPr>
              <w:rPr>
                <w:rFonts w:ascii="宋体"/>
                <w:vanish/>
              </w:rPr>
            </w:pPr>
          </w:p>
        </w:tc>
        <w:tc>
          <w:tcPr>
            <w:tcW w:w="0" w:type="auto"/>
            <w:gridSpan w:val="3"/>
            <w:shd w:val="clear" w:color="auto" w:fill="auto"/>
            <w:vAlign w:val="bottom"/>
          </w:tcPr>
          <w:p w14:paraId="22CFAB5F" w14:textId="77777777" w:rsidR="002661BA" w:rsidRDefault="002661BA">
            <w:pPr>
              <w:rPr>
                <w:rFonts w:ascii="宋体"/>
                <w:vanish/>
              </w:rPr>
            </w:pPr>
          </w:p>
        </w:tc>
      </w:tr>
      <w:tr w:rsidR="002661BA" w14:paraId="22CFAB6D" w14:textId="77777777">
        <w:trPr>
          <w:hidden/>
        </w:trPr>
        <w:tc>
          <w:tcPr>
            <w:tcW w:w="0" w:type="auto"/>
            <w:gridSpan w:val="3"/>
            <w:shd w:val="clear" w:color="auto" w:fill="auto"/>
            <w:vAlign w:val="bottom"/>
          </w:tcPr>
          <w:p w14:paraId="22CFAB61" w14:textId="77777777" w:rsidR="002661BA" w:rsidRDefault="002661BA">
            <w:pPr>
              <w:rPr>
                <w:rFonts w:ascii="宋体"/>
                <w:vanish/>
              </w:rPr>
            </w:pPr>
          </w:p>
        </w:tc>
        <w:tc>
          <w:tcPr>
            <w:tcW w:w="0" w:type="auto"/>
            <w:gridSpan w:val="3"/>
            <w:shd w:val="clear" w:color="auto" w:fill="auto"/>
            <w:vAlign w:val="bottom"/>
          </w:tcPr>
          <w:p w14:paraId="22CFAB62" w14:textId="77777777" w:rsidR="002661BA" w:rsidRDefault="002661BA">
            <w:pPr>
              <w:rPr>
                <w:rFonts w:ascii="宋体"/>
                <w:vanish/>
              </w:rPr>
            </w:pPr>
          </w:p>
        </w:tc>
        <w:tc>
          <w:tcPr>
            <w:tcW w:w="0" w:type="auto"/>
            <w:gridSpan w:val="3"/>
            <w:shd w:val="clear" w:color="auto" w:fill="auto"/>
            <w:vAlign w:val="bottom"/>
          </w:tcPr>
          <w:p w14:paraId="22CFAB63" w14:textId="77777777" w:rsidR="002661BA" w:rsidRDefault="002661BA">
            <w:pPr>
              <w:rPr>
                <w:rFonts w:ascii="宋体"/>
                <w:vanish/>
              </w:rPr>
            </w:pPr>
          </w:p>
        </w:tc>
        <w:tc>
          <w:tcPr>
            <w:tcW w:w="0" w:type="auto"/>
            <w:gridSpan w:val="3"/>
            <w:shd w:val="clear" w:color="auto" w:fill="auto"/>
            <w:vAlign w:val="bottom"/>
          </w:tcPr>
          <w:p w14:paraId="22CFAB64" w14:textId="77777777" w:rsidR="002661BA" w:rsidRDefault="002661BA">
            <w:pPr>
              <w:rPr>
                <w:rFonts w:ascii="宋体"/>
                <w:vanish/>
              </w:rPr>
            </w:pPr>
          </w:p>
        </w:tc>
        <w:tc>
          <w:tcPr>
            <w:tcW w:w="0" w:type="auto"/>
            <w:gridSpan w:val="3"/>
            <w:shd w:val="clear" w:color="auto" w:fill="auto"/>
            <w:vAlign w:val="bottom"/>
          </w:tcPr>
          <w:p w14:paraId="22CFAB65" w14:textId="77777777" w:rsidR="002661BA" w:rsidRDefault="002661BA">
            <w:pPr>
              <w:rPr>
                <w:rFonts w:ascii="宋体"/>
                <w:vanish/>
              </w:rPr>
            </w:pPr>
          </w:p>
        </w:tc>
        <w:tc>
          <w:tcPr>
            <w:tcW w:w="0" w:type="auto"/>
            <w:gridSpan w:val="3"/>
            <w:shd w:val="clear" w:color="auto" w:fill="auto"/>
            <w:vAlign w:val="bottom"/>
          </w:tcPr>
          <w:p w14:paraId="22CFAB66" w14:textId="77777777" w:rsidR="002661BA" w:rsidRDefault="002661BA">
            <w:pPr>
              <w:rPr>
                <w:rFonts w:ascii="宋体"/>
                <w:vanish/>
              </w:rPr>
            </w:pPr>
          </w:p>
        </w:tc>
        <w:tc>
          <w:tcPr>
            <w:tcW w:w="0" w:type="auto"/>
            <w:gridSpan w:val="3"/>
            <w:shd w:val="clear" w:color="auto" w:fill="auto"/>
            <w:vAlign w:val="bottom"/>
          </w:tcPr>
          <w:p w14:paraId="22CFAB67" w14:textId="77777777" w:rsidR="002661BA" w:rsidRDefault="002661BA">
            <w:pPr>
              <w:rPr>
                <w:rFonts w:ascii="宋体"/>
                <w:vanish/>
              </w:rPr>
            </w:pPr>
          </w:p>
        </w:tc>
        <w:tc>
          <w:tcPr>
            <w:tcW w:w="0" w:type="auto"/>
            <w:gridSpan w:val="3"/>
            <w:shd w:val="clear" w:color="auto" w:fill="auto"/>
            <w:vAlign w:val="bottom"/>
          </w:tcPr>
          <w:p w14:paraId="22CFAB68" w14:textId="77777777" w:rsidR="002661BA" w:rsidRDefault="002661BA">
            <w:pPr>
              <w:rPr>
                <w:rFonts w:ascii="宋体"/>
                <w:vanish/>
              </w:rPr>
            </w:pPr>
          </w:p>
        </w:tc>
        <w:tc>
          <w:tcPr>
            <w:tcW w:w="0" w:type="auto"/>
            <w:gridSpan w:val="3"/>
            <w:shd w:val="clear" w:color="auto" w:fill="auto"/>
            <w:vAlign w:val="bottom"/>
          </w:tcPr>
          <w:p w14:paraId="22CFAB69" w14:textId="77777777" w:rsidR="002661BA" w:rsidRDefault="002661BA">
            <w:pPr>
              <w:rPr>
                <w:rFonts w:ascii="宋体"/>
                <w:vanish/>
              </w:rPr>
            </w:pPr>
          </w:p>
        </w:tc>
        <w:tc>
          <w:tcPr>
            <w:tcW w:w="0" w:type="auto"/>
            <w:gridSpan w:val="3"/>
            <w:shd w:val="clear" w:color="auto" w:fill="auto"/>
            <w:vAlign w:val="bottom"/>
          </w:tcPr>
          <w:p w14:paraId="22CFAB6A" w14:textId="77777777" w:rsidR="002661BA" w:rsidRDefault="002661BA">
            <w:pPr>
              <w:rPr>
                <w:rFonts w:ascii="宋体"/>
                <w:vanish/>
              </w:rPr>
            </w:pPr>
          </w:p>
        </w:tc>
        <w:tc>
          <w:tcPr>
            <w:tcW w:w="0" w:type="auto"/>
            <w:gridSpan w:val="3"/>
            <w:shd w:val="clear" w:color="auto" w:fill="auto"/>
            <w:vAlign w:val="bottom"/>
          </w:tcPr>
          <w:p w14:paraId="22CFAB6B" w14:textId="77777777" w:rsidR="002661BA" w:rsidRDefault="002661BA">
            <w:pPr>
              <w:rPr>
                <w:rFonts w:ascii="宋体"/>
                <w:vanish/>
              </w:rPr>
            </w:pPr>
          </w:p>
        </w:tc>
        <w:tc>
          <w:tcPr>
            <w:tcW w:w="0" w:type="auto"/>
            <w:gridSpan w:val="3"/>
            <w:shd w:val="clear" w:color="auto" w:fill="auto"/>
            <w:vAlign w:val="bottom"/>
          </w:tcPr>
          <w:p w14:paraId="22CFAB6C" w14:textId="77777777" w:rsidR="002661BA" w:rsidRDefault="002661BA">
            <w:pPr>
              <w:rPr>
                <w:rFonts w:ascii="宋体"/>
                <w:vanish/>
              </w:rPr>
            </w:pPr>
          </w:p>
        </w:tc>
      </w:tr>
      <w:tr w:rsidR="002661BA" w14:paraId="22CFAB7A" w14:textId="77777777">
        <w:trPr>
          <w:hidden/>
        </w:trPr>
        <w:tc>
          <w:tcPr>
            <w:tcW w:w="0" w:type="auto"/>
            <w:gridSpan w:val="3"/>
            <w:shd w:val="clear" w:color="auto" w:fill="auto"/>
            <w:vAlign w:val="bottom"/>
          </w:tcPr>
          <w:p w14:paraId="22CFAB6E" w14:textId="77777777" w:rsidR="002661BA" w:rsidRDefault="002661BA">
            <w:pPr>
              <w:rPr>
                <w:rFonts w:ascii="宋体"/>
                <w:vanish/>
              </w:rPr>
            </w:pPr>
          </w:p>
        </w:tc>
        <w:tc>
          <w:tcPr>
            <w:tcW w:w="0" w:type="auto"/>
            <w:gridSpan w:val="3"/>
            <w:shd w:val="clear" w:color="auto" w:fill="auto"/>
            <w:vAlign w:val="bottom"/>
          </w:tcPr>
          <w:p w14:paraId="22CFAB6F" w14:textId="77777777" w:rsidR="002661BA" w:rsidRDefault="002661BA">
            <w:pPr>
              <w:rPr>
                <w:rFonts w:ascii="宋体"/>
                <w:vanish/>
              </w:rPr>
            </w:pPr>
          </w:p>
        </w:tc>
        <w:tc>
          <w:tcPr>
            <w:tcW w:w="0" w:type="auto"/>
            <w:gridSpan w:val="3"/>
            <w:shd w:val="clear" w:color="auto" w:fill="auto"/>
            <w:vAlign w:val="bottom"/>
          </w:tcPr>
          <w:p w14:paraId="22CFAB70" w14:textId="77777777" w:rsidR="002661BA" w:rsidRDefault="002661BA">
            <w:pPr>
              <w:rPr>
                <w:rFonts w:ascii="宋体"/>
                <w:vanish/>
              </w:rPr>
            </w:pPr>
          </w:p>
        </w:tc>
        <w:tc>
          <w:tcPr>
            <w:tcW w:w="0" w:type="auto"/>
            <w:gridSpan w:val="3"/>
            <w:shd w:val="clear" w:color="auto" w:fill="auto"/>
            <w:vAlign w:val="bottom"/>
          </w:tcPr>
          <w:p w14:paraId="22CFAB71" w14:textId="77777777" w:rsidR="002661BA" w:rsidRDefault="002661BA">
            <w:pPr>
              <w:rPr>
                <w:rFonts w:ascii="宋体"/>
                <w:vanish/>
              </w:rPr>
            </w:pPr>
          </w:p>
        </w:tc>
        <w:tc>
          <w:tcPr>
            <w:tcW w:w="0" w:type="auto"/>
            <w:gridSpan w:val="3"/>
            <w:shd w:val="clear" w:color="auto" w:fill="auto"/>
            <w:vAlign w:val="bottom"/>
          </w:tcPr>
          <w:p w14:paraId="22CFAB72" w14:textId="77777777" w:rsidR="002661BA" w:rsidRDefault="002661BA">
            <w:pPr>
              <w:rPr>
                <w:rFonts w:ascii="宋体"/>
                <w:vanish/>
              </w:rPr>
            </w:pPr>
          </w:p>
        </w:tc>
        <w:tc>
          <w:tcPr>
            <w:tcW w:w="0" w:type="auto"/>
            <w:gridSpan w:val="3"/>
            <w:shd w:val="clear" w:color="auto" w:fill="auto"/>
            <w:vAlign w:val="bottom"/>
          </w:tcPr>
          <w:p w14:paraId="22CFAB73" w14:textId="77777777" w:rsidR="002661BA" w:rsidRDefault="002661BA">
            <w:pPr>
              <w:rPr>
                <w:rFonts w:ascii="宋体"/>
                <w:vanish/>
              </w:rPr>
            </w:pPr>
          </w:p>
        </w:tc>
        <w:tc>
          <w:tcPr>
            <w:tcW w:w="0" w:type="auto"/>
            <w:gridSpan w:val="3"/>
            <w:shd w:val="clear" w:color="auto" w:fill="auto"/>
            <w:vAlign w:val="bottom"/>
          </w:tcPr>
          <w:p w14:paraId="22CFAB74" w14:textId="77777777" w:rsidR="002661BA" w:rsidRDefault="002661BA">
            <w:pPr>
              <w:rPr>
                <w:rFonts w:ascii="宋体"/>
                <w:vanish/>
              </w:rPr>
            </w:pPr>
          </w:p>
        </w:tc>
        <w:tc>
          <w:tcPr>
            <w:tcW w:w="0" w:type="auto"/>
            <w:gridSpan w:val="3"/>
            <w:shd w:val="clear" w:color="auto" w:fill="auto"/>
            <w:vAlign w:val="bottom"/>
          </w:tcPr>
          <w:p w14:paraId="22CFAB75" w14:textId="77777777" w:rsidR="002661BA" w:rsidRDefault="002661BA">
            <w:pPr>
              <w:rPr>
                <w:rFonts w:ascii="宋体"/>
                <w:vanish/>
              </w:rPr>
            </w:pPr>
          </w:p>
        </w:tc>
        <w:tc>
          <w:tcPr>
            <w:tcW w:w="0" w:type="auto"/>
            <w:gridSpan w:val="3"/>
            <w:shd w:val="clear" w:color="auto" w:fill="auto"/>
            <w:vAlign w:val="bottom"/>
          </w:tcPr>
          <w:p w14:paraId="22CFAB76" w14:textId="77777777" w:rsidR="002661BA" w:rsidRDefault="002661BA">
            <w:pPr>
              <w:rPr>
                <w:rFonts w:ascii="宋体"/>
                <w:vanish/>
              </w:rPr>
            </w:pPr>
          </w:p>
        </w:tc>
        <w:tc>
          <w:tcPr>
            <w:tcW w:w="0" w:type="auto"/>
            <w:gridSpan w:val="3"/>
            <w:shd w:val="clear" w:color="auto" w:fill="auto"/>
            <w:vAlign w:val="bottom"/>
          </w:tcPr>
          <w:p w14:paraId="22CFAB77" w14:textId="77777777" w:rsidR="002661BA" w:rsidRDefault="002661BA">
            <w:pPr>
              <w:rPr>
                <w:rFonts w:ascii="宋体"/>
                <w:vanish/>
              </w:rPr>
            </w:pPr>
          </w:p>
        </w:tc>
        <w:tc>
          <w:tcPr>
            <w:tcW w:w="0" w:type="auto"/>
            <w:gridSpan w:val="3"/>
            <w:shd w:val="clear" w:color="auto" w:fill="auto"/>
            <w:vAlign w:val="bottom"/>
          </w:tcPr>
          <w:p w14:paraId="22CFAB78" w14:textId="77777777" w:rsidR="002661BA" w:rsidRDefault="002661BA">
            <w:pPr>
              <w:rPr>
                <w:rFonts w:ascii="宋体"/>
                <w:vanish/>
              </w:rPr>
            </w:pPr>
          </w:p>
        </w:tc>
        <w:tc>
          <w:tcPr>
            <w:tcW w:w="0" w:type="auto"/>
            <w:gridSpan w:val="3"/>
            <w:shd w:val="clear" w:color="auto" w:fill="auto"/>
            <w:vAlign w:val="bottom"/>
          </w:tcPr>
          <w:p w14:paraId="22CFAB79" w14:textId="77777777" w:rsidR="002661BA" w:rsidRDefault="002661BA">
            <w:pPr>
              <w:rPr>
                <w:rFonts w:ascii="宋体"/>
                <w:vanish/>
              </w:rPr>
            </w:pPr>
          </w:p>
        </w:tc>
      </w:tr>
      <w:tr w:rsidR="002661BA" w14:paraId="22CFAB8D" w14:textId="77777777">
        <w:tc>
          <w:tcPr>
            <w:tcW w:w="0" w:type="auto"/>
            <w:gridSpan w:val="3"/>
            <w:shd w:val="clear" w:color="auto" w:fill="E2E2E2"/>
            <w:tcMar>
              <w:top w:w="40" w:type="dxa"/>
              <w:left w:w="140" w:type="dxa"/>
              <w:bottom w:w="40" w:type="dxa"/>
              <w:right w:w="20" w:type="dxa"/>
            </w:tcMar>
            <w:vAlign w:val="bottom"/>
          </w:tcPr>
          <w:p w14:paraId="22CFAB7B" w14:textId="77777777" w:rsidR="002661BA" w:rsidRDefault="00D972BC">
            <w:pPr>
              <w:textAlignment w:val="bottom"/>
            </w:pPr>
            <w:r>
              <w:rPr>
                <w:rFonts w:ascii="Arial" w:eastAsia="宋体" w:hAnsi="Arial" w:cs="Arial"/>
                <w:color w:val="000000"/>
                <w:sz w:val="18"/>
                <w:szCs w:val="18"/>
              </w:rPr>
              <w:t>Marketing services and other revenues</w:t>
            </w:r>
          </w:p>
        </w:tc>
        <w:tc>
          <w:tcPr>
            <w:tcW w:w="0" w:type="auto"/>
            <w:gridSpan w:val="2"/>
            <w:shd w:val="clear" w:color="auto" w:fill="E2E2E2"/>
            <w:tcMar>
              <w:top w:w="40" w:type="dxa"/>
              <w:left w:w="20" w:type="dxa"/>
              <w:bottom w:w="40" w:type="dxa"/>
              <w:right w:w="0" w:type="dxa"/>
            </w:tcMar>
            <w:vAlign w:val="bottom"/>
          </w:tcPr>
          <w:p w14:paraId="22CFAB7C" w14:textId="77777777" w:rsidR="002661BA" w:rsidRDefault="00D972BC">
            <w:pPr>
              <w:jc w:val="right"/>
              <w:textAlignment w:val="bottom"/>
            </w:pPr>
            <w:r>
              <w:rPr>
                <w:rFonts w:ascii="Arial" w:eastAsia="宋体" w:hAnsi="Arial" w:cs="Arial"/>
                <w:color w:val="000000"/>
                <w:sz w:val="18"/>
                <w:szCs w:val="18"/>
              </w:rPr>
              <w:t>648 </w:t>
            </w:r>
          </w:p>
        </w:tc>
        <w:tc>
          <w:tcPr>
            <w:tcW w:w="0" w:type="auto"/>
            <w:shd w:val="clear" w:color="auto" w:fill="E2E2E2"/>
            <w:tcMar>
              <w:top w:w="40" w:type="dxa"/>
              <w:left w:w="0" w:type="dxa"/>
              <w:bottom w:w="40" w:type="dxa"/>
              <w:right w:w="20" w:type="dxa"/>
            </w:tcMar>
            <w:vAlign w:val="bottom"/>
          </w:tcPr>
          <w:p w14:paraId="22CFAB7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B7E"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B7F" w14:textId="77777777" w:rsidR="002661BA" w:rsidRDefault="00D972BC">
            <w:pPr>
              <w:jc w:val="right"/>
              <w:textAlignment w:val="bottom"/>
            </w:pPr>
            <w:r>
              <w:rPr>
                <w:rFonts w:ascii="Arial" w:eastAsia="宋体" w:hAnsi="Arial" w:cs="Arial"/>
                <w:color w:val="000000"/>
                <w:sz w:val="18"/>
                <w:szCs w:val="18"/>
              </w:rPr>
              <w:t>8 </w:t>
            </w:r>
          </w:p>
        </w:tc>
        <w:tc>
          <w:tcPr>
            <w:tcW w:w="0" w:type="auto"/>
            <w:shd w:val="clear" w:color="auto" w:fill="E2E2E2"/>
            <w:tcMar>
              <w:top w:w="40" w:type="dxa"/>
              <w:left w:w="0" w:type="dxa"/>
              <w:bottom w:w="40" w:type="dxa"/>
              <w:right w:w="20" w:type="dxa"/>
            </w:tcMar>
            <w:vAlign w:val="bottom"/>
          </w:tcPr>
          <w:p w14:paraId="22CFAB80"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B81"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B82" w14:textId="77777777" w:rsidR="002661BA" w:rsidRDefault="00D972BC">
            <w:pPr>
              <w:jc w:val="right"/>
              <w:textAlignment w:val="bottom"/>
            </w:pPr>
            <w:r>
              <w:rPr>
                <w:rFonts w:ascii="Arial" w:eastAsia="宋体" w:hAnsi="Arial" w:cs="Arial"/>
                <w:color w:val="000000"/>
                <w:sz w:val="18"/>
                <w:szCs w:val="18"/>
              </w:rPr>
              <w:t>640 </w:t>
            </w:r>
          </w:p>
        </w:tc>
        <w:tc>
          <w:tcPr>
            <w:tcW w:w="0" w:type="auto"/>
            <w:shd w:val="clear" w:color="auto" w:fill="E2E2E2"/>
            <w:tcMar>
              <w:top w:w="40" w:type="dxa"/>
              <w:left w:w="0" w:type="dxa"/>
              <w:bottom w:w="40" w:type="dxa"/>
              <w:right w:w="20" w:type="dxa"/>
            </w:tcMar>
            <w:vAlign w:val="bottom"/>
          </w:tcPr>
          <w:p w14:paraId="22CFAB83"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B84"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B85" w14:textId="77777777" w:rsidR="002661BA" w:rsidRDefault="00D972BC">
            <w:pPr>
              <w:jc w:val="right"/>
              <w:textAlignment w:val="bottom"/>
            </w:pPr>
            <w:r>
              <w:rPr>
                <w:rFonts w:ascii="Arial" w:eastAsia="宋体" w:hAnsi="Arial" w:cs="Arial"/>
                <w:color w:val="000000"/>
                <w:sz w:val="18"/>
                <w:szCs w:val="18"/>
              </w:rPr>
              <w:t>651 </w:t>
            </w:r>
          </w:p>
        </w:tc>
        <w:tc>
          <w:tcPr>
            <w:tcW w:w="0" w:type="auto"/>
            <w:shd w:val="clear" w:color="auto" w:fill="E2E2E2"/>
            <w:tcMar>
              <w:top w:w="40" w:type="dxa"/>
              <w:left w:w="0" w:type="dxa"/>
              <w:bottom w:w="40" w:type="dxa"/>
              <w:right w:w="20" w:type="dxa"/>
            </w:tcMar>
            <w:vAlign w:val="bottom"/>
          </w:tcPr>
          <w:p w14:paraId="22CFAB86"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B87"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B88"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AB89"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B8A"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B8B" w14:textId="77777777" w:rsidR="002661BA" w:rsidRDefault="00D972BC">
            <w:pPr>
              <w:jc w:val="right"/>
              <w:textAlignment w:val="bottom"/>
            </w:pPr>
            <w:r>
              <w:rPr>
                <w:rFonts w:ascii="Arial" w:eastAsia="宋体" w:hAnsi="Arial" w:cs="Arial"/>
                <w:color w:val="000000"/>
                <w:sz w:val="18"/>
                <w:szCs w:val="18"/>
              </w:rPr>
              <w:t>(2)</w:t>
            </w:r>
          </w:p>
        </w:tc>
        <w:tc>
          <w:tcPr>
            <w:tcW w:w="0" w:type="auto"/>
            <w:shd w:val="clear" w:color="auto" w:fill="E2E2E2"/>
            <w:tcMar>
              <w:top w:w="40" w:type="dxa"/>
              <w:left w:w="0" w:type="dxa"/>
              <w:bottom w:w="40" w:type="dxa"/>
              <w:right w:w="20" w:type="dxa"/>
            </w:tcMar>
            <w:vAlign w:val="bottom"/>
          </w:tcPr>
          <w:p w14:paraId="22CFAB8C" w14:textId="77777777" w:rsidR="002661BA" w:rsidRDefault="00D972BC">
            <w:pPr>
              <w:jc w:val="right"/>
              <w:textAlignment w:val="bottom"/>
            </w:pPr>
            <w:r>
              <w:rPr>
                <w:rFonts w:ascii="Arial" w:eastAsia="宋体" w:hAnsi="Arial" w:cs="Arial"/>
                <w:color w:val="000000"/>
                <w:sz w:val="18"/>
                <w:szCs w:val="18"/>
              </w:rPr>
              <w:t>%</w:t>
            </w:r>
          </w:p>
        </w:tc>
      </w:tr>
      <w:tr w:rsidR="002661BA" w14:paraId="22CFAB9A" w14:textId="77777777">
        <w:trPr>
          <w:hidden/>
        </w:trPr>
        <w:tc>
          <w:tcPr>
            <w:tcW w:w="0" w:type="auto"/>
            <w:gridSpan w:val="3"/>
            <w:shd w:val="clear" w:color="auto" w:fill="auto"/>
            <w:vAlign w:val="bottom"/>
          </w:tcPr>
          <w:p w14:paraId="22CFAB8E" w14:textId="77777777" w:rsidR="002661BA" w:rsidRDefault="002661BA">
            <w:pPr>
              <w:rPr>
                <w:rFonts w:ascii="宋体"/>
                <w:vanish/>
              </w:rPr>
            </w:pPr>
          </w:p>
        </w:tc>
        <w:tc>
          <w:tcPr>
            <w:tcW w:w="0" w:type="auto"/>
            <w:gridSpan w:val="3"/>
            <w:shd w:val="clear" w:color="auto" w:fill="auto"/>
            <w:vAlign w:val="bottom"/>
          </w:tcPr>
          <w:p w14:paraId="22CFAB8F" w14:textId="77777777" w:rsidR="002661BA" w:rsidRDefault="002661BA">
            <w:pPr>
              <w:rPr>
                <w:rFonts w:ascii="宋体"/>
                <w:vanish/>
              </w:rPr>
            </w:pPr>
          </w:p>
        </w:tc>
        <w:tc>
          <w:tcPr>
            <w:tcW w:w="0" w:type="auto"/>
            <w:gridSpan w:val="3"/>
            <w:shd w:val="clear" w:color="auto" w:fill="auto"/>
            <w:vAlign w:val="bottom"/>
          </w:tcPr>
          <w:p w14:paraId="22CFAB90" w14:textId="77777777" w:rsidR="002661BA" w:rsidRDefault="002661BA">
            <w:pPr>
              <w:rPr>
                <w:rFonts w:ascii="宋体"/>
                <w:vanish/>
              </w:rPr>
            </w:pPr>
          </w:p>
        </w:tc>
        <w:tc>
          <w:tcPr>
            <w:tcW w:w="0" w:type="auto"/>
            <w:gridSpan w:val="3"/>
            <w:shd w:val="clear" w:color="auto" w:fill="auto"/>
            <w:vAlign w:val="bottom"/>
          </w:tcPr>
          <w:p w14:paraId="22CFAB91" w14:textId="77777777" w:rsidR="002661BA" w:rsidRDefault="002661BA">
            <w:pPr>
              <w:rPr>
                <w:rFonts w:ascii="宋体"/>
                <w:vanish/>
              </w:rPr>
            </w:pPr>
          </w:p>
        </w:tc>
        <w:tc>
          <w:tcPr>
            <w:tcW w:w="0" w:type="auto"/>
            <w:gridSpan w:val="3"/>
            <w:shd w:val="clear" w:color="auto" w:fill="auto"/>
            <w:vAlign w:val="bottom"/>
          </w:tcPr>
          <w:p w14:paraId="22CFAB92" w14:textId="77777777" w:rsidR="002661BA" w:rsidRDefault="002661BA">
            <w:pPr>
              <w:rPr>
                <w:rFonts w:ascii="宋体"/>
                <w:vanish/>
              </w:rPr>
            </w:pPr>
          </w:p>
        </w:tc>
        <w:tc>
          <w:tcPr>
            <w:tcW w:w="0" w:type="auto"/>
            <w:gridSpan w:val="3"/>
            <w:shd w:val="clear" w:color="auto" w:fill="auto"/>
            <w:vAlign w:val="bottom"/>
          </w:tcPr>
          <w:p w14:paraId="22CFAB93" w14:textId="77777777" w:rsidR="002661BA" w:rsidRDefault="002661BA">
            <w:pPr>
              <w:rPr>
                <w:rFonts w:ascii="宋体"/>
                <w:vanish/>
              </w:rPr>
            </w:pPr>
          </w:p>
        </w:tc>
        <w:tc>
          <w:tcPr>
            <w:tcW w:w="0" w:type="auto"/>
            <w:gridSpan w:val="3"/>
            <w:shd w:val="clear" w:color="auto" w:fill="auto"/>
            <w:vAlign w:val="bottom"/>
          </w:tcPr>
          <w:p w14:paraId="22CFAB94" w14:textId="77777777" w:rsidR="002661BA" w:rsidRDefault="002661BA">
            <w:pPr>
              <w:rPr>
                <w:rFonts w:ascii="宋体"/>
                <w:vanish/>
              </w:rPr>
            </w:pPr>
          </w:p>
        </w:tc>
        <w:tc>
          <w:tcPr>
            <w:tcW w:w="0" w:type="auto"/>
            <w:gridSpan w:val="3"/>
            <w:shd w:val="clear" w:color="auto" w:fill="auto"/>
            <w:vAlign w:val="bottom"/>
          </w:tcPr>
          <w:p w14:paraId="22CFAB95" w14:textId="77777777" w:rsidR="002661BA" w:rsidRDefault="002661BA">
            <w:pPr>
              <w:rPr>
                <w:rFonts w:ascii="宋体"/>
                <w:vanish/>
              </w:rPr>
            </w:pPr>
          </w:p>
        </w:tc>
        <w:tc>
          <w:tcPr>
            <w:tcW w:w="0" w:type="auto"/>
            <w:gridSpan w:val="3"/>
            <w:shd w:val="clear" w:color="auto" w:fill="auto"/>
            <w:vAlign w:val="bottom"/>
          </w:tcPr>
          <w:p w14:paraId="22CFAB96" w14:textId="77777777" w:rsidR="002661BA" w:rsidRDefault="002661BA">
            <w:pPr>
              <w:rPr>
                <w:rFonts w:ascii="宋体"/>
                <w:vanish/>
              </w:rPr>
            </w:pPr>
          </w:p>
        </w:tc>
        <w:tc>
          <w:tcPr>
            <w:tcW w:w="0" w:type="auto"/>
            <w:gridSpan w:val="3"/>
            <w:shd w:val="clear" w:color="auto" w:fill="auto"/>
            <w:vAlign w:val="bottom"/>
          </w:tcPr>
          <w:p w14:paraId="22CFAB97" w14:textId="77777777" w:rsidR="002661BA" w:rsidRDefault="002661BA">
            <w:pPr>
              <w:rPr>
                <w:rFonts w:ascii="宋体"/>
                <w:vanish/>
              </w:rPr>
            </w:pPr>
          </w:p>
        </w:tc>
        <w:tc>
          <w:tcPr>
            <w:tcW w:w="0" w:type="auto"/>
            <w:gridSpan w:val="3"/>
            <w:shd w:val="clear" w:color="auto" w:fill="auto"/>
            <w:vAlign w:val="bottom"/>
          </w:tcPr>
          <w:p w14:paraId="22CFAB98" w14:textId="77777777" w:rsidR="002661BA" w:rsidRDefault="002661BA">
            <w:pPr>
              <w:rPr>
                <w:rFonts w:ascii="宋体"/>
                <w:vanish/>
              </w:rPr>
            </w:pPr>
          </w:p>
        </w:tc>
        <w:tc>
          <w:tcPr>
            <w:tcW w:w="0" w:type="auto"/>
            <w:gridSpan w:val="3"/>
            <w:shd w:val="clear" w:color="auto" w:fill="auto"/>
            <w:vAlign w:val="bottom"/>
          </w:tcPr>
          <w:p w14:paraId="22CFAB99" w14:textId="77777777" w:rsidR="002661BA" w:rsidRDefault="002661BA">
            <w:pPr>
              <w:rPr>
                <w:rFonts w:ascii="宋体"/>
                <w:vanish/>
              </w:rPr>
            </w:pPr>
          </w:p>
        </w:tc>
      </w:tr>
      <w:tr w:rsidR="002661BA" w14:paraId="22CFABA7" w14:textId="77777777">
        <w:trPr>
          <w:hidden/>
        </w:trPr>
        <w:tc>
          <w:tcPr>
            <w:tcW w:w="0" w:type="auto"/>
            <w:gridSpan w:val="3"/>
            <w:shd w:val="clear" w:color="auto" w:fill="auto"/>
            <w:vAlign w:val="bottom"/>
          </w:tcPr>
          <w:p w14:paraId="22CFAB9B" w14:textId="77777777" w:rsidR="002661BA" w:rsidRDefault="002661BA">
            <w:pPr>
              <w:rPr>
                <w:rFonts w:ascii="宋体"/>
                <w:vanish/>
              </w:rPr>
            </w:pPr>
          </w:p>
        </w:tc>
        <w:tc>
          <w:tcPr>
            <w:tcW w:w="0" w:type="auto"/>
            <w:gridSpan w:val="3"/>
            <w:shd w:val="clear" w:color="auto" w:fill="auto"/>
            <w:vAlign w:val="bottom"/>
          </w:tcPr>
          <w:p w14:paraId="22CFAB9C" w14:textId="77777777" w:rsidR="002661BA" w:rsidRDefault="002661BA">
            <w:pPr>
              <w:rPr>
                <w:rFonts w:ascii="宋体"/>
                <w:vanish/>
              </w:rPr>
            </w:pPr>
          </w:p>
        </w:tc>
        <w:tc>
          <w:tcPr>
            <w:tcW w:w="0" w:type="auto"/>
            <w:gridSpan w:val="3"/>
            <w:shd w:val="clear" w:color="auto" w:fill="auto"/>
            <w:vAlign w:val="bottom"/>
          </w:tcPr>
          <w:p w14:paraId="22CFAB9D" w14:textId="77777777" w:rsidR="002661BA" w:rsidRDefault="002661BA">
            <w:pPr>
              <w:rPr>
                <w:rFonts w:ascii="宋体"/>
                <w:vanish/>
              </w:rPr>
            </w:pPr>
          </w:p>
        </w:tc>
        <w:tc>
          <w:tcPr>
            <w:tcW w:w="0" w:type="auto"/>
            <w:gridSpan w:val="3"/>
            <w:shd w:val="clear" w:color="auto" w:fill="auto"/>
            <w:vAlign w:val="bottom"/>
          </w:tcPr>
          <w:p w14:paraId="22CFAB9E" w14:textId="77777777" w:rsidR="002661BA" w:rsidRDefault="002661BA">
            <w:pPr>
              <w:rPr>
                <w:rFonts w:ascii="宋体"/>
                <w:vanish/>
              </w:rPr>
            </w:pPr>
          </w:p>
        </w:tc>
        <w:tc>
          <w:tcPr>
            <w:tcW w:w="0" w:type="auto"/>
            <w:gridSpan w:val="3"/>
            <w:shd w:val="clear" w:color="auto" w:fill="auto"/>
            <w:vAlign w:val="bottom"/>
          </w:tcPr>
          <w:p w14:paraId="22CFAB9F" w14:textId="77777777" w:rsidR="002661BA" w:rsidRDefault="002661BA">
            <w:pPr>
              <w:rPr>
                <w:rFonts w:ascii="宋体"/>
                <w:vanish/>
              </w:rPr>
            </w:pPr>
          </w:p>
        </w:tc>
        <w:tc>
          <w:tcPr>
            <w:tcW w:w="0" w:type="auto"/>
            <w:gridSpan w:val="3"/>
            <w:shd w:val="clear" w:color="auto" w:fill="auto"/>
            <w:vAlign w:val="bottom"/>
          </w:tcPr>
          <w:p w14:paraId="22CFABA0" w14:textId="77777777" w:rsidR="002661BA" w:rsidRDefault="002661BA">
            <w:pPr>
              <w:rPr>
                <w:rFonts w:ascii="宋体"/>
                <w:vanish/>
              </w:rPr>
            </w:pPr>
          </w:p>
        </w:tc>
        <w:tc>
          <w:tcPr>
            <w:tcW w:w="0" w:type="auto"/>
            <w:gridSpan w:val="3"/>
            <w:shd w:val="clear" w:color="auto" w:fill="auto"/>
            <w:vAlign w:val="bottom"/>
          </w:tcPr>
          <w:p w14:paraId="22CFABA1" w14:textId="77777777" w:rsidR="002661BA" w:rsidRDefault="002661BA">
            <w:pPr>
              <w:rPr>
                <w:rFonts w:ascii="宋体"/>
                <w:vanish/>
              </w:rPr>
            </w:pPr>
          </w:p>
        </w:tc>
        <w:tc>
          <w:tcPr>
            <w:tcW w:w="0" w:type="auto"/>
            <w:gridSpan w:val="3"/>
            <w:shd w:val="clear" w:color="auto" w:fill="auto"/>
            <w:vAlign w:val="bottom"/>
          </w:tcPr>
          <w:p w14:paraId="22CFABA2" w14:textId="77777777" w:rsidR="002661BA" w:rsidRDefault="002661BA">
            <w:pPr>
              <w:rPr>
                <w:rFonts w:ascii="宋体"/>
                <w:vanish/>
              </w:rPr>
            </w:pPr>
          </w:p>
        </w:tc>
        <w:tc>
          <w:tcPr>
            <w:tcW w:w="0" w:type="auto"/>
            <w:gridSpan w:val="3"/>
            <w:shd w:val="clear" w:color="auto" w:fill="auto"/>
            <w:vAlign w:val="bottom"/>
          </w:tcPr>
          <w:p w14:paraId="22CFABA3" w14:textId="77777777" w:rsidR="002661BA" w:rsidRDefault="002661BA">
            <w:pPr>
              <w:rPr>
                <w:rFonts w:ascii="宋体"/>
                <w:vanish/>
              </w:rPr>
            </w:pPr>
          </w:p>
        </w:tc>
        <w:tc>
          <w:tcPr>
            <w:tcW w:w="0" w:type="auto"/>
            <w:gridSpan w:val="3"/>
            <w:shd w:val="clear" w:color="auto" w:fill="auto"/>
            <w:vAlign w:val="bottom"/>
          </w:tcPr>
          <w:p w14:paraId="22CFABA4" w14:textId="77777777" w:rsidR="002661BA" w:rsidRDefault="002661BA">
            <w:pPr>
              <w:rPr>
                <w:rFonts w:ascii="宋体"/>
                <w:vanish/>
              </w:rPr>
            </w:pPr>
          </w:p>
        </w:tc>
        <w:tc>
          <w:tcPr>
            <w:tcW w:w="0" w:type="auto"/>
            <w:gridSpan w:val="3"/>
            <w:shd w:val="clear" w:color="auto" w:fill="auto"/>
            <w:vAlign w:val="bottom"/>
          </w:tcPr>
          <w:p w14:paraId="22CFABA5" w14:textId="77777777" w:rsidR="002661BA" w:rsidRDefault="002661BA">
            <w:pPr>
              <w:rPr>
                <w:rFonts w:ascii="宋体"/>
                <w:vanish/>
              </w:rPr>
            </w:pPr>
          </w:p>
        </w:tc>
        <w:tc>
          <w:tcPr>
            <w:tcW w:w="0" w:type="auto"/>
            <w:gridSpan w:val="3"/>
            <w:shd w:val="clear" w:color="auto" w:fill="auto"/>
            <w:vAlign w:val="bottom"/>
          </w:tcPr>
          <w:p w14:paraId="22CFABA6" w14:textId="77777777" w:rsidR="002661BA" w:rsidRDefault="002661BA">
            <w:pPr>
              <w:rPr>
                <w:rFonts w:ascii="宋体"/>
                <w:vanish/>
              </w:rPr>
            </w:pPr>
          </w:p>
        </w:tc>
      </w:tr>
      <w:tr w:rsidR="002661BA" w14:paraId="22CFABB4" w14:textId="77777777">
        <w:trPr>
          <w:hidden/>
        </w:trPr>
        <w:tc>
          <w:tcPr>
            <w:tcW w:w="0" w:type="auto"/>
            <w:gridSpan w:val="3"/>
            <w:shd w:val="clear" w:color="auto" w:fill="auto"/>
            <w:vAlign w:val="bottom"/>
          </w:tcPr>
          <w:p w14:paraId="22CFABA8" w14:textId="77777777" w:rsidR="002661BA" w:rsidRDefault="002661BA">
            <w:pPr>
              <w:rPr>
                <w:rFonts w:ascii="宋体"/>
                <w:vanish/>
              </w:rPr>
            </w:pPr>
          </w:p>
        </w:tc>
        <w:tc>
          <w:tcPr>
            <w:tcW w:w="0" w:type="auto"/>
            <w:gridSpan w:val="3"/>
            <w:shd w:val="clear" w:color="auto" w:fill="auto"/>
            <w:vAlign w:val="bottom"/>
          </w:tcPr>
          <w:p w14:paraId="22CFABA9" w14:textId="77777777" w:rsidR="002661BA" w:rsidRDefault="002661BA">
            <w:pPr>
              <w:rPr>
                <w:rFonts w:ascii="宋体"/>
                <w:vanish/>
              </w:rPr>
            </w:pPr>
          </w:p>
        </w:tc>
        <w:tc>
          <w:tcPr>
            <w:tcW w:w="0" w:type="auto"/>
            <w:gridSpan w:val="3"/>
            <w:shd w:val="clear" w:color="auto" w:fill="auto"/>
            <w:vAlign w:val="bottom"/>
          </w:tcPr>
          <w:p w14:paraId="22CFABAA" w14:textId="77777777" w:rsidR="002661BA" w:rsidRDefault="002661BA">
            <w:pPr>
              <w:rPr>
                <w:rFonts w:ascii="宋体"/>
                <w:vanish/>
              </w:rPr>
            </w:pPr>
          </w:p>
        </w:tc>
        <w:tc>
          <w:tcPr>
            <w:tcW w:w="0" w:type="auto"/>
            <w:gridSpan w:val="3"/>
            <w:shd w:val="clear" w:color="auto" w:fill="auto"/>
            <w:vAlign w:val="bottom"/>
          </w:tcPr>
          <w:p w14:paraId="22CFABAB" w14:textId="77777777" w:rsidR="002661BA" w:rsidRDefault="002661BA">
            <w:pPr>
              <w:rPr>
                <w:rFonts w:ascii="宋体"/>
                <w:vanish/>
              </w:rPr>
            </w:pPr>
          </w:p>
        </w:tc>
        <w:tc>
          <w:tcPr>
            <w:tcW w:w="0" w:type="auto"/>
            <w:gridSpan w:val="3"/>
            <w:shd w:val="clear" w:color="auto" w:fill="auto"/>
            <w:vAlign w:val="bottom"/>
          </w:tcPr>
          <w:p w14:paraId="22CFABAC" w14:textId="77777777" w:rsidR="002661BA" w:rsidRDefault="002661BA">
            <w:pPr>
              <w:rPr>
                <w:rFonts w:ascii="宋体"/>
                <w:vanish/>
              </w:rPr>
            </w:pPr>
          </w:p>
        </w:tc>
        <w:tc>
          <w:tcPr>
            <w:tcW w:w="0" w:type="auto"/>
            <w:gridSpan w:val="3"/>
            <w:shd w:val="clear" w:color="auto" w:fill="auto"/>
            <w:vAlign w:val="bottom"/>
          </w:tcPr>
          <w:p w14:paraId="22CFABAD" w14:textId="77777777" w:rsidR="002661BA" w:rsidRDefault="002661BA">
            <w:pPr>
              <w:rPr>
                <w:rFonts w:ascii="宋体"/>
                <w:vanish/>
              </w:rPr>
            </w:pPr>
          </w:p>
        </w:tc>
        <w:tc>
          <w:tcPr>
            <w:tcW w:w="0" w:type="auto"/>
            <w:gridSpan w:val="3"/>
            <w:shd w:val="clear" w:color="auto" w:fill="auto"/>
            <w:vAlign w:val="bottom"/>
          </w:tcPr>
          <w:p w14:paraId="22CFABAE" w14:textId="77777777" w:rsidR="002661BA" w:rsidRDefault="002661BA">
            <w:pPr>
              <w:rPr>
                <w:rFonts w:ascii="宋体"/>
                <w:vanish/>
              </w:rPr>
            </w:pPr>
          </w:p>
        </w:tc>
        <w:tc>
          <w:tcPr>
            <w:tcW w:w="0" w:type="auto"/>
            <w:gridSpan w:val="3"/>
            <w:shd w:val="clear" w:color="auto" w:fill="auto"/>
            <w:vAlign w:val="bottom"/>
          </w:tcPr>
          <w:p w14:paraId="22CFABAF" w14:textId="77777777" w:rsidR="002661BA" w:rsidRDefault="002661BA">
            <w:pPr>
              <w:rPr>
                <w:rFonts w:ascii="宋体"/>
                <w:vanish/>
              </w:rPr>
            </w:pPr>
          </w:p>
        </w:tc>
        <w:tc>
          <w:tcPr>
            <w:tcW w:w="0" w:type="auto"/>
            <w:gridSpan w:val="3"/>
            <w:shd w:val="clear" w:color="auto" w:fill="auto"/>
            <w:vAlign w:val="bottom"/>
          </w:tcPr>
          <w:p w14:paraId="22CFABB0" w14:textId="77777777" w:rsidR="002661BA" w:rsidRDefault="002661BA">
            <w:pPr>
              <w:rPr>
                <w:rFonts w:ascii="宋体"/>
                <w:vanish/>
              </w:rPr>
            </w:pPr>
          </w:p>
        </w:tc>
        <w:tc>
          <w:tcPr>
            <w:tcW w:w="0" w:type="auto"/>
            <w:gridSpan w:val="3"/>
            <w:shd w:val="clear" w:color="auto" w:fill="auto"/>
            <w:vAlign w:val="bottom"/>
          </w:tcPr>
          <w:p w14:paraId="22CFABB1" w14:textId="77777777" w:rsidR="002661BA" w:rsidRDefault="002661BA">
            <w:pPr>
              <w:rPr>
                <w:rFonts w:ascii="宋体"/>
                <w:vanish/>
              </w:rPr>
            </w:pPr>
          </w:p>
        </w:tc>
        <w:tc>
          <w:tcPr>
            <w:tcW w:w="0" w:type="auto"/>
            <w:gridSpan w:val="3"/>
            <w:shd w:val="clear" w:color="auto" w:fill="auto"/>
            <w:vAlign w:val="bottom"/>
          </w:tcPr>
          <w:p w14:paraId="22CFABB2" w14:textId="77777777" w:rsidR="002661BA" w:rsidRDefault="002661BA">
            <w:pPr>
              <w:rPr>
                <w:rFonts w:ascii="宋体"/>
                <w:vanish/>
              </w:rPr>
            </w:pPr>
          </w:p>
        </w:tc>
        <w:tc>
          <w:tcPr>
            <w:tcW w:w="0" w:type="auto"/>
            <w:gridSpan w:val="3"/>
            <w:shd w:val="clear" w:color="auto" w:fill="auto"/>
            <w:vAlign w:val="bottom"/>
          </w:tcPr>
          <w:p w14:paraId="22CFABB3" w14:textId="77777777" w:rsidR="002661BA" w:rsidRDefault="002661BA">
            <w:pPr>
              <w:rPr>
                <w:rFonts w:ascii="宋体"/>
                <w:vanish/>
              </w:rPr>
            </w:pPr>
          </w:p>
        </w:tc>
      </w:tr>
      <w:tr w:rsidR="002661BA" w14:paraId="22CFABC1" w14:textId="77777777">
        <w:trPr>
          <w:hidden/>
        </w:trPr>
        <w:tc>
          <w:tcPr>
            <w:tcW w:w="0" w:type="auto"/>
            <w:gridSpan w:val="3"/>
            <w:shd w:val="clear" w:color="auto" w:fill="auto"/>
            <w:vAlign w:val="bottom"/>
          </w:tcPr>
          <w:p w14:paraId="22CFABB5" w14:textId="77777777" w:rsidR="002661BA" w:rsidRDefault="002661BA">
            <w:pPr>
              <w:rPr>
                <w:rFonts w:ascii="宋体"/>
                <w:vanish/>
              </w:rPr>
            </w:pPr>
          </w:p>
        </w:tc>
        <w:tc>
          <w:tcPr>
            <w:tcW w:w="0" w:type="auto"/>
            <w:gridSpan w:val="3"/>
            <w:shd w:val="clear" w:color="auto" w:fill="auto"/>
            <w:vAlign w:val="bottom"/>
          </w:tcPr>
          <w:p w14:paraId="22CFABB6" w14:textId="77777777" w:rsidR="002661BA" w:rsidRDefault="002661BA">
            <w:pPr>
              <w:rPr>
                <w:rFonts w:ascii="宋体"/>
                <w:vanish/>
              </w:rPr>
            </w:pPr>
          </w:p>
        </w:tc>
        <w:tc>
          <w:tcPr>
            <w:tcW w:w="0" w:type="auto"/>
            <w:gridSpan w:val="3"/>
            <w:shd w:val="clear" w:color="auto" w:fill="auto"/>
            <w:vAlign w:val="bottom"/>
          </w:tcPr>
          <w:p w14:paraId="22CFABB7" w14:textId="77777777" w:rsidR="002661BA" w:rsidRDefault="002661BA">
            <w:pPr>
              <w:rPr>
                <w:rFonts w:ascii="宋体"/>
                <w:vanish/>
              </w:rPr>
            </w:pPr>
          </w:p>
        </w:tc>
        <w:tc>
          <w:tcPr>
            <w:tcW w:w="0" w:type="auto"/>
            <w:gridSpan w:val="3"/>
            <w:shd w:val="clear" w:color="auto" w:fill="auto"/>
            <w:vAlign w:val="bottom"/>
          </w:tcPr>
          <w:p w14:paraId="22CFABB8" w14:textId="77777777" w:rsidR="002661BA" w:rsidRDefault="002661BA">
            <w:pPr>
              <w:rPr>
                <w:rFonts w:ascii="宋体"/>
                <w:vanish/>
              </w:rPr>
            </w:pPr>
          </w:p>
        </w:tc>
        <w:tc>
          <w:tcPr>
            <w:tcW w:w="0" w:type="auto"/>
            <w:gridSpan w:val="3"/>
            <w:shd w:val="clear" w:color="auto" w:fill="auto"/>
            <w:vAlign w:val="bottom"/>
          </w:tcPr>
          <w:p w14:paraId="22CFABB9" w14:textId="77777777" w:rsidR="002661BA" w:rsidRDefault="002661BA">
            <w:pPr>
              <w:rPr>
                <w:rFonts w:ascii="宋体"/>
                <w:vanish/>
              </w:rPr>
            </w:pPr>
          </w:p>
        </w:tc>
        <w:tc>
          <w:tcPr>
            <w:tcW w:w="0" w:type="auto"/>
            <w:gridSpan w:val="3"/>
            <w:shd w:val="clear" w:color="auto" w:fill="auto"/>
            <w:vAlign w:val="bottom"/>
          </w:tcPr>
          <w:p w14:paraId="22CFABBA" w14:textId="77777777" w:rsidR="002661BA" w:rsidRDefault="002661BA">
            <w:pPr>
              <w:rPr>
                <w:rFonts w:ascii="宋体"/>
                <w:vanish/>
              </w:rPr>
            </w:pPr>
          </w:p>
        </w:tc>
        <w:tc>
          <w:tcPr>
            <w:tcW w:w="0" w:type="auto"/>
            <w:gridSpan w:val="3"/>
            <w:shd w:val="clear" w:color="auto" w:fill="auto"/>
            <w:vAlign w:val="bottom"/>
          </w:tcPr>
          <w:p w14:paraId="22CFABBB" w14:textId="77777777" w:rsidR="002661BA" w:rsidRDefault="002661BA">
            <w:pPr>
              <w:rPr>
                <w:rFonts w:ascii="宋体"/>
                <w:vanish/>
              </w:rPr>
            </w:pPr>
          </w:p>
        </w:tc>
        <w:tc>
          <w:tcPr>
            <w:tcW w:w="0" w:type="auto"/>
            <w:gridSpan w:val="3"/>
            <w:shd w:val="clear" w:color="auto" w:fill="auto"/>
            <w:vAlign w:val="bottom"/>
          </w:tcPr>
          <w:p w14:paraId="22CFABBC" w14:textId="77777777" w:rsidR="002661BA" w:rsidRDefault="002661BA">
            <w:pPr>
              <w:rPr>
                <w:rFonts w:ascii="宋体"/>
                <w:vanish/>
              </w:rPr>
            </w:pPr>
          </w:p>
        </w:tc>
        <w:tc>
          <w:tcPr>
            <w:tcW w:w="0" w:type="auto"/>
            <w:gridSpan w:val="3"/>
            <w:shd w:val="clear" w:color="auto" w:fill="auto"/>
            <w:vAlign w:val="bottom"/>
          </w:tcPr>
          <w:p w14:paraId="22CFABBD" w14:textId="77777777" w:rsidR="002661BA" w:rsidRDefault="002661BA">
            <w:pPr>
              <w:rPr>
                <w:rFonts w:ascii="宋体"/>
                <w:vanish/>
              </w:rPr>
            </w:pPr>
          </w:p>
        </w:tc>
        <w:tc>
          <w:tcPr>
            <w:tcW w:w="0" w:type="auto"/>
            <w:gridSpan w:val="3"/>
            <w:shd w:val="clear" w:color="auto" w:fill="auto"/>
            <w:vAlign w:val="bottom"/>
          </w:tcPr>
          <w:p w14:paraId="22CFABBE" w14:textId="77777777" w:rsidR="002661BA" w:rsidRDefault="002661BA">
            <w:pPr>
              <w:rPr>
                <w:rFonts w:ascii="宋体"/>
                <w:vanish/>
              </w:rPr>
            </w:pPr>
          </w:p>
        </w:tc>
        <w:tc>
          <w:tcPr>
            <w:tcW w:w="0" w:type="auto"/>
            <w:gridSpan w:val="3"/>
            <w:shd w:val="clear" w:color="auto" w:fill="auto"/>
            <w:vAlign w:val="bottom"/>
          </w:tcPr>
          <w:p w14:paraId="22CFABBF" w14:textId="77777777" w:rsidR="002661BA" w:rsidRDefault="002661BA">
            <w:pPr>
              <w:rPr>
                <w:rFonts w:ascii="宋体"/>
                <w:vanish/>
              </w:rPr>
            </w:pPr>
          </w:p>
        </w:tc>
        <w:tc>
          <w:tcPr>
            <w:tcW w:w="0" w:type="auto"/>
            <w:gridSpan w:val="3"/>
            <w:shd w:val="clear" w:color="auto" w:fill="auto"/>
            <w:vAlign w:val="bottom"/>
          </w:tcPr>
          <w:p w14:paraId="22CFABC0" w14:textId="77777777" w:rsidR="002661BA" w:rsidRDefault="002661BA">
            <w:pPr>
              <w:rPr>
                <w:rFonts w:ascii="宋体"/>
                <w:vanish/>
              </w:rPr>
            </w:pPr>
          </w:p>
        </w:tc>
      </w:tr>
      <w:tr w:rsidR="002661BA" w14:paraId="22CFABD8" w14:textId="77777777">
        <w:tc>
          <w:tcPr>
            <w:tcW w:w="0" w:type="auto"/>
            <w:gridSpan w:val="3"/>
            <w:shd w:val="clear" w:color="auto" w:fill="FFFFFF"/>
            <w:tcMar>
              <w:top w:w="40" w:type="dxa"/>
              <w:left w:w="380" w:type="dxa"/>
              <w:bottom w:w="40" w:type="dxa"/>
              <w:right w:w="20" w:type="dxa"/>
            </w:tcMar>
            <w:vAlign w:val="bottom"/>
          </w:tcPr>
          <w:p w14:paraId="22CFABC2" w14:textId="77777777" w:rsidR="002661BA" w:rsidRDefault="00D972BC">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ABC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ABC4" w14:textId="77777777" w:rsidR="002661BA" w:rsidRDefault="00D972BC">
            <w:pPr>
              <w:jc w:val="right"/>
              <w:textAlignment w:val="bottom"/>
            </w:pPr>
            <w:r>
              <w:rPr>
                <w:rFonts w:ascii="Arial" w:eastAsia="宋体" w:hAnsi="Arial" w:cs="Arial"/>
                <w:color w:val="000000"/>
                <w:sz w:val="18"/>
                <w:szCs w:val="18"/>
              </w:rPr>
              <w:t>10,420 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ABC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BC6"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ABC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ABC8" w14:textId="77777777" w:rsidR="002661BA" w:rsidRDefault="00D972BC">
            <w:pPr>
              <w:jc w:val="right"/>
              <w:textAlignment w:val="bottom"/>
            </w:pPr>
            <w:r>
              <w:rPr>
                <w:rFonts w:ascii="Arial" w:eastAsia="宋体" w:hAnsi="Arial" w:cs="Arial"/>
                <w:color w:val="000000"/>
                <w:sz w:val="18"/>
                <w:szCs w:val="18"/>
              </w:rPr>
              <w:t>188 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ABC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BCA"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ABCB"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ABCC" w14:textId="77777777" w:rsidR="002661BA" w:rsidRDefault="00D972BC">
            <w:pPr>
              <w:jc w:val="right"/>
              <w:textAlignment w:val="bottom"/>
            </w:pPr>
            <w:r>
              <w:rPr>
                <w:rFonts w:ascii="Arial" w:eastAsia="宋体" w:hAnsi="Arial" w:cs="Arial"/>
                <w:color w:val="000000"/>
                <w:sz w:val="18"/>
                <w:szCs w:val="18"/>
              </w:rPr>
              <w:t>10,232 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ABC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BCE"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ABC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ABD0" w14:textId="77777777" w:rsidR="002661BA" w:rsidRDefault="00D972BC">
            <w:pPr>
              <w:jc w:val="right"/>
              <w:textAlignment w:val="bottom"/>
            </w:pPr>
            <w:r>
              <w:rPr>
                <w:rFonts w:ascii="Arial" w:eastAsia="宋体" w:hAnsi="Arial" w:cs="Arial"/>
                <w:color w:val="000000"/>
                <w:sz w:val="18"/>
                <w:szCs w:val="18"/>
              </w:rPr>
              <w:t>8,894 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ABD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BD2" w14:textId="77777777" w:rsidR="002661BA" w:rsidRDefault="002661B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ABD3" w14:textId="77777777" w:rsidR="002661BA" w:rsidRDefault="00D972BC">
            <w:pPr>
              <w:jc w:val="right"/>
              <w:textAlignment w:val="bottom"/>
            </w:pPr>
            <w:r>
              <w:rPr>
                <w:rFonts w:ascii="Arial" w:eastAsia="宋体" w:hAnsi="Arial" w:cs="Arial"/>
                <w:color w:val="000000"/>
                <w:sz w:val="18"/>
                <w:szCs w:val="18"/>
              </w:rPr>
              <w:t>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ABD4"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BD5" w14:textId="77777777" w:rsidR="002661BA" w:rsidRDefault="002661B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ABD6" w14:textId="77777777" w:rsidR="002661BA" w:rsidRDefault="00D972BC">
            <w:pPr>
              <w:jc w:val="right"/>
              <w:textAlignment w:val="bottom"/>
            </w:pPr>
            <w:r>
              <w:rPr>
                <w:rFonts w:ascii="Arial" w:eastAsia="宋体" w:hAnsi="Arial" w:cs="Arial"/>
                <w:color w:val="000000"/>
                <w:sz w:val="18"/>
                <w:szCs w:val="18"/>
              </w:rPr>
              <w:t>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ABD7" w14:textId="77777777" w:rsidR="002661BA" w:rsidRDefault="00D972BC">
            <w:pPr>
              <w:jc w:val="right"/>
              <w:textAlignment w:val="bottom"/>
            </w:pPr>
            <w:r>
              <w:rPr>
                <w:rFonts w:ascii="Arial" w:eastAsia="宋体" w:hAnsi="Arial" w:cs="Arial"/>
                <w:color w:val="000000"/>
                <w:sz w:val="18"/>
                <w:szCs w:val="18"/>
              </w:rPr>
              <w:t>%</w:t>
            </w:r>
          </w:p>
        </w:tc>
      </w:tr>
    </w:tbl>
    <w:p w14:paraId="22CFABD9" w14:textId="77777777" w:rsidR="002661BA" w:rsidRDefault="002661BA">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3"/>
        <w:gridCol w:w="1653"/>
        <w:gridCol w:w="37"/>
        <w:gridCol w:w="122"/>
        <w:gridCol w:w="712"/>
        <w:gridCol w:w="37"/>
        <w:gridCol w:w="36"/>
        <w:gridCol w:w="36"/>
        <w:gridCol w:w="36"/>
        <w:gridCol w:w="122"/>
        <w:gridCol w:w="764"/>
        <w:gridCol w:w="36"/>
        <w:gridCol w:w="36"/>
        <w:gridCol w:w="36"/>
        <w:gridCol w:w="36"/>
        <w:gridCol w:w="122"/>
        <w:gridCol w:w="815"/>
        <w:gridCol w:w="36"/>
        <w:gridCol w:w="36"/>
        <w:gridCol w:w="36"/>
        <w:gridCol w:w="36"/>
        <w:gridCol w:w="122"/>
        <w:gridCol w:w="710"/>
        <w:gridCol w:w="37"/>
        <w:gridCol w:w="36"/>
        <w:gridCol w:w="36"/>
        <w:gridCol w:w="36"/>
        <w:gridCol w:w="85"/>
        <w:gridCol w:w="892"/>
        <w:gridCol w:w="181"/>
        <w:gridCol w:w="36"/>
        <w:gridCol w:w="36"/>
        <w:gridCol w:w="36"/>
        <w:gridCol w:w="94"/>
        <w:gridCol w:w="995"/>
        <w:gridCol w:w="181"/>
      </w:tblGrid>
      <w:tr w:rsidR="002661BA" w14:paraId="22CFABFE" w14:textId="77777777">
        <w:tc>
          <w:tcPr>
            <w:tcW w:w="50" w:type="pct"/>
            <w:shd w:val="clear" w:color="auto" w:fill="auto"/>
            <w:vAlign w:val="bottom"/>
          </w:tcPr>
          <w:p w14:paraId="22CFABDA" w14:textId="77777777" w:rsidR="002661BA" w:rsidRDefault="002661BA">
            <w:pPr>
              <w:rPr>
                <w:rFonts w:ascii="宋体"/>
              </w:rPr>
            </w:pPr>
          </w:p>
        </w:tc>
        <w:tc>
          <w:tcPr>
            <w:tcW w:w="1290" w:type="pct"/>
            <w:shd w:val="clear" w:color="auto" w:fill="auto"/>
            <w:vAlign w:val="bottom"/>
          </w:tcPr>
          <w:p w14:paraId="22CFABDB" w14:textId="77777777" w:rsidR="002661BA" w:rsidRDefault="002661BA">
            <w:pPr>
              <w:rPr>
                <w:rFonts w:ascii="宋体"/>
              </w:rPr>
            </w:pPr>
          </w:p>
        </w:tc>
        <w:tc>
          <w:tcPr>
            <w:tcW w:w="5" w:type="pct"/>
            <w:shd w:val="clear" w:color="auto" w:fill="auto"/>
            <w:vAlign w:val="bottom"/>
          </w:tcPr>
          <w:p w14:paraId="22CFABDC" w14:textId="77777777" w:rsidR="002661BA" w:rsidRDefault="002661BA">
            <w:pPr>
              <w:rPr>
                <w:rFonts w:ascii="宋体"/>
              </w:rPr>
            </w:pPr>
          </w:p>
        </w:tc>
        <w:tc>
          <w:tcPr>
            <w:tcW w:w="50" w:type="pct"/>
            <w:shd w:val="clear" w:color="auto" w:fill="auto"/>
            <w:vAlign w:val="bottom"/>
          </w:tcPr>
          <w:p w14:paraId="22CFABDD" w14:textId="77777777" w:rsidR="002661BA" w:rsidRDefault="002661BA">
            <w:pPr>
              <w:rPr>
                <w:rFonts w:ascii="宋体"/>
              </w:rPr>
            </w:pPr>
          </w:p>
        </w:tc>
        <w:tc>
          <w:tcPr>
            <w:tcW w:w="529" w:type="pct"/>
            <w:shd w:val="clear" w:color="auto" w:fill="auto"/>
            <w:vAlign w:val="bottom"/>
          </w:tcPr>
          <w:p w14:paraId="22CFABDE" w14:textId="77777777" w:rsidR="002661BA" w:rsidRDefault="002661BA">
            <w:pPr>
              <w:rPr>
                <w:rFonts w:ascii="宋体"/>
              </w:rPr>
            </w:pPr>
          </w:p>
        </w:tc>
        <w:tc>
          <w:tcPr>
            <w:tcW w:w="5" w:type="pct"/>
            <w:shd w:val="clear" w:color="auto" w:fill="auto"/>
            <w:vAlign w:val="bottom"/>
          </w:tcPr>
          <w:p w14:paraId="22CFABDF" w14:textId="77777777" w:rsidR="002661BA" w:rsidRDefault="002661BA">
            <w:pPr>
              <w:rPr>
                <w:rFonts w:ascii="宋体"/>
              </w:rPr>
            </w:pPr>
          </w:p>
        </w:tc>
        <w:tc>
          <w:tcPr>
            <w:tcW w:w="5" w:type="pct"/>
            <w:shd w:val="clear" w:color="auto" w:fill="auto"/>
            <w:vAlign w:val="bottom"/>
          </w:tcPr>
          <w:p w14:paraId="22CFABE0" w14:textId="77777777" w:rsidR="002661BA" w:rsidRDefault="002661BA">
            <w:pPr>
              <w:rPr>
                <w:rFonts w:ascii="宋体"/>
              </w:rPr>
            </w:pPr>
          </w:p>
        </w:tc>
        <w:tc>
          <w:tcPr>
            <w:tcW w:w="19" w:type="pct"/>
            <w:shd w:val="clear" w:color="auto" w:fill="auto"/>
            <w:vAlign w:val="bottom"/>
          </w:tcPr>
          <w:p w14:paraId="22CFABE1" w14:textId="77777777" w:rsidR="002661BA" w:rsidRDefault="002661BA">
            <w:pPr>
              <w:rPr>
                <w:rFonts w:ascii="宋体"/>
              </w:rPr>
            </w:pPr>
          </w:p>
        </w:tc>
        <w:tc>
          <w:tcPr>
            <w:tcW w:w="5" w:type="pct"/>
            <w:shd w:val="clear" w:color="auto" w:fill="auto"/>
            <w:vAlign w:val="bottom"/>
          </w:tcPr>
          <w:p w14:paraId="22CFABE2" w14:textId="77777777" w:rsidR="002661BA" w:rsidRDefault="002661BA">
            <w:pPr>
              <w:rPr>
                <w:rFonts w:ascii="宋体"/>
              </w:rPr>
            </w:pPr>
          </w:p>
        </w:tc>
        <w:tc>
          <w:tcPr>
            <w:tcW w:w="50" w:type="pct"/>
            <w:shd w:val="clear" w:color="auto" w:fill="auto"/>
            <w:vAlign w:val="bottom"/>
          </w:tcPr>
          <w:p w14:paraId="22CFABE3" w14:textId="77777777" w:rsidR="002661BA" w:rsidRDefault="002661BA">
            <w:pPr>
              <w:rPr>
                <w:rFonts w:ascii="宋体"/>
              </w:rPr>
            </w:pPr>
          </w:p>
        </w:tc>
        <w:tc>
          <w:tcPr>
            <w:tcW w:w="529" w:type="pct"/>
            <w:shd w:val="clear" w:color="auto" w:fill="auto"/>
            <w:vAlign w:val="bottom"/>
          </w:tcPr>
          <w:p w14:paraId="22CFABE4" w14:textId="77777777" w:rsidR="002661BA" w:rsidRDefault="002661BA">
            <w:pPr>
              <w:rPr>
                <w:rFonts w:ascii="宋体"/>
              </w:rPr>
            </w:pPr>
          </w:p>
        </w:tc>
        <w:tc>
          <w:tcPr>
            <w:tcW w:w="5" w:type="pct"/>
            <w:shd w:val="clear" w:color="auto" w:fill="auto"/>
            <w:vAlign w:val="bottom"/>
          </w:tcPr>
          <w:p w14:paraId="22CFABE5" w14:textId="77777777" w:rsidR="002661BA" w:rsidRDefault="002661BA">
            <w:pPr>
              <w:rPr>
                <w:rFonts w:ascii="宋体"/>
              </w:rPr>
            </w:pPr>
          </w:p>
        </w:tc>
        <w:tc>
          <w:tcPr>
            <w:tcW w:w="5" w:type="pct"/>
            <w:shd w:val="clear" w:color="auto" w:fill="auto"/>
            <w:vAlign w:val="bottom"/>
          </w:tcPr>
          <w:p w14:paraId="22CFABE6" w14:textId="77777777" w:rsidR="002661BA" w:rsidRDefault="002661BA">
            <w:pPr>
              <w:rPr>
                <w:rFonts w:ascii="宋体"/>
              </w:rPr>
            </w:pPr>
          </w:p>
        </w:tc>
        <w:tc>
          <w:tcPr>
            <w:tcW w:w="19" w:type="pct"/>
            <w:shd w:val="clear" w:color="auto" w:fill="auto"/>
            <w:vAlign w:val="bottom"/>
          </w:tcPr>
          <w:p w14:paraId="22CFABE7" w14:textId="77777777" w:rsidR="002661BA" w:rsidRDefault="002661BA">
            <w:pPr>
              <w:rPr>
                <w:rFonts w:ascii="宋体"/>
              </w:rPr>
            </w:pPr>
          </w:p>
        </w:tc>
        <w:tc>
          <w:tcPr>
            <w:tcW w:w="5" w:type="pct"/>
            <w:shd w:val="clear" w:color="auto" w:fill="auto"/>
            <w:vAlign w:val="bottom"/>
          </w:tcPr>
          <w:p w14:paraId="22CFABE8" w14:textId="77777777" w:rsidR="002661BA" w:rsidRDefault="002661BA">
            <w:pPr>
              <w:rPr>
                <w:rFonts w:ascii="宋体"/>
              </w:rPr>
            </w:pPr>
          </w:p>
        </w:tc>
        <w:tc>
          <w:tcPr>
            <w:tcW w:w="50" w:type="pct"/>
            <w:shd w:val="clear" w:color="auto" w:fill="auto"/>
            <w:vAlign w:val="bottom"/>
          </w:tcPr>
          <w:p w14:paraId="22CFABE9" w14:textId="77777777" w:rsidR="002661BA" w:rsidRDefault="002661BA">
            <w:pPr>
              <w:rPr>
                <w:rFonts w:ascii="宋体"/>
              </w:rPr>
            </w:pPr>
          </w:p>
        </w:tc>
        <w:tc>
          <w:tcPr>
            <w:tcW w:w="529" w:type="pct"/>
            <w:shd w:val="clear" w:color="auto" w:fill="auto"/>
            <w:vAlign w:val="bottom"/>
          </w:tcPr>
          <w:p w14:paraId="22CFABEA" w14:textId="77777777" w:rsidR="002661BA" w:rsidRDefault="002661BA">
            <w:pPr>
              <w:rPr>
                <w:rFonts w:ascii="宋体"/>
              </w:rPr>
            </w:pPr>
          </w:p>
        </w:tc>
        <w:tc>
          <w:tcPr>
            <w:tcW w:w="5" w:type="pct"/>
            <w:shd w:val="clear" w:color="auto" w:fill="auto"/>
            <w:vAlign w:val="bottom"/>
          </w:tcPr>
          <w:p w14:paraId="22CFABEB" w14:textId="77777777" w:rsidR="002661BA" w:rsidRDefault="002661BA">
            <w:pPr>
              <w:rPr>
                <w:rFonts w:ascii="宋体"/>
              </w:rPr>
            </w:pPr>
          </w:p>
        </w:tc>
        <w:tc>
          <w:tcPr>
            <w:tcW w:w="5" w:type="pct"/>
            <w:shd w:val="clear" w:color="auto" w:fill="auto"/>
            <w:vAlign w:val="bottom"/>
          </w:tcPr>
          <w:p w14:paraId="22CFABEC" w14:textId="77777777" w:rsidR="002661BA" w:rsidRDefault="002661BA">
            <w:pPr>
              <w:rPr>
                <w:rFonts w:ascii="宋体"/>
              </w:rPr>
            </w:pPr>
          </w:p>
        </w:tc>
        <w:tc>
          <w:tcPr>
            <w:tcW w:w="19" w:type="pct"/>
            <w:shd w:val="clear" w:color="auto" w:fill="auto"/>
            <w:vAlign w:val="bottom"/>
          </w:tcPr>
          <w:p w14:paraId="22CFABED" w14:textId="77777777" w:rsidR="002661BA" w:rsidRDefault="002661BA">
            <w:pPr>
              <w:rPr>
                <w:rFonts w:ascii="宋体"/>
              </w:rPr>
            </w:pPr>
          </w:p>
        </w:tc>
        <w:tc>
          <w:tcPr>
            <w:tcW w:w="5" w:type="pct"/>
            <w:shd w:val="clear" w:color="auto" w:fill="auto"/>
            <w:vAlign w:val="bottom"/>
          </w:tcPr>
          <w:p w14:paraId="22CFABEE" w14:textId="77777777" w:rsidR="002661BA" w:rsidRDefault="002661BA">
            <w:pPr>
              <w:rPr>
                <w:rFonts w:ascii="宋体"/>
              </w:rPr>
            </w:pPr>
          </w:p>
        </w:tc>
        <w:tc>
          <w:tcPr>
            <w:tcW w:w="50" w:type="pct"/>
            <w:shd w:val="clear" w:color="auto" w:fill="auto"/>
            <w:vAlign w:val="bottom"/>
          </w:tcPr>
          <w:p w14:paraId="22CFABEF" w14:textId="77777777" w:rsidR="002661BA" w:rsidRDefault="002661BA">
            <w:pPr>
              <w:rPr>
                <w:rFonts w:ascii="宋体"/>
              </w:rPr>
            </w:pPr>
          </w:p>
        </w:tc>
        <w:tc>
          <w:tcPr>
            <w:tcW w:w="529" w:type="pct"/>
            <w:shd w:val="clear" w:color="auto" w:fill="auto"/>
            <w:vAlign w:val="bottom"/>
          </w:tcPr>
          <w:p w14:paraId="22CFABF0" w14:textId="77777777" w:rsidR="002661BA" w:rsidRDefault="002661BA">
            <w:pPr>
              <w:rPr>
                <w:rFonts w:ascii="宋体"/>
              </w:rPr>
            </w:pPr>
          </w:p>
        </w:tc>
        <w:tc>
          <w:tcPr>
            <w:tcW w:w="5" w:type="pct"/>
            <w:shd w:val="clear" w:color="auto" w:fill="auto"/>
            <w:vAlign w:val="bottom"/>
          </w:tcPr>
          <w:p w14:paraId="22CFABF1" w14:textId="77777777" w:rsidR="002661BA" w:rsidRDefault="002661BA">
            <w:pPr>
              <w:rPr>
                <w:rFonts w:ascii="宋体"/>
              </w:rPr>
            </w:pPr>
          </w:p>
        </w:tc>
        <w:tc>
          <w:tcPr>
            <w:tcW w:w="5" w:type="pct"/>
            <w:shd w:val="clear" w:color="auto" w:fill="auto"/>
            <w:vAlign w:val="bottom"/>
          </w:tcPr>
          <w:p w14:paraId="22CFABF2" w14:textId="77777777" w:rsidR="002661BA" w:rsidRDefault="002661BA">
            <w:pPr>
              <w:rPr>
                <w:rFonts w:ascii="宋体"/>
              </w:rPr>
            </w:pPr>
          </w:p>
        </w:tc>
        <w:tc>
          <w:tcPr>
            <w:tcW w:w="19" w:type="pct"/>
            <w:shd w:val="clear" w:color="auto" w:fill="auto"/>
            <w:vAlign w:val="bottom"/>
          </w:tcPr>
          <w:p w14:paraId="22CFABF3" w14:textId="77777777" w:rsidR="002661BA" w:rsidRDefault="002661BA">
            <w:pPr>
              <w:rPr>
                <w:rFonts w:ascii="宋体"/>
              </w:rPr>
            </w:pPr>
          </w:p>
        </w:tc>
        <w:tc>
          <w:tcPr>
            <w:tcW w:w="5" w:type="pct"/>
            <w:shd w:val="clear" w:color="auto" w:fill="auto"/>
            <w:vAlign w:val="bottom"/>
          </w:tcPr>
          <w:p w14:paraId="22CFABF4" w14:textId="77777777" w:rsidR="002661BA" w:rsidRDefault="002661BA">
            <w:pPr>
              <w:rPr>
                <w:rFonts w:ascii="宋体"/>
              </w:rPr>
            </w:pPr>
          </w:p>
        </w:tc>
        <w:tc>
          <w:tcPr>
            <w:tcW w:w="50" w:type="pct"/>
            <w:shd w:val="clear" w:color="auto" w:fill="auto"/>
            <w:vAlign w:val="bottom"/>
          </w:tcPr>
          <w:p w14:paraId="22CFABF5" w14:textId="77777777" w:rsidR="002661BA" w:rsidRDefault="002661BA">
            <w:pPr>
              <w:rPr>
                <w:rFonts w:ascii="宋体"/>
              </w:rPr>
            </w:pPr>
          </w:p>
        </w:tc>
        <w:tc>
          <w:tcPr>
            <w:tcW w:w="529" w:type="pct"/>
            <w:shd w:val="clear" w:color="auto" w:fill="auto"/>
            <w:vAlign w:val="bottom"/>
          </w:tcPr>
          <w:p w14:paraId="22CFABF6" w14:textId="77777777" w:rsidR="002661BA" w:rsidRDefault="002661BA">
            <w:pPr>
              <w:rPr>
                <w:rFonts w:ascii="宋体"/>
              </w:rPr>
            </w:pPr>
          </w:p>
        </w:tc>
        <w:tc>
          <w:tcPr>
            <w:tcW w:w="5" w:type="pct"/>
            <w:shd w:val="clear" w:color="auto" w:fill="auto"/>
            <w:vAlign w:val="bottom"/>
          </w:tcPr>
          <w:p w14:paraId="22CFABF7" w14:textId="77777777" w:rsidR="002661BA" w:rsidRDefault="002661BA">
            <w:pPr>
              <w:rPr>
                <w:rFonts w:ascii="宋体"/>
              </w:rPr>
            </w:pPr>
          </w:p>
        </w:tc>
        <w:tc>
          <w:tcPr>
            <w:tcW w:w="5" w:type="pct"/>
            <w:shd w:val="clear" w:color="auto" w:fill="auto"/>
            <w:vAlign w:val="bottom"/>
          </w:tcPr>
          <w:p w14:paraId="22CFABF8" w14:textId="77777777" w:rsidR="002661BA" w:rsidRDefault="002661BA">
            <w:pPr>
              <w:rPr>
                <w:rFonts w:ascii="宋体"/>
              </w:rPr>
            </w:pPr>
          </w:p>
        </w:tc>
        <w:tc>
          <w:tcPr>
            <w:tcW w:w="19" w:type="pct"/>
            <w:shd w:val="clear" w:color="auto" w:fill="auto"/>
            <w:vAlign w:val="bottom"/>
          </w:tcPr>
          <w:p w14:paraId="22CFABF9" w14:textId="77777777" w:rsidR="002661BA" w:rsidRDefault="002661BA">
            <w:pPr>
              <w:rPr>
                <w:rFonts w:ascii="宋体"/>
              </w:rPr>
            </w:pPr>
          </w:p>
        </w:tc>
        <w:tc>
          <w:tcPr>
            <w:tcW w:w="5" w:type="pct"/>
            <w:shd w:val="clear" w:color="auto" w:fill="auto"/>
            <w:vAlign w:val="bottom"/>
          </w:tcPr>
          <w:p w14:paraId="22CFABFA" w14:textId="77777777" w:rsidR="002661BA" w:rsidRDefault="002661BA">
            <w:pPr>
              <w:rPr>
                <w:rFonts w:ascii="宋体"/>
              </w:rPr>
            </w:pPr>
          </w:p>
        </w:tc>
        <w:tc>
          <w:tcPr>
            <w:tcW w:w="50" w:type="pct"/>
            <w:shd w:val="clear" w:color="auto" w:fill="auto"/>
            <w:vAlign w:val="bottom"/>
          </w:tcPr>
          <w:p w14:paraId="22CFABFB" w14:textId="77777777" w:rsidR="002661BA" w:rsidRDefault="002661BA">
            <w:pPr>
              <w:rPr>
                <w:rFonts w:ascii="宋体"/>
              </w:rPr>
            </w:pPr>
          </w:p>
        </w:tc>
        <w:tc>
          <w:tcPr>
            <w:tcW w:w="530" w:type="pct"/>
            <w:shd w:val="clear" w:color="auto" w:fill="auto"/>
            <w:vAlign w:val="bottom"/>
          </w:tcPr>
          <w:p w14:paraId="22CFABFC" w14:textId="77777777" w:rsidR="002661BA" w:rsidRDefault="002661BA">
            <w:pPr>
              <w:rPr>
                <w:rFonts w:ascii="宋体"/>
              </w:rPr>
            </w:pPr>
          </w:p>
        </w:tc>
        <w:tc>
          <w:tcPr>
            <w:tcW w:w="5" w:type="pct"/>
            <w:shd w:val="clear" w:color="auto" w:fill="auto"/>
            <w:vAlign w:val="bottom"/>
          </w:tcPr>
          <w:p w14:paraId="22CFABFD" w14:textId="77777777" w:rsidR="002661BA" w:rsidRDefault="002661BA">
            <w:pPr>
              <w:rPr>
                <w:rFonts w:ascii="宋体"/>
              </w:rPr>
            </w:pPr>
          </w:p>
        </w:tc>
      </w:tr>
      <w:tr w:rsidR="002661BA" w14:paraId="22CFAC05" w14:textId="77777777">
        <w:tc>
          <w:tcPr>
            <w:tcW w:w="0" w:type="auto"/>
            <w:gridSpan w:val="3"/>
            <w:shd w:val="clear" w:color="auto" w:fill="auto"/>
            <w:tcMar>
              <w:top w:w="0" w:type="dxa"/>
              <w:left w:w="20" w:type="dxa"/>
              <w:bottom w:w="0" w:type="dxa"/>
              <w:right w:w="20" w:type="dxa"/>
            </w:tcMar>
            <w:vAlign w:val="bottom"/>
          </w:tcPr>
          <w:p w14:paraId="22CFABFF" w14:textId="77777777" w:rsidR="002661BA" w:rsidRDefault="002661BA">
            <w:pPr>
              <w:rPr>
                <w:rFonts w:ascii="宋体"/>
              </w:rPr>
            </w:pPr>
          </w:p>
        </w:tc>
        <w:tc>
          <w:tcPr>
            <w:tcW w:w="0" w:type="auto"/>
            <w:gridSpan w:val="21"/>
            <w:shd w:val="clear" w:color="auto" w:fill="auto"/>
            <w:tcMar>
              <w:top w:w="40" w:type="dxa"/>
              <w:left w:w="20" w:type="dxa"/>
              <w:bottom w:w="40" w:type="dxa"/>
              <w:right w:w="20" w:type="dxa"/>
            </w:tcMar>
            <w:vAlign w:val="bottom"/>
          </w:tcPr>
          <w:p w14:paraId="22CFAC00" w14:textId="77777777" w:rsidR="002661BA" w:rsidRDefault="00D972BC">
            <w:pPr>
              <w:jc w:val="center"/>
              <w:textAlignment w:val="bottom"/>
            </w:pPr>
            <w:r>
              <w:rPr>
                <w:rFonts w:ascii="Arial" w:eastAsia="宋体" w:hAnsi="Arial" w:cs="Arial"/>
                <w:b/>
                <w:bCs/>
                <w:color w:val="000000"/>
                <w:sz w:val="17"/>
                <w:szCs w:val="17"/>
              </w:rPr>
              <w:t>Year Ended Year Ended December 31,</w:t>
            </w:r>
          </w:p>
        </w:tc>
        <w:tc>
          <w:tcPr>
            <w:tcW w:w="0" w:type="auto"/>
            <w:gridSpan w:val="3"/>
            <w:shd w:val="clear" w:color="auto" w:fill="auto"/>
            <w:tcMar>
              <w:top w:w="0" w:type="dxa"/>
              <w:left w:w="20" w:type="dxa"/>
              <w:bottom w:w="0" w:type="dxa"/>
              <w:right w:w="20" w:type="dxa"/>
            </w:tcMar>
            <w:vAlign w:val="bottom"/>
          </w:tcPr>
          <w:p w14:paraId="22CFAC0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C0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C0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C04" w14:textId="77777777" w:rsidR="002661BA" w:rsidRDefault="002661BA">
            <w:pPr>
              <w:rPr>
                <w:rFonts w:ascii="宋体"/>
              </w:rPr>
            </w:pPr>
          </w:p>
        </w:tc>
      </w:tr>
      <w:tr w:rsidR="002661BA" w14:paraId="22CFAC0E" w14:textId="77777777">
        <w:tc>
          <w:tcPr>
            <w:tcW w:w="0" w:type="auto"/>
            <w:gridSpan w:val="3"/>
            <w:shd w:val="clear" w:color="auto" w:fill="auto"/>
            <w:tcMar>
              <w:top w:w="40" w:type="dxa"/>
              <w:left w:w="20" w:type="dxa"/>
              <w:bottom w:w="40" w:type="dxa"/>
              <w:right w:w="20" w:type="dxa"/>
            </w:tcMar>
            <w:vAlign w:val="bottom"/>
          </w:tcPr>
          <w:p w14:paraId="22CFAC06" w14:textId="77777777" w:rsidR="002661BA" w:rsidRDefault="00D972BC">
            <w:pPr>
              <w:textAlignment w:val="bottom"/>
            </w:pPr>
            <w:r>
              <w:rPr>
                <w:rFonts w:ascii="Arial" w:eastAsia="宋体" w:hAnsi="Arial" w:cs="Arial"/>
                <w:b/>
                <w:bCs/>
                <w:color w:val="000000"/>
                <w:sz w:val="17"/>
                <w:szCs w:val="17"/>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2CFAC07"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C08"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C09" w14:textId="77777777" w:rsidR="002661BA" w:rsidRDefault="00D972BC">
            <w:pPr>
              <w:jc w:val="center"/>
              <w:textAlignment w:val="bottom"/>
            </w:pPr>
            <w:r>
              <w:rPr>
                <w:rFonts w:ascii="Arial" w:eastAsia="宋体" w:hAnsi="Arial" w:cs="Arial"/>
                <w:b/>
                <w:bCs/>
                <w:color w:val="000000"/>
                <w:sz w:val="17"/>
                <w:szCs w:val="17"/>
              </w:rPr>
              <w:t>2019</w:t>
            </w:r>
          </w:p>
        </w:tc>
        <w:tc>
          <w:tcPr>
            <w:tcW w:w="0" w:type="auto"/>
            <w:gridSpan w:val="3"/>
            <w:shd w:val="clear" w:color="auto" w:fill="auto"/>
            <w:tcMar>
              <w:top w:w="0" w:type="dxa"/>
              <w:left w:w="20" w:type="dxa"/>
              <w:bottom w:w="0" w:type="dxa"/>
              <w:right w:w="20" w:type="dxa"/>
            </w:tcMar>
            <w:vAlign w:val="bottom"/>
          </w:tcPr>
          <w:p w14:paraId="22CFAC0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C0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C0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C0D" w14:textId="77777777" w:rsidR="002661BA" w:rsidRDefault="002661BA">
            <w:pPr>
              <w:rPr>
                <w:rFonts w:ascii="宋体"/>
              </w:rPr>
            </w:pPr>
          </w:p>
        </w:tc>
      </w:tr>
      <w:tr w:rsidR="002661BA" w14:paraId="22CFAC1B" w14:textId="77777777">
        <w:tc>
          <w:tcPr>
            <w:tcW w:w="0" w:type="auto"/>
            <w:gridSpan w:val="3"/>
            <w:shd w:val="clear" w:color="auto" w:fill="auto"/>
            <w:tcMar>
              <w:top w:w="40" w:type="dxa"/>
              <w:left w:w="20" w:type="dxa"/>
              <w:bottom w:w="40" w:type="dxa"/>
              <w:right w:w="20" w:type="dxa"/>
            </w:tcMar>
            <w:vAlign w:val="bottom"/>
          </w:tcPr>
          <w:p w14:paraId="22CFAC0F" w14:textId="77777777" w:rsidR="002661BA" w:rsidRDefault="00D972BC">
            <w:pPr>
              <w:textAlignment w:val="bottom"/>
            </w:pPr>
            <w:r>
              <w:rPr>
                <w:rFonts w:ascii="Arial" w:eastAsia="宋体" w:hAnsi="Arial" w:cs="Arial"/>
                <w:b/>
                <w:bCs/>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C10" w14:textId="77777777" w:rsidR="002661BA" w:rsidRDefault="00D972BC">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C11"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C12" w14:textId="77777777" w:rsidR="002661BA" w:rsidRDefault="00D972BC">
            <w:pPr>
              <w:jc w:val="center"/>
              <w:textAlignment w:val="bottom"/>
            </w:pPr>
            <w:r>
              <w:rPr>
                <w:rFonts w:ascii="Arial" w:eastAsia="宋体" w:hAnsi="Arial" w:cs="Arial"/>
                <w:b/>
                <w:bCs/>
                <w:color w:val="000000"/>
                <w:sz w:val="17"/>
                <w:szCs w:val="17"/>
              </w:rPr>
              <w:t xml:space="preserve">Exchange Rate Effect </w:t>
            </w:r>
            <w:r>
              <w:rPr>
                <w:rFonts w:ascii="Arial" w:eastAsia="宋体" w:hAnsi="Arial" w:cs="Arial"/>
                <w:b/>
                <w:bCs/>
                <w:color w:val="000000"/>
                <w:sz w:val="11"/>
                <w:szCs w:val="11"/>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C13"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C14" w14:textId="77777777" w:rsidR="002661BA" w:rsidRDefault="00D972BC">
            <w:pPr>
              <w:jc w:val="center"/>
              <w:textAlignment w:val="bottom"/>
            </w:pPr>
            <w:r>
              <w:rPr>
                <w:rFonts w:ascii="Arial" w:eastAsia="宋体" w:hAnsi="Arial" w:cs="Arial"/>
                <w:b/>
                <w:bCs/>
                <w:color w:val="000000"/>
                <w:sz w:val="17"/>
                <w:szCs w:val="17"/>
              </w:rPr>
              <w:t xml:space="preserve">FX-Neutral </w:t>
            </w:r>
            <w:r>
              <w:rPr>
                <w:rFonts w:ascii="Arial" w:eastAsia="宋体" w:hAnsi="Arial" w:cs="Arial"/>
                <w:b/>
                <w:bCs/>
                <w:color w:val="000000"/>
                <w:sz w:val="11"/>
                <w:szCs w:val="11"/>
              </w:rPr>
              <w:t>(2)</w:t>
            </w:r>
          </w:p>
        </w:tc>
        <w:tc>
          <w:tcPr>
            <w:tcW w:w="0" w:type="auto"/>
            <w:gridSpan w:val="3"/>
            <w:shd w:val="clear" w:color="auto" w:fill="auto"/>
            <w:tcMar>
              <w:top w:w="0" w:type="dxa"/>
              <w:left w:w="20" w:type="dxa"/>
              <w:bottom w:w="0" w:type="dxa"/>
              <w:right w:w="20" w:type="dxa"/>
            </w:tcMar>
            <w:vAlign w:val="bottom"/>
          </w:tcPr>
          <w:p w14:paraId="22CFAC15"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C16" w14:textId="77777777" w:rsidR="002661BA" w:rsidRDefault="00D972BC">
            <w:pPr>
              <w:jc w:val="center"/>
              <w:textAlignment w:val="bottom"/>
            </w:pPr>
            <w:r>
              <w:rPr>
                <w:rFonts w:ascii="Arial" w:eastAsia="宋体" w:hAnsi="Arial" w:cs="Arial"/>
                <w:b/>
                <w:bCs/>
                <w:color w:val="000000"/>
                <w:sz w:val="17"/>
                <w:szCs w:val="17"/>
              </w:rPr>
              <w:t>As Reported</w:t>
            </w:r>
          </w:p>
        </w:tc>
        <w:tc>
          <w:tcPr>
            <w:tcW w:w="0" w:type="auto"/>
            <w:gridSpan w:val="3"/>
            <w:shd w:val="clear" w:color="auto" w:fill="auto"/>
            <w:tcMar>
              <w:top w:w="0" w:type="dxa"/>
              <w:left w:w="20" w:type="dxa"/>
              <w:bottom w:w="0" w:type="dxa"/>
              <w:right w:w="20" w:type="dxa"/>
            </w:tcMar>
            <w:vAlign w:val="bottom"/>
          </w:tcPr>
          <w:p w14:paraId="22CFAC17"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AC18" w14:textId="77777777" w:rsidR="002661BA" w:rsidRDefault="00D972BC">
            <w:pPr>
              <w:jc w:val="center"/>
              <w:textAlignment w:val="bottom"/>
            </w:pPr>
            <w:r>
              <w:rPr>
                <w:rFonts w:ascii="Arial" w:eastAsia="宋体" w:hAnsi="Arial" w:cs="Arial"/>
                <w:b/>
                <w:bCs/>
                <w:color w:val="000000"/>
                <w:sz w:val="17"/>
                <w:szCs w:val="17"/>
              </w:rPr>
              <w:t>As Reported % Change</w:t>
            </w:r>
          </w:p>
        </w:tc>
        <w:tc>
          <w:tcPr>
            <w:tcW w:w="0" w:type="auto"/>
            <w:gridSpan w:val="3"/>
            <w:shd w:val="clear" w:color="auto" w:fill="auto"/>
            <w:tcMar>
              <w:top w:w="0" w:type="dxa"/>
              <w:left w:w="20" w:type="dxa"/>
              <w:bottom w:w="0" w:type="dxa"/>
              <w:right w:w="20" w:type="dxa"/>
            </w:tcMar>
            <w:vAlign w:val="bottom"/>
          </w:tcPr>
          <w:p w14:paraId="22CFAC19"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AC1A" w14:textId="77777777" w:rsidR="002661BA" w:rsidRDefault="00D972BC">
            <w:pPr>
              <w:jc w:val="center"/>
              <w:textAlignment w:val="bottom"/>
            </w:pPr>
            <w:r>
              <w:rPr>
                <w:rFonts w:ascii="Arial" w:eastAsia="宋体" w:hAnsi="Arial" w:cs="Arial"/>
                <w:b/>
                <w:bCs/>
                <w:color w:val="000000"/>
                <w:sz w:val="17"/>
                <w:szCs w:val="17"/>
              </w:rPr>
              <w:t>FX-Neutral % Change</w:t>
            </w:r>
          </w:p>
        </w:tc>
      </w:tr>
      <w:tr w:rsidR="002661BA" w14:paraId="22CFAC32" w14:textId="77777777">
        <w:tc>
          <w:tcPr>
            <w:tcW w:w="0" w:type="auto"/>
            <w:gridSpan w:val="3"/>
            <w:shd w:val="clear" w:color="auto" w:fill="E2E2E2"/>
            <w:tcMar>
              <w:top w:w="40" w:type="dxa"/>
              <w:left w:w="35" w:type="dxa"/>
              <w:bottom w:w="40" w:type="dxa"/>
              <w:right w:w="20" w:type="dxa"/>
            </w:tcMar>
            <w:vAlign w:val="bottom"/>
          </w:tcPr>
          <w:p w14:paraId="22CFAC1C" w14:textId="77777777" w:rsidR="002661BA" w:rsidRDefault="00D972BC">
            <w:pPr>
              <w:textAlignment w:val="bottom"/>
            </w:pPr>
            <w:r>
              <w:rPr>
                <w:rFonts w:ascii="Arial" w:eastAsia="宋体" w:hAnsi="Arial" w:cs="Arial"/>
                <w:b/>
                <w:bCs/>
                <w:color w:val="000000"/>
                <w:sz w:val="18"/>
                <w:szCs w:val="18"/>
              </w:rPr>
              <w:t>GMV</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AC1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C1E" w14:textId="77777777" w:rsidR="002661BA" w:rsidRDefault="00D972BC">
            <w:pPr>
              <w:jc w:val="right"/>
              <w:textAlignment w:val="bottom"/>
            </w:pPr>
            <w:r>
              <w:rPr>
                <w:rFonts w:ascii="Arial" w:eastAsia="宋体" w:hAnsi="Arial" w:cs="Arial"/>
                <w:color w:val="000000"/>
                <w:sz w:val="18"/>
                <w:szCs w:val="18"/>
              </w:rPr>
              <w:t>87,6</w:t>
            </w:r>
            <w:r>
              <w:rPr>
                <w:rFonts w:ascii="Arial" w:eastAsia="宋体" w:hAnsi="Arial" w:cs="Arial"/>
                <w:color w:val="000000"/>
                <w:sz w:val="18"/>
                <w:szCs w:val="18"/>
              </w:rPr>
              <w:t>08 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C1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C20"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AC2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C22" w14:textId="77777777" w:rsidR="002661BA" w:rsidRDefault="00D972BC">
            <w:pPr>
              <w:jc w:val="right"/>
              <w:textAlignment w:val="bottom"/>
            </w:pPr>
            <w:r>
              <w:rPr>
                <w:rFonts w:ascii="Arial" w:eastAsia="宋体" w:hAnsi="Arial" w:cs="Arial"/>
                <w:color w:val="000000"/>
                <w:sz w:val="18"/>
                <w:szCs w:val="18"/>
              </w:rPr>
              <w:t>46 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C23"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C24"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AC2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C26" w14:textId="77777777" w:rsidR="002661BA" w:rsidRDefault="00D972BC">
            <w:pPr>
              <w:jc w:val="right"/>
              <w:textAlignment w:val="bottom"/>
            </w:pPr>
            <w:r>
              <w:rPr>
                <w:rFonts w:ascii="Arial" w:eastAsia="宋体" w:hAnsi="Arial" w:cs="Arial"/>
                <w:color w:val="000000"/>
                <w:sz w:val="18"/>
                <w:szCs w:val="18"/>
              </w:rPr>
              <w:t>87,562 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C27"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C28"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AC2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C2A" w14:textId="77777777" w:rsidR="002661BA" w:rsidRDefault="00D972BC">
            <w:pPr>
              <w:jc w:val="right"/>
              <w:textAlignment w:val="bottom"/>
            </w:pPr>
            <w:r>
              <w:rPr>
                <w:rFonts w:ascii="Arial" w:eastAsia="宋体" w:hAnsi="Arial" w:cs="Arial"/>
                <w:color w:val="000000"/>
                <w:sz w:val="18"/>
                <w:szCs w:val="18"/>
              </w:rPr>
              <w:t>72,134 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C2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C2C"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C2D" w14:textId="77777777" w:rsidR="002661BA" w:rsidRDefault="00D972BC">
            <w:pPr>
              <w:jc w:val="right"/>
              <w:textAlignment w:val="bottom"/>
            </w:pPr>
            <w:r>
              <w:rPr>
                <w:rFonts w:ascii="Arial" w:eastAsia="宋体" w:hAnsi="Arial" w:cs="Arial"/>
                <w:color w:val="000000"/>
                <w:sz w:val="18"/>
                <w:szCs w:val="18"/>
              </w:rPr>
              <w:t>21 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C2E"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C2F"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AC30" w14:textId="77777777" w:rsidR="002661BA" w:rsidRDefault="00D972BC">
            <w:pPr>
              <w:jc w:val="right"/>
              <w:textAlignment w:val="bottom"/>
            </w:pPr>
            <w:r>
              <w:rPr>
                <w:rFonts w:ascii="Arial" w:eastAsia="宋体" w:hAnsi="Arial" w:cs="Arial"/>
                <w:color w:val="000000"/>
                <w:sz w:val="18"/>
                <w:szCs w:val="18"/>
              </w:rPr>
              <w:t>21 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C31" w14:textId="77777777" w:rsidR="002661BA" w:rsidRDefault="00D972BC">
            <w:pPr>
              <w:jc w:val="right"/>
              <w:textAlignment w:val="bottom"/>
            </w:pPr>
            <w:r>
              <w:rPr>
                <w:rFonts w:ascii="Arial" w:eastAsia="宋体" w:hAnsi="Arial" w:cs="Arial"/>
                <w:color w:val="000000"/>
                <w:sz w:val="18"/>
                <w:szCs w:val="18"/>
              </w:rPr>
              <w:t>%</w:t>
            </w:r>
          </w:p>
        </w:tc>
      </w:tr>
      <w:tr w:rsidR="002661BA" w14:paraId="22CFAC3F" w14:textId="77777777">
        <w:trPr>
          <w:hidden/>
        </w:trPr>
        <w:tc>
          <w:tcPr>
            <w:tcW w:w="0" w:type="auto"/>
            <w:gridSpan w:val="3"/>
            <w:shd w:val="clear" w:color="auto" w:fill="auto"/>
            <w:vAlign w:val="bottom"/>
          </w:tcPr>
          <w:p w14:paraId="22CFAC33" w14:textId="77777777" w:rsidR="002661BA" w:rsidRDefault="002661BA">
            <w:pPr>
              <w:rPr>
                <w:rFonts w:ascii="宋体"/>
                <w:vanish/>
              </w:rPr>
            </w:pPr>
          </w:p>
        </w:tc>
        <w:tc>
          <w:tcPr>
            <w:tcW w:w="0" w:type="auto"/>
            <w:gridSpan w:val="3"/>
            <w:shd w:val="clear" w:color="auto" w:fill="auto"/>
            <w:vAlign w:val="bottom"/>
          </w:tcPr>
          <w:p w14:paraId="22CFAC34" w14:textId="77777777" w:rsidR="002661BA" w:rsidRDefault="002661BA">
            <w:pPr>
              <w:rPr>
                <w:rFonts w:ascii="宋体"/>
                <w:vanish/>
              </w:rPr>
            </w:pPr>
          </w:p>
        </w:tc>
        <w:tc>
          <w:tcPr>
            <w:tcW w:w="0" w:type="auto"/>
            <w:gridSpan w:val="3"/>
            <w:shd w:val="clear" w:color="auto" w:fill="auto"/>
            <w:vAlign w:val="bottom"/>
          </w:tcPr>
          <w:p w14:paraId="22CFAC35" w14:textId="77777777" w:rsidR="002661BA" w:rsidRDefault="002661BA">
            <w:pPr>
              <w:rPr>
                <w:rFonts w:ascii="宋体"/>
                <w:vanish/>
              </w:rPr>
            </w:pPr>
          </w:p>
        </w:tc>
        <w:tc>
          <w:tcPr>
            <w:tcW w:w="0" w:type="auto"/>
            <w:gridSpan w:val="3"/>
            <w:shd w:val="clear" w:color="auto" w:fill="auto"/>
            <w:vAlign w:val="bottom"/>
          </w:tcPr>
          <w:p w14:paraId="22CFAC36" w14:textId="77777777" w:rsidR="002661BA" w:rsidRDefault="002661BA">
            <w:pPr>
              <w:rPr>
                <w:rFonts w:ascii="宋体"/>
                <w:vanish/>
              </w:rPr>
            </w:pPr>
          </w:p>
        </w:tc>
        <w:tc>
          <w:tcPr>
            <w:tcW w:w="0" w:type="auto"/>
            <w:gridSpan w:val="3"/>
            <w:shd w:val="clear" w:color="auto" w:fill="auto"/>
            <w:vAlign w:val="bottom"/>
          </w:tcPr>
          <w:p w14:paraId="22CFAC37" w14:textId="77777777" w:rsidR="002661BA" w:rsidRDefault="002661BA">
            <w:pPr>
              <w:rPr>
                <w:rFonts w:ascii="宋体"/>
                <w:vanish/>
              </w:rPr>
            </w:pPr>
          </w:p>
        </w:tc>
        <w:tc>
          <w:tcPr>
            <w:tcW w:w="0" w:type="auto"/>
            <w:gridSpan w:val="3"/>
            <w:shd w:val="clear" w:color="auto" w:fill="auto"/>
            <w:vAlign w:val="bottom"/>
          </w:tcPr>
          <w:p w14:paraId="22CFAC38" w14:textId="77777777" w:rsidR="002661BA" w:rsidRDefault="002661BA">
            <w:pPr>
              <w:rPr>
                <w:rFonts w:ascii="宋体"/>
                <w:vanish/>
              </w:rPr>
            </w:pPr>
          </w:p>
        </w:tc>
        <w:tc>
          <w:tcPr>
            <w:tcW w:w="0" w:type="auto"/>
            <w:gridSpan w:val="3"/>
            <w:shd w:val="clear" w:color="auto" w:fill="auto"/>
            <w:vAlign w:val="bottom"/>
          </w:tcPr>
          <w:p w14:paraId="22CFAC39" w14:textId="77777777" w:rsidR="002661BA" w:rsidRDefault="002661BA">
            <w:pPr>
              <w:rPr>
                <w:rFonts w:ascii="宋体"/>
                <w:vanish/>
              </w:rPr>
            </w:pPr>
          </w:p>
        </w:tc>
        <w:tc>
          <w:tcPr>
            <w:tcW w:w="0" w:type="auto"/>
            <w:gridSpan w:val="3"/>
            <w:shd w:val="clear" w:color="auto" w:fill="auto"/>
            <w:vAlign w:val="bottom"/>
          </w:tcPr>
          <w:p w14:paraId="22CFAC3A" w14:textId="77777777" w:rsidR="002661BA" w:rsidRDefault="002661BA">
            <w:pPr>
              <w:rPr>
                <w:rFonts w:ascii="宋体"/>
                <w:vanish/>
              </w:rPr>
            </w:pPr>
          </w:p>
        </w:tc>
        <w:tc>
          <w:tcPr>
            <w:tcW w:w="0" w:type="auto"/>
            <w:gridSpan w:val="3"/>
            <w:shd w:val="clear" w:color="auto" w:fill="auto"/>
            <w:vAlign w:val="bottom"/>
          </w:tcPr>
          <w:p w14:paraId="22CFAC3B" w14:textId="77777777" w:rsidR="002661BA" w:rsidRDefault="002661BA">
            <w:pPr>
              <w:rPr>
                <w:rFonts w:ascii="宋体"/>
                <w:vanish/>
              </w:rPr>
            </w:pPr>
          </w:p>
        </w:tc>
        <w:tc>
          <w:tcPr>
            <w:tcW w:w="0" w:type="auto"/>
            <w:gridSpan w:val="3"/>
            <w:shd w:val="clear" w:color="auto" w:fill="auto"/>
            <w:vAlign w:val="bottom"/>
          </w:tcPr>
          <w:p w14:paraId="22CFAC3C" w14:textId="77777777" w:rsidR="002661BA" w:rsidRDefault="002661BA">
            <w:pPr>
              <w:rPr>
                <w:rFonts w:ascii="宋体"/>
                <w:vanish/>
              </w:rPr>
            </w:pPr>
          </w:p>
        </w:tc>
        <w:tc>
          <w:tcPr>
            <w:tcW w:w="0" w:type="auto"/>
            <w:gridSpan w:val="3"/>
            <w:shd w:val="clear" w:color="auto" w:fill="auto"/>
            <w:vAlign w:val="bottom"/>
          </w:tcPr>
          <w:p w14:paraId="22CFAC3D" w14:textId="77777777" w:rsidR="002661BA" w:rsidRDefault="002661BA">
            <w:pPr>
              <w:rPr>
                <w:rFonts w:ascii="宋体"/>
                <w:vanish/>
              </w:rPr>
            </w:pPr>
          </w:p>
        </w:tc>
        <w:tc>
          <w:tcPr>
            <w:tcW w:w="0" w:type="auto"/>
            <w:gridSpan w:val="3"/>
            <w:shd w:val="clear" w:color="auto" w:fill="auto"/>
            <w:vAlign w:val="bottom"/>
          </w:tcPr>
          <w:p w14:paraId="22CFAC3E" w14:textId="77777777" w:rsidR="002661BA" w:rsidRDefault="002661BA">
            <w:pPr>
              <w:rPr>
                <w:rFonts w:ascii="宋体"/>
                <w:vanish/>
              </w:rPr>
            </w:pPr>
          </w:p>
        </w:tc>
      </w:tr>
      <w:tr w:rsidR="002661BA" w14:paraId="22CFAC4C" w14:textId="77777777">
        <w:trPr>
          <w:hidden/>
        </w:trPr>
        <w:tc>
          <w:tcPr>
            <w:tcW w:w="0" w:type="auto"/>
            <w:gridSpan w:val="3"/>
            <w:shd w:val="clear" w:color="auto" w:fill="auto"/>
            <w:vAlign w:val="bottom"/>
          </w:tcPr>
          <w:p w14:paraId="22CFAC40" w14:textId="77777777" w:rsidR="002661BA" w:rsidRDefault="002661BA">
            <w:pPr>
              <w:rPr>
                <w:rFonts w:ascii="宋体"/>
                <w:vanish/>
              </w:rPr>
            </w:pPr>
          </w:p>
        </w:tc>
        <w:tc>
          <w:tcPr>
            <w:tcW w:w="0" w:type="auto"/>
            <w:gridSpan w:val="3"/>
            <w:shd w:val="clear" w:color="auto" w:fill="auto"/>
            <w:vAlign w:val="bottom"/>
          </w:tcPr>
          <w:p w14:paraId="22CFAC41" w14:textId="77777777" w:rsidR="002661BA" w:rsidRDefault="002661BA">
            <w:pPr>
              <w:rPr>
                <w:rFonts w:ascii="宋体"/>
                <w:vanish/>
              </w:rPr>
            </w:pPr>
          </w:p>
        </w:tc>
        <w:tc>
          <w:tcPr>
            <w:tcW w:w="0" w:type="auto"/>
            <w:gridSpan w:val="3"/>
            <w:shd w:val="clear" w:color="auto" w:fill="auto"/>
            <w:vAlign w:val="bottom"/>
          </w:tcPr>
          <w:p w14:paraId="22CFAC42" w14:textId="77777777" w:rsidR="002661BA" w:rsidRDefault="002661BA">
            <w:pPr>
              <w:rPr>
                <w:rFonts w:ascii="宋体"/>
                <w:vanish/>
              </w:rPr>
            </w:pPr>
          </w:p>
        </w:tc>
        <w:tc>
          <w:tcPr>
            <w:tcW w:w="0" w:type="auto"/>
            <w:gridSpan w:val="3"/>
            <w:shd w:val="clear" w:color="auto" w:fill="auto"/>
            <w:vAlign w:val="bottom"/>
          </w:tcPr>
          <w:p w14:paraId="22CFAC43" w14:textId="77777777" w:rsidR="002661BA" w:rsidRDefault="002661BA">
            <w:pPr>
              <w:rPr>
                <w:rFonts w:ascii="宋体"/>
                <w:vanish/>
              </w:rPr>
            </w:pPr>
          </w:p>
        </w:tc>
        <w:tc>
          <w:tcPr>
            <w:tcW w:w="0" w:type="auto"/>
            <w:gridSpan w:val="3"/>
            <w:shd w:val="clear" w:color="auto" w:fill="auto"/>
            <w:vAlign w:val="bottom"/>
          </w:tcPr>
          <w:p w14:paraId="22CFAC44" w14:textId="77777777" w:rsidR="002661BA" w:rsidRDefault="002661BA">
            <w:pPr>
              <w:rPr>
                <w:rFonts w:ascii="宋体"/>
                <w:vanish/>
              </w:rPr>
            </w:pPr>
          </w:p>
        </w:tc>
        <w:tc>
          <w:tcPr>
            <w:tcW w:w="0" w:type="auto"/>
            <w:gridSpan w:val="3"/>
            <w:shd w:val="clear" w:color="auto" w:fill="auto"/>
            <w:vAlign w:val="bottom"/>
          </w:tcPr>
          <w:p w14:paraId="22CFAC45" w14:textId="77777777" w:rsidR="002661BA" w:rsidRDefault="002661BA">
            <w:pPr>
              <w:rPr>
                <w:rFonts w:ascii="宋体"/>
                <w:vanish/>
              </w:rPr>
            </w:pPr>
          </w:p>
        </w:tc>
        <w:tc>
          <w:tcPr>
            <w:tcW w:w="0" w:type="auto"/>
            <w:gridSpan w:val="3"/>
            <w:shd w:val="clear" w:color="auto" w:fill="auto"/>
            <w:vAlign w:val="bottom"/>
          </w:tcPr>
          <w:p w14:paraId="22CFAC46" w14:textId="77777777" w:rsidR="002661BA" w:rsidRDefault="002661BA">
            <w:pPr>
              <w:rPr>
                <w:rFonts w:ascii="宋体"/>
                <w:vanish/>
              </w:rPr>
            </w:pPr>
          </w:p>
        </w:tc>
        <w:tc>
          <w:tcPr>
            <w:tcW w:w="0" w:type="auto"/>
            <w:gridSpan w:val="3"/>
            <w:shd w:val="clear" w:color="auto" w:fill="auto"/>
            <w:vAlign w:val="bottom"/>
          </w:tcPr>
          <w:p w14:paraId="22CFAC47" w14:textId="77777777" w:rsidR="002661BA" w:rsidRDefault="002661BA">
            <w:pPr>
              <w:rPr>
                <w:rFonts w:ascii="宋体"/>
                <w:vanish/>
              </w:rPr>
            </w:pPr>
          </w:p>
        </w:tc>
        <w:tc>
          <w:tcPr>
            <w:tcW w:w="0" w:type="auto"/>
            <w:gridSpan w:val="3"/>
            <w:shd w:val="clear" w:color="auto" w:fill="auto"/>
            <w:vAlign w:val="bottom"/>
          </w:tcPr>
          <w:p w14:paraId="22CFAC48" w14:textId="77777777" w:rsidR="002661BA" w:rsidRDefault="002661BA">
            <w:pPr>
              <w:rPr>
                <w:rFonts w:ascii="宋体"/>
                <w:vanish/>
              </w:rPr>
            </w:pPr>
          </w:p>
        </w:tc>
        <w:tc>
          <w:tcPr>
            <w:tcW w:w="0" w:type="auto"/>
            <w:gridSpan w:val="3"/>
            <w:shd w:val="clear" w:color="auto" w:fill="auto"/>
            <w:vAlign w:val="bottom"/>
          </w:tcPr>
          <w:p w14:paraId="22CFAC49" w14:textId="77777777" w:rsidR="002661BA" w:rsidRDefault="002661BA">
            <w:pPr>
              <w:rPr>
                <w:rFonts w:ascii="宋体"/>
                <w:vanish/>
              </w:rPr>
            </w:pPr>
          </w:p>
        </w:tc>
        <w:tc>
          <w:tcPr>
            <w:tcW w:w="0" w:type="auto"/>
            <w:gridSpan w:val="3"/>
            <w:shd w:val="clear" w:color="auto" w:fill="auto"/>
            <w:vAlign w:val="bottom"/>
          </w:tcPr>
          <w:p w14:paraId="22CFAC4A" w14:textId="77777777" w:rsidR="002661BA" w:rsidRDefault="002661BA">
            <w:pPr>
              <w:rPr>
                <w:rFonts w:ascii="宋体"/>
                <w:vanish/>
              </w:rPr>
            </w:pPr>
          </w:p>
        </w:tc>
        <w:tc>
          <w:tcPr>
            <w:tcW w:w="0" w:type="auto"/>
            <w:gridSpan w:val="3"/>
            <w:shd w:val="clear" w:color="auto" w:fill="auto"/>
            <w:vAlign w:val="bottom"/>
          </w:tcPr>
          <w:p w14:paraId="22CFAC4B" w14:textId="77777777" w:rsidR="002661BA" w:rsidRDefault="002661BA">
            <w:pPr>
              <w:rPr>
                <w:rFonts w:ascii="宋体"/>
                <w:vanish/>
              </w:rPr>
            </w:pPr>
          </w:p>
        </w:tc>
      </w:tr>
      <w:tr w:rsidR="002661BA" w14:paraId="22CFAC59" w14:textId="77777777">
        <w:trPr>
          <w:trHeight w:val="280"/>
        </w:trPr>
        <w:tc>
          <w:tcPr>
            <w:tcW w:w="0" w:type="auto"/>
            <w:gridSpan w:val="3"/>
            <w:shd w:val="clear" w:color="auto" w:fill="FFFFFF"/>
            <w:tcMar>
              <w:top w:w="0" w:type="dxa"/>
              <w:left w:w="20" w:type="dxa"/>
              <w:bottom w:w="0" w:type="dxa"/>
              <w:right w:w="20" w:type="dxa"/>
            </w:tcMar>
            <w:vAlign w:val="bottom"/>
          </w:tcPr>
          <w:p w14:paraId="22CFAC4D"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C4E"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C4F"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C50"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C51"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C52"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C53"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C54"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C55"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C56"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C57"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C58" w14:textId="77777777" w:rsidR="002661BA" w:rsidRDefault="002661BA">
            <w:pPr>
              <w:rPr>
                <w:rFonts w:ascii="宋体"/>
              </w:rPr>
            </w:pPr>
          </w:p>
        </w:tc>
      </w:tr>
      <w:tr w:rsidR="002661BA" w14:paraId="22CFAC66" w14:textId="77777777">
        <w:tc>
          <w:tcPr>
            <w:tcW w:w="0" w:type="auto"/>
            <w:gridSpan w:val="3"/>
            <w:shd w:val="clear" w:color="auto" w:fill="E2E2E2"/>
            <w:tcMar>
              <w:top w:w="40" w:type="dxa"/>
              <w:left w:w="20" w:type="dxa"/>
              <w:bottom w:w="40" w:type="dxa"/>
              <w:right w:w="20" w:type="dxa"/>
            </w:tcMar>
            <w:vAlign w:val="bottom"/>
          </w:tcPr>
          <w:p w14:paraId="22CFAC5A" w14:textId="77777777" w:rsidR="002661BA" w:rsidRDefault="00D972BC">
            <w:pPr>
              <w:textAlignment w:val="bottom"/>
            </w:pPr>
            <w:r>
              <w:rPr>
                <w:rFonts w:ascii="Arial" w:eastAsia="宋体" w:hAnsi="Arial" w:cs="Arial"/>
                <w:b/>
                <w:bCs/>
                <w:color w:val="000000"/>
                <w:sz w:val="18"/>
                <w:szCs w:val="18"/>
              </w:rPr>
              <w:t>Net Revenues:</w:t>
            </w:r>
          </w:p>
        </w:tc>
        <w:tc>
          <w:tcPr>
            <w:tcW w:w="0" w:type="auto"/>
            <w:gridSpan w:val="3"/>
            <w:shd w:val="clear" w:color="auto" w:fill="E2E2E2"/>
            <w:tcMar>
              <w:top w:w="0" w:type="dxa"/>
              <w:left w:w="20" w:type="dxa"/>
              <w:bottom w:w="0" w:type="dxa"/>
              <w:right w:w="20" w:type="dxa"/>
            </w:tcMar>
            <w:vAlign w:val="bottom"/>
          </w:tcPr>
          <w:p w14:paraId="22CFAC5B"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C5C"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C5D"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C5E"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C5F"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C60"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C61"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C62"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C63"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C64"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C65" w14:textId="77777777" w:rsidR="002661BA" w:rsidRDefault="002661BA">
            <w:pPr>
              <w:rPr>
                <w:rFonts w:ascii="宋体"/>
              </w:rPr>
            </w:pPr>
          </w:p>
        </w:tc>
      </w:tr>
      <w:tr w:rsidR="002661BA" w14:paraId="22CFAC7D" w14:textId="77777777">
        <w:tc>
          <w:tcPr>
            <w:tcW w:w="0" w:type="auto"/>
            <w:gridSpan w:val="3"/>
            <w:shd w:val="clear" w:color="auto" w:fill="FFFFFF"/>
            <w:tcMar>
              <w:top w:w="40" w:type="dxa"/>
              <w:left w:w="20" w:type="dxa"/>
              <w:bottom w:w="40" w:type="dxa"/>
              <w:right w:w="20" w:type="dxa"/>
            </w:tcMar>
            <w:vAlign w:val="bottom"/>
          </w:tcPr>
          <w:p w14:paraId="22CFAC67" w14:textId="77777777" w:rsidR="002661BA" w:rsidRDefault="00D972BC">
            <w:pPr>
              <w:textAlignment w:val="bottom"/>
            </w:pPr>
            <w:r>
              <w:rPr>
                <w:rFonts w:ascii="Arial" w:eastAsia="宋体" w:hAnsi="Arial" w:cs="Arial"/>
                <w:color w:val="000000"/>
                <w:sz w:val="18"/>
                <w:szCs w:val="18"/>
              </w:rPr>
              <w:t xml:space="preserve">Net transaction revenues </w:t>
            </w:r>
            <w:r>
              <w:rPr>
                <w:rFonts w:ascii="Arial" w:eastAsia="宋体" w:hAnsi="Arial" w:cs="Arial"/>
                <w:color w:val="000000"/>
                <w:sz w:val="11"/>
                <w:szCs w:val="11"/>
              </w:rPr>
              <w:t>(3)</w:t>
            </w:r>
          </w:p>
        </w:tc>
        <w:tc>
          <w:tcPr>
            <w:tcW w:w="0" w:type="auto"/>
            <w:shd w:val="clear" w:color="auto" w:fill="FFFFFF"/>
            <w:tcMar>
              <w:top w:w="40" w:type="dxa"/>
              <w:left w:w="20" w:type="dxa"/>
              <w:bottom w:w="40" w:type="dxa"/>
              <w:right w:w="0" w:type="dxa"/>
            </w:tcMar>
            <w:vAlign w:val="bottom"/>
          </w:tcPr>
          <w:p w14:paraId="22CFAC68"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C69" w14:textId="77777777" w:rsidR="002661BA" w:rsidRDefault="00D972BC">
            <w:pPr>
              <w:jc w:val="right"/>
              <w:textAlignment w:val="bottom"/>
            </w:pPr>
            <w:r>
              <w:rPr>
                <w:rFonts w:ascii="Arial" w:eastAsia="宋体" w:hAnsi="Arial" w:cs="Arial"/>
                <w:color w:val="000000"/>
                <w:sz w:val="18"/>
                <w:szCs w:val="18"/>
              </w:rPr>
              <w:t>8,243 </w:t>
            </w:r>
          </w:p>
        </w:tc>
        <w:tc>
          <w:tcPr>
            <w:tcW w:w="0" w:type="auto"/>
            <w:shd w:val="clear" w:color="auto" w:fill="FFFFFF"/>
            <w:tcMar>
              <w:top w:w="40" w:type="dxa"/>
              <w:left w:w="0" w:type="dxa"/>
              <w:bottom w:w="40" w:type="dxa"/>
              <w:right w:w="20" w:type="dxa"/>
            </w:tcMar>
            <w:vAlign w:val="bottom"/>
          </w:tcPr>
          <w:p w14:paraId="22CFAC6A"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C6B"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AC6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C6D" w14:textId="77777777" w:rsidR="002661BA" w:rsidRDefault="00D972BC">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22CFAC6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C6F"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AC70"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C71" w14:textId="77777777" w:rsidR="002661BA" w:rsidRDefault="00D972BC">
            <w:pPr>
              <w:jc w:val="right"/>
              <w:textAlignment w:val="bottom"/>
            </w:pPr>
            <w:r>
              <w:rPr>
                <w:rFonts w:ascii="Arial" w:eastAsia="宋体" w:hAnsi="Arial" w:cs="Arial"/>
                <w:color w:val="000000"/>
                <w:sz w:val="18"/>
                <w:szCs w:val="18"/>
              </w:rPr>
              <w:t>8,218 </w:t>
            </w:r>
          </w:p>
        </w:tc>
        <w:tc>
          <w:tcPr>
            <w:tcW w:w="0" w:type="auto"/>
            <w:shd w:val="clear" w:color="auto" w:fill="FFFFFF"/>
            <w:tcMar>
              <w:top w:w="40" w:type="dxa"/>
              <w:left w:w="0" w:type="dxa"/>
              <w:bottom w:w="40" w:type="dxa"/>
              <w:right w:w="20" w:type="dxa"/>
            </w:tcMar>
            <w:vAlign w:val="bottom"/>
          </w:tcPr>
          <w:p w14:paraId="22CFAC7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C73"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AC74"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C75" w14:textId="77777777" w:rsidR="002661BA" w:rsidRDefault="00D972BC">
            <w:pPr>
              <w:jc w:val="right"/>
              <w:textAlignment w:val="bottom"/>
            </w:pPr>
            <w:r>
              <w:rPr>
                <w:rFonts w:ascii="Arial" w:eastAsia="宋体" w:hAnsi="Arial" w:cs="Arial"/>
                <w:color w:val="000000"/>
                <w:sz w:val="18"/>
                <w:szCs w:val="18"/>
              </w:rPr>
              <w:t>6,581 </w:t>
            </w:r>
          </w:p>
        </w:tc>
        <w:tc>
          <w:tcPr>
            <w:tcW w:w="0" w:type="auto"/>
            <w:shd w:val="clear" w:color="auto" w:fill="FFFFFF"/>
            <w:tcMar>
              <w:top w:w="40" w:type="dxa"/>
              <w:left w:w="0" w:type="dxa"/>
              <w:bottom w:w="40" w:type="dxa"/>
              <w:right w:w="20" w:type="dxa"/>
            </w:tcMar>
            <w:vAlign w:val="bottom"/>
          </w:tcPr>
          <w:p w14:paraId="22CFAC7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C77"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C78" w14:textId="77777777" w:rsidR="002661BA" w:rsidRDefault="00D972BC">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22CFAC79"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C7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C7B" w14:textId="77777777" w:rsidR="002661BA" w:rsidRDefault="00D972BC">
            <w:pPr>
              <w:jc w:val="right"/>
              <w:textAlignment w:val="bottom"/>
            </w:pPr>
            <w:r>
              <w:rPr>
                <w:rFonts w:ascii="Arial" w:eastAsia="宋体" w:hAnsi="Arial" w:cs="Arial"/>
                <w:color w:val="000000"/>
                <w:sz w:val="18"/>
                <w:szCs w:val="18"/>
              </w:rPr>
              <w:t>26 </w:t>
            </w:r>
          </w:p>
        </w:tc>
        <w:tc>
          <w:tcPr>
            <w:tcW w:w="0" w:type="auto"/>
            <w:shd w:val="clear" w:color="auto" w:fill="FFFFFF"/>
            <w:tcMar>
              <w:top w:w="40" w:type="dxa"/>
              <w:left w:w="0" w:type="dxa"/>
              <w:bottom w:w="40" w:type="dxa"/>
              <w:right w:w="20" w:type="dxa"/>
            </w:tcMar>
            <w:vAlign w:val="bottom"/>
          </w:tcPr>
          <w:p w14:paraId="22CFAC7C" w14:textId="77777777" w:rsidR="002661BA" w:rsidRDefault="00D972BC">
            <w:pPr>
              <w:jc w:val="right"/>
              <w:textAlignment w:val="bottom"/>
            </w:pPr>
            <w:r>
              <w:rPr>
                <w:rFonts w:ascii="Arial" w:eastAsia="宋体" w:hAnsi="Arial" w:cs="Arial"/>
                <w:color w:val="000000"/>
                <w:sz w:val="18"/>
                <w:szCs w:val="18"/>
              </w:rPr>
              <w:t>%</w:t>
            </w:r>
          </w:p>
        </w:tc>
      </w:tr>
      <w:tr w:rsidR="002661BA" w14:paraId="22CFAC8A" w14:textId="77777777">
        <w:trPr>
          <w:hidden/>
        </w:trPr>
        <w:tc>
          <w:tcPr>
            <w:tcW w:w="0" w:type="auto"/>
            <w:gridSpan w:val="3"/>
            <w:shd w:val="clear" w:color="auto" w:fill="auto"/>
            <w:vAlign w:val="bottom"/>
          </w:tcPr>
          <w:p w14:paraId="22CFAC7E" w14:textId="77777777" w:rsidR="002661BA" w:rsidRDefault="002661BA">
            <w:pPr>
              <w:rPr>
                <w:rFonts w:ascii="宋体"/>
                <w:vanish/>
              </w:rPr>
            </w:pPr>
          </w:p>
        </w:tc>
        <w:tc>
          <w:tcPr>
            <w:tcW w:w="0" w:type="auto"/>
            <w:gridSpan w:val="3"/>
            <w:shd w:val="clear" w:color="auto" w:fill="auto"/>
            <w:vAlign w:val="bottom"/>
          </w:tcPr>
          <w:p w14:paraId="22CFAC7F" w14:textId="77777777" w:rsidR="002661BA" w:rsidRDefault="002661BA">
            <w:pPr>
              <w:rPr>
                <w:rFonts w:ascii="宋体"/>
                <w:vanish/>
              </w:rPr>
            </w:pPr>
          </w:p>
        </w:tc>
        <w:tc>
          <w:tcPr>
            <w:tcW w:w="0" w:type="auto"/>
            <w:gridSpan w:val="3"/>
            <w:shd w:val="clear" w:color="auto" w:fill="auto"/>
            <w:vAlign w:val="bottom"/>
          </w:tcPr>
          <w:p w14:paraId="22CFAC80" w14:textId="77777777" w:rsidR="002661BA" w:rsidRDefault="002661BA">
            <w:pPr>
              <w:rPr>
                <w:rFonts w:ascii="宋体"/>
                <w:vanish/>
              </w:rPr>
            </w:pPr>
          </w:p>
        </w:tc>
        <w:tc>
          <w:tcPr>
            <w:tcW w:w="0" w:type="auto"/>
            <w:gridSpan w:val="3"/>
            <w:shd w:val="clear" w:color="auto" w:fill="auto"/>
            <w:vAlign w:val="bottom"/>
          </w:tcPr>
          <w:p w14:paraId="22CFAC81" w14:textId="77777777" w:rsidR="002661BA" w:rsidRDefault="002661BA">
            <w:pPr>
              <w:rPr>
                <w:rFonts w:ascii="宋体"/>
                <w:vanish/>
              </w:rPr>
            </w:pPr>
          </w:p>
        </w:tc>
        <w:tc>
          <w:tcPr>
            <w:tcW w:w="0" w:type="auto"/>
            <w:gridSpan w:val="3"/>
            <w:shd w:val="clear" w:color="auto" w:fill="auto"/>
            <w:vAlign w:val="bottom"/>
          </w:tcPr>
          <w:p w14:paraId="22CFAC82" w14:textId="77777777" w:rsidR="002661BA" w:rsidRDefault="002661BA">
            <w:pPr>
              <w:rPr>
                <w:rFonts w:ascii="宋体"/>
                <w:vanish/>
              </w:rPr>
            </w:pPr>
          </w:p>
        </w:tc>
        <w:tc>
          <w:tcPr>
            <w:tcW w:w="0" w:type="auto"/>
            <w:gridSpan w:val="3"/>
            <w:shd w:val="clear" w:color="auto" w:fill="auto"/>
            <w:vAlign w:val="bottom"/>
          </w:tcPr>
          <w:p w14:paraId="22CFAC83" w14:textId="77777777" w:rsidR="002661BA" w:rsidRDefault="002661BA">
            <w:pPr>
              <w:rPr>
                <w:rFonts w:ascii="宋体"/>
                <w:vanish/>
              </w:rPr>
            </w:pPr>
          </w:p>
        </w:tc>
        <w:tc>
          <w:tcPr>
            <w:tcW w:w="0" w:type="auto"/>
            <w:gridSpan w:val="3"/>
            <w:shd w:val="clear" w:color="auto" w:fill="auto"/>
            <w:vAlign w:val="bottom"/>
          </w:tcPr>
          <w:p w14:paraId="22CFAC84" w14:textId="77777777" w:rsidR="002661BA" w:rsidRDefault="002661BA">
            <w:pPr>
              <w:rPr>
                <w:rFonts w:ascii="宋体"/>
                <w:vanish/>
              </w:rPr>
            </w:pPr>
          </w:p>
        </w:tc>
        <w:tc>
          <w:tcPr>
            <w:tcW w:w="0" w:type="auto"/>
            <w:gridSpan w:val="3"/>
            <w:shd w:val="clear" w:color="auto" w:fill="auto"/>
            <w:vAlign w:val="bottom"/>
          </w:tcPr>
          <w:p w14:paraId="22CFAC85" w14:textId="77777777" w:rsidR="002661BA" w:rsidRDefault="002661BA">
            <w:pPr>
              <w:rPr>
                <w:rFonts w:ascii="宋体"/>
                <w:vanish/>
              </w:rPr>
            </w:pPr>
          </w:p>
        </w:tc>
        <w:tc>
          <w:tcPr>
            <w:tcW w:w="0" w:type="auto"/>
            <w:gridSpan w:val="3"/>
            <w:shd w:val="clear" w:color="auto" w:fill="auto"/>
            <w:vAlign w:val="bottom"/>
          </w:tcPr>
          <w:p w14:paraId="22CFAC86" w14:textId="77777777" w:rsidR="002661BA" w:rsidRDefault="002661BA">
            <w:pPr>
              <w:rPr>
                <w:rFonts w:ascii="宋体"/>
                <w:vanish/>
              </w:rPr>
            </w:pPr>
          </w:p>
        </w:tc>
        <w:tc>
          <w:tcPr>
            <w:tcW w:w="0" w:type="auto"/>
            <w:gridSpan w:val="3"/>
            <w:shd w:val="clear" w:color="auto" w:fill="auto"/>
            <w:vAlign w:val="bottom"/>
          </w:tcPr>
          <w:p w14:paraId="22CFAC87" w14:textId="77777777" w:rsidR="002661BA" w:rsidRDefault="002661BA">
            <w:pPr>
              <w:rPr>
                <w:rFonts w:ascii="宋体"/>
                <w:vanish/>
              </w:rPr>
            </w:pPr>
          </w:p>
        </w:tc>
        <w:tc>
          <w:tcPr>
            <w:tcW w:w="0" w:type="auto"/>
            <w:gridSpan w:val="3"/>
            <w:shd w:val="clear" w:color="auto" w:fill="auto"/>
            <w:vAlign w:val="bottom"/>
          </w:tcPr>
          <w:p w14:paraId="22CFAC88" w14:textId="77777777" w:rsidR="002661BA" w:rsidRDefault="002661BA">
            <w:pPr>
              <w:rPr>
                <w:rFonts w:ascii="宋体"/>
                <w:vanish/>
              </w:rPr>
            </w:pPr>
          </w:p>
        </w:tc>
        <w:tc>
          <w:tcPr>
            <w:tcW w:w="0" w:type="auto"/>
            <w:gridSpan w:val="3"/>
            <w:shd w:val="clear" w:color="auto" w:fill="auto"/>
            <w:vAlign w:val="bottom"/>
          </w:tcPr>
          <w:p w14:paraId="22CFAC89" w14:textId="77777777" w:rsidR="002661BA" w:rsidRDefault="002661BA">
            <w:pPr>
              <w:rPr>
                <w:rFonts w:ascii="宋体"/>
                <w:vanish/>
              </w:rPr>
            </w:pPr>
          </w:p>
        </w:tc>
      </w:tr>
      <w:tr w:rsidR="002661BA" w14:paraId="22CFAC97" w14:textId="77777777">
        <w:trPr>
          <w:hidden/>
        </w:trPr>
        <w:tc>
          <w:tcPr>
            <w:tcW w:w="0" w:type="auto"/>
            <w:gridSpan w:val="3"/>
            <w:shd w:val="clear" w:color="auto" w:fill="auto"/>
            <w:vAlign w:val="bottom"/>
          </w:tcPr>
          <w:p w14:paraId="22CFAC8B" w14:textId="77777777" w:rsidR="002661BA" w:rsidRDefault="002661BA">
            <w:pPr>
              <w:rPr>
                <w:rFonts w:ascii="宋体"/>
                <w:vanish/>
              </w:rPr>
            </w:pPr>
          </w:p>
        </w:tc>
        <w:tc>
          <w:tcPr>
            <w:tcW w:w="0" w:type="auto"/>
            <w:gridSpan w:val="3"/>
            <w:shd w:val="clear" w:color="auto" w:fill="auto"/>
            <w:vAlign w:val="bottom"/>
          </w:tcPr>
          <w:p w14:paraId="22CFAC8C" w14:textId="77777777" w:rsidR="002661BA" w:rsidRDefault="002661BA">
            <w:pPr>
              <w:rPr>
                <w:rFonts w:ascii="宋体"/>
                <w:vanish/>
              </w:rPr>
            </w:pPr>
          </w:p>
        </w:tc>
        <w:tc>
          <w:tcPr>
            <w:tcW w:w="0" w:type="auto"/>
            <w:gridSpan w:val="3"/>
            <w:shd w:val="clear" w:color="auto" w:fill="auto"/>
            <w:vAlign w:val="bottom"/>
          </w:tcPr>
          <w:p w14:paraId="22CFAC8D" w14:textId="77777777" w:rsidR="002661BA" w:rsidRDefault="002661BA">
            <w:pPr>
              <w:rPr>
                <w:rFonts w:ascii="宋体"/>
                <w:vanish/>
              </w:rPr>
            </w:pPr>
          </w:p>
        </w:tc>
        <w:tc>
          <w:tcPr>
            <w:tcW w:w="0" w:type="auto"/>
            <w:gridSpan w:val="3"/>
            <w:shd w:val="clear" w:color="auto" w:fill="auto"/>
            <w:vAlign w:val="bottom"/>
          </w:tcPr>
          <w:p w14:paraId="22CFAC8E" w14:textId="77777777" w:rsidR="002661BA" w:rsidRDefault="002661BA">
            <w:pPr>
              <w:rPr>
                <w:rFonts w:ascii="宋体"/>
                <w:vanish/>
              </w:rPr>
            </w:pPr>
          </w:p>
        </w:tc>
        <w:tc>
          <w:tcPr>
            <w:tcW w:w="0" w:type="auto"/>
            <w:gridSpan w:val="3"/>
            <w:shd w:val="clear" w:color="auto" w:fill="auto"/>
            <w:vAlign w:val="bottom"/>
          </w:tcPr>
          <w:p w14:paraId="22CFAC8F" w14:textId="77777777" w:rsidR="002661BA" w:rsidRDefault="002661BA">
            <w:pPr>
              <w:rPr>
                <w:rFonts w:ascii="宋体"/>
                <w:vanish/>
              </w:rPr>
            </w:pPr>
          </w:p>
        </w:tc>
        <w:tc>
          <w:tcPr>
            <w:tcW w:w="0" w:type="auto"/>
            <w:gridSpan w:val="3"/>
            <w:shd w:val="clear" w:color="auto" w:fill="auto"/>
            <w:vAlign w:val="bottom"/>
          </w:tcPr>
          <w:p w14:paraId="22CFAC90" w14:textId="77777777" w:rsidR="002661BA" w:rsidRDefault="002661BA">
            <w:pPr>
              <w:rPr>
                <w:rFonts w:ascii="宋体"/>
                <w:vanish/>
              </w:rPr>
            </w:pPr>
          </w:p>
        </w:tc>
        <w:tc>
          <w:tcPr>
            <w:tcW w:w="0" w:type="auto"/>
            <w:gridSpan w:val="3"/>
            <w:shd w:val="clear" w:color="auto" w:fill="auto"/>
            <w:vAlign w:val="bottom"/>
          </w:tcPr>
          <w:p w14:paraId="22CFAC91" w14:textId="77777777" w:rsidR="002661BA" w:rsidRDefault="002661BA">
            <w:pPr>
              <w:rPr>
                <w:rFonts w:ascii="宋体"/>
                <w:vanish/>
              </w:rPr>
            </w:pPr>
          </w:p>
        </w:tc>
        <w:tc>
          <w:tcPr>
            <w:tcW w:w="0" w:type="auto"/>
            <w:gridSpan w:val="3"/>
            <w:shd w:val="clear" w:color="auto" w:fill="auto"/>
            <w:vAlign w:val="bottom"/>
          </w:tcPr>
          <w:p w14:paraId="22CFAC92" w14:textId="77777777" w:rsidR="002661BA" w:rsidRDefault="002661BA">
            <w:pPr>
              <w:rPr>
                <w:rFonts w:ascii="宋体"/>
                <w:vanish/>
              </w:rPr>
            </w:pPr>
          </w:p>
        </w:tc>
        <w:tc>
          <w:tcPr>
            <w:tcW w:w="0" w:type="auto"/>
            <w:gridSpan w:val="3"/>
            <w:shd w:val="clear" w:color="auto" w:fill="auto"/>
            <w:vAlign w:val="bottom"/>
          </w:tcPr>
          <w:p w14:paraId="22CFAC93" w14:textId="77777777" w:rsidR="002661BA" w:rsidRDefault="002661BA">
            <w:pPr>
              <w:rPr>
                <w:rFonts w:ascii="宋体"/>
                <w:vanish/>
              </w:rPr>
            </w:pPr>
          </w:p>
        </w:tc>
        <w:tc>
          <w:tcPr>
            <w:tcW w:w="0" w:type="auto"/>
            <w:gridSpan w:val="3"/>
            <w:shd w:val="clear" w:color="auto" w:fill="auto"/>
            <w:vAlign w:val="bottom"/>
          </w:tcPr>
          <w:p w14:paraId="22CFAC94" w14:textId="77777777" w:rsidR="002661BA" w:rsidRDefault="002661BA">
            <w:pPr>
              <w:rPr>
                <w:rFonts w:ascii="宋体"/>
                <w:vanish/>
              </w:rPr>
            </w:pPr>
          </w:p>
        </w:tc>
        <w:tc>
          <w:tcPr>
            <w:tcW w:w="0" w:type="auto"/>
            <w:gridSpan w:val="3"/>
            <w:shd w:val="clear" w:color="auto" w:fill="auto"/>
            <w:vAlign w:val="bottom"/>
          </w:tcPr>
          <w:p w14:paraId="22CFAC95" w14:textId="77777777" w:rsidR="002661BA" w:rsidRDefault="002661BA">
            <w:pPr>
              <w:rPr>
                <w:rFonts w:ascii="宋体"/>
                <w:vanish/>
              </w:rPr>
            </w:pPr>
          </w:p>
        </w:tc>
        <w:tc>
          <w:tcPr>
            <w:tcW w:w="0" w:type="auto"/>
            <w:gridSpan w:val="3"/>
            <w:shd w:val="clear" w:color="auto" w:fill="auto"/>
            <w:vAlign w:val="bottom"/>
          </w:tcPr>
          <w:p w14:paraId="22CFAC96" w14:textId="77777777" w:rsidR="002661BA" w:rsidRDefault="002661BA">
            <w:pPr>
              <w:rPr>
                <w:rFonts w:ascii="宋体"/>
                <w:vanish/>
              </w:rPr>
            </w:pPr>
          </w:p>
        </w:tc>
      </w:tr>
      <w:tr w:rsidR="002661BA" w14:paraId="22CFACA4" w14:textId="77777777">
        <w:trPr>
          <w:hidden/>
        </w:trPr>
        <w:tc>
          <w:tcPr>
            <w:tcW w:w="0" w:type="auto"/>
            <w:gridSpan w:val="3"/>
            <w:shd w:val="clear" w:color="auto" w:fill="auto"/>
            <w:vAlign w:val="bottom"/>
          </w:tcPr>
          <w:p w14:paraId="22CFAC98" w14:textId="77777777" w:rsidR="002661BA" w:rsidRDefault="002661BA">
            <w:pPr>
              <w:rPr>
                <w:rFonts w:ascii="宋体"/>
                <w:vanish/>
              </w:rPr>
            </w:pPr>
          </w:p>
        </w:tc>
        <w:tc>
          <w:tcPr>
            <w:tcW w:w="0" w:type="auto"/>
            <w:gridSpan w:val="3"/>
            <w:shd w:val="clear" w:color="auto" w:fill="auto"/>
            <w:vAlign w:val="bottom"/>
          </w:tcPr>
          <w:p w14:paraId="22CFAC99" w14:textId="77777777" w:rsidR="002661BA" w:rsidRDefault="002661BA">
            <w:pPr>
              <w:rPr>
                <w:rFonts w:ascii="宋体"/>
                <w:vanish/>
              </w:rPr>
            </w:pPr>
          </w:p>
        </w:tc>
        <w:tc>
          <w:tcPr>
            <w:tcW w:w="0" w:type="auto"/>
            <w:gridSpan w:val="3"/>
            <w:shd w:val="clear" w:color="auto" w:fill="auto"/>
            <w:vAlign w:val="bottom"/>
          </w:tcPr>
          <w:p w14:paraId="22CFAC9A" w14:textId="77777777" w:rsidR="002661BA" w:rsidRDefault="002661BA">
            <w:pPr>
              <w:rPr>
                <w:rFonts w:ascii="宋体"/>
                <w:vanish/>
              </w:rPr>
            </w:pPr>
          </w:p>
        </w:tc>
        <w:tc>
          <w:tcPr>
            <w:tcW w:w="0" w:type="auto"/>
            <w:gridSpan w:val="3"/>
            <w:shd w:val="clear" w:color="auto" w:fill="auto"/>
            <w:vAlign w:val="bottom"/>
          </w:tcPr>
          <w:p w14:paraId="22CFAC9B" w14:textId="77777777" w:rsidR="002661BA" w:rsidRDefault="002661BA">
            <w:pPr>
              <w:rPr>
                <w:rFonts w:ascii="宋体"/>
                <w:vanish/>
              </w:rPr>
            </w:pPr>
          </w:p>
        </w:tc>
        <w:tc>
          <w:tcPr>
            <w:tcW w:w="0" w:type="auto"/>
            <w:gridSpan w:val="3"/>
            <w:shd w:val="clear" w:color="auto" w:fill="auto"/>
            <w:vAlign w:val="bottom"/>
          </w:tcPr>
          <w:p w14:paraId="22CFAC9C" w14:textId="77777777" w:rsidR="002661BA" w:rsidRDefault="002661BA">
            <w:pPr>
              <w:rPr>
                <w:rFonts w:ascii="宋体"/>
                <w:vanish/>
              </w:rPr>
            </w:pPr>
          </w:p>
        </w:tc>
        <w:tc>
          <w:tcPr>
            <w:tcW w:w="0" w:type="auto"/>
            <w:gridSpan w:val="3"/>
            <w:shd w:val="clear" w:color="auto" w:fill="auto"/>
            <w:vAlign w:val="bottom"/>
          </w:tcPr>
          <w:p w14:paraId="22CFAC9D" w14:textId="77777777" w:rsidR="002661BA" w:rsidRDefault="002661BA">
            <w:pPr>
              <w:rPr>
                <w:rFonts w:ascii="宋体"/>
                <w:vanish/>
              </w:rPr>
            </w:pPr>
          </w:p>
        </w:tc>
        <w:tc>
          <w:tcPr>
            <w:tcW w:w="0" w:type="auto"/>
            <w:gridSpan w:val="3"/>
            <w:shd w:val="clear" w:color="auto" w:fill="auto"/>
            <w:vAlign w:val="bottom"/>
          </w:tcPr>
          <w:p w14:paraId="22CFAC9E" w14:textId="77777777" w:rsidR="002661BA" w:rsidRDefault="002661BA">
            <w:pPr>
              <w:rPr>
                <w:rFonts w:ascii="宋体"/>
                <w:vanish/>
              </w:rPr>
            </w:pPr>
          </w:p>
        </w:tc>
        <w:tc>
          <w:tcPr>
            <w:tcW w:w="0" w:type="auto"/>
            <w:gridSpan w:val="3"/>
            <w:shd w:val="clear" w:color="auto" w:fill="auto"/>
            <w:vAlign w:val="bottom"/>
          </w:tcPr>
          <w:p w14:paraId="22CFAC9F" w14:textId="77777777" w:rsidR="002661BA" w:rsidRDefault="002661BA">
            <w:pPr>
              <w:rPr>
                <w:rFonts w:ascii="宋体"/>
                <w:vanish/>
              </w:rPr>
            </w:pPr>
          </w:p>
        </w:tc>
        <w:tc>
          <w:tcPr>
            <w:tcW w:w="0" w:type="auto"/>
            <w:gridSpan w:val="3"/>
            <w:shd w:val="clear" w:color="auto" w:fill="auto"/>
            <w:vAlign w:val="bottom"/>
          </w:tcPr>
          <w:p w14:paraId="22CFACA0" w14:textId="77777777" w:rsidR="002661BA" w:rsidRDefault="002661BA">
            <w:pPr>
              <w:rPr>
                <w:rFonts w:ascii="宋体"/>
                <w:vanish/>
              </w:rPr>
            </w:pPr>
          </w:p>
        </w:tc>
        <w:tc>
          <w:tcPr>
            <w:tcW w:w="0" w:type="auto"/>
            <w:gridSpan w:val="3"/>
            <w:shd w:val="clear" w:color="auto" w:fill="auto"/>
            <w:vAlign w:val="bottom"/>
          </w:tcPr>
          <w:p w14:paraId="22CFACA1" w14:textId="77777777" w:rsidR="002661BA" w:rsidRDefault="002661BA">
            <w:pPr>
              <w:rPr>
                <w:rFonts w:ascii="宋体"/>
                <w:vanish/>
              </w:rPr>
            </w:pPr>
          </w:p>
        </w:tc>
        <w:tc>
          <w:tcPr>
            <w:tcW w:w="0" w:type="auto"/>
            <w:gridSpan w:val="3"/>
            <w:shd w:val="clear" w:color="auto" w:fill="auto"/>
            <w:vAlign w:val="bottom"/>
          </w:tcPr>
          <w:p w14:paraId="22CFACA2" w14:textId="77777777" w:rsidR="002661BA" w:rsidRDefault="002661BA">
            <w:pPr>
              <w:rPr>
                <w:rFonts w:ascii="宋体"/>
                <w:vanish/>
              </w:rPr>
            </w:pPr>
          </w:p>
        </w:tc>
        <w:tc>
          <w:tcPr>
            <w:tcW w:w="0" w:type="auto"/>
            <w:gridSpan w:val="3"/>
            <w:shd w:val="clear" w:color="auto" w:fill="auto"/>
            <w:vAlign w:val="bottom"/>
          </w:tcPr>
          <w:p w14:paraId="22CFACA3" w14:textId="77777777" w:rsidR="002661BA" w:rsidRDefault="002661BA">
            <w:pPr>
              <w:rPr>
                <w:rFonts w:ascii="宋体"/>
                <w:vanish/>
              </w:rPr>
            </w:pPr>
          </w:p>
        </w:tc>
      </w:tr>
      <w:tr w:rsidR="002661BA" w14:paraId="22CFACB7" w14:textId="77777777">
        <w:tc>
          <w:tcPr>
            <w:tcW w:w="0" w:type="auto"/>
            <w:gridSpan w:val="3"/>
            <w:shd w:val="clear" w:color="auto" w:fill="E2E2E2"/>
            <w:tcMar>
              <w:top w:w="40" w:type="dxa"/>
              <w:left w:w="140" w:type="dxa"/>
              <w:bottom w:w="40" w:type="dxa"/>
              <w:right w:w="20" w:type="dxa"/>
            </w:tcMar>
            <w:vAlign w:val="bottom"/>
          </w:tcPr>
          <w:p w14:paraId="22CFACA5" w14:textId="77777777" w:rsidR="002661BA" w:rsidRDefault="00D972BC">
            <w:pPr>
              <w:textAlignment w:val="bottom"/>
            </w:pPr>
            <w:r>
              <w:rPr>
                <w:rFonts w:ascii="Arial" w:eastAsia="宋体" w:hAnsi="Arial" w:cs="Arial"/>
                <w:color w:val="000000"/>
                <w:sz w:val="18"/>
                <w:szCs w:val="18"/>
              </w:rPr>
              <w:t>Marketing services and other revenues</w:t>
            </w:r>
          </w:p>
        </w:tc>
        <w:tc>
          <w:tcPr>
            <w:tcW w:w="0" w:type="auto"/>
            <w:gridSpan w:val="2"/>
            <w:shd w:val="clear" w:color="auto" w:fill="E2E2E2"/>
            <w:tcMar>
              <w:top w:w="40" w:type="dxa"/>
              <w:left w:w="20" w:type="dxa"/>
              <w:bottom w:w="40" w:type="dxa"/>
              <w:right w:w="0" w:type="dxa"/>
            </w:tcMar>
            <w:vAlign w:val="bottom"/>
          </w:tcPr>
          <w:p w14:paraId="22CFACA6" w14:textId="77777777" w:rsidR="002661BA" w:rsidRDefault="00D972BC">
            <w:pPr>
              <w:jc w:val="right"/>
              <w:textAlignment w:val="bottom"/>
            </w:pPr>
            <w:r>
              <w:rPr>
                <w:rFonts w:ascii="Arial" w:eastAsia="宋体" w:hAnsi="Arial" w:cs="Arial"/>
                <w:color w:val="000000"/>
                <w:sz w:val="18"/>
                <w:szCs w:val="18"/>
              </w:rPr>
              <w:t>651 </w:t>
            </w:r>
          </w:p>
        </w:tc>
        <w:tc>
          <w:tcPr>
            <w:tcW w:w="0" w:type="auto"/>
            <w:shd w:val="clear" w:color="auto" w:fill="E2E2E2"/>
            <w:tcMar>
              <w:top w:w="40" w:type="dxa"/>
              <w:left w:w="0" w:type="dxa"/>
              <w:bottom w:w="40" w:type="dxa"/>
              <w:right w:w="20" w:type="dxa"/>
            </w:tcMar>
            <w:vAlign w:val="bottom"/>
          </w:tcPr>
          <w:p w14:paraId="22CFACA7"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CA8"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CA9" w14:textId="77777777" w:rsidR="002661BA" w:rsidRDefault="00D972BC">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22CFACA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CAB"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CAC" w14:textId="77777777" w:rsidR="002661BA" w:rsidRDefault="00D972BC">
            <w:pPr>
              <w:jc w:val="right"/>
              <w:textAlignment w:val="bottom"/>
            </w:pPr>
            <w:r>
              <w:rPr>
                <w:rFonts w:ascii="Arial" w:eastAsia="宋体" w:hAnsi="Arial" w:cs="Arial"/>
                <w:color w:val="000000"/>
                <w:sz w:val="18"/>
                <w:szCs w:val="18"/>
              </w:rPr>
              <w:t>650 </w:t>
            </w:r>
          </w:p>
        </w:tc>
        <w:tc>
          <w:tcPr>
            <w:tcW w:w="0" w:type="auto"/>
            <w:shd w:val="clear" w:color="auto" w:fill="E2E2E2"/>
            <w:tcMar>
              <w:top w:w="40" w:type="dxa"/>
              <w:left w:w="0" w:type="dxa"/>
              <w:bottom w:w="40" w:type="dxa"/>
              <w:right w:w="20" w:type="dxa"/>
            </w:tcMar>
            <w:vAlign w:val="bottom"/>
          </w:tcPr>
          <w:p w14:paraId="22CFACA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CAE"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CAF" w14:textId="77777777" w:rsidR="002661BA" w:rsidRDefault="00D972BC">
            <w:pPr>
              <w:jc w:val="right"/>
              <w:textAlignment w:val="bottom"/>
            </w:pPr>
            <w:r>
              <w:rPr>
                <w:rFonts w:ascii="Arial" w:eastAsia="宋体" w:hAnsi="Arial" w:cs="Arial"/>
                <w:color w:val="000000"/>
                <w:sz w:val="18"/>
                <w:szCs w:val="18"/>
              </w:rPr>
              <w:t>848 </w:t>
            </w:r>
          </w:p>
        </w:tc>
        <w:tc>
          <w:tcPr>
            <w:tcW w:w="0" w:type="auto"/>
            <w:shd w:val="clear" w:color="auto" w:fill="E2E2E2"/>
            <w:tcMar>
              <w:top w:w="40" w:type="dxa"/>
              <w:left w:w="0" w:type="dxa"/>
              <w:bottom w:w="40" w:type="dxa"/>
              <w:right w:w="20" w:type="dxa"/>
            </w:tcMar>
            <w:vAlign w:val="bottom"/>
          </w:tcPr>
          <w:p w14:paraId="22CFACB0"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CB1"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CB2" w14:textId="77777777" w:rsidR="002661BA" w:rsidRDefault="00D972BC">
            <w:pPr>
              <w:jc w:val="right"/>
              <w:textAlignment w:val="bottom"/>
            </w:pPr>
            <w:r>
              <w:rPr>
                <w:rFonts w:ascii="Arial" w:eastAsia="宋体" w:hAnsi="Arial" w:cs="Arial"/>
                <w:color w:val="000000"/>
                <w:sz w:val="18"/>
                <w:szCs w:val="18"/>
              </w:rPr>
              <w:t>(23)</w:t>
            </w:r>
          </w:p>
        </w:tc>
        <w:tc>
          <w:tcPr>
            <w:tcW w:w="0" w:type="auto"/>
            <w:shd w:val="clear" w:color="auto" w:fill="E2E2E2"/>
            <w:tcMar>
              <w:top w:w="40" w:type="dxa"/>
              <w:left w:w="0" w:type="dxa"/>
              <w:bottom w:w="40" w:type="dxa"/>
              <w:right w:w="20" w:type="dxa"/>
            </w:tcMar>
            <w:vAlign w:val="bottom"/>
          </w:tcPr>
          <w:p w14:paraId="22CFACB3"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22CFACB4"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CB5" w14:textId="77777777" w:rsidR="002661BA" w:rsidRDefault="00D972BC">
            <w:pPr>
              <w:jc w:val="right"/>
              <w:textAlignment w:val="bottom"/>
            </w:pPr>
            <w:r>
              <w:rPr>
                <w:rFonts w:ascii="Arial" w:eastAsia="宋体" w:hAnsi="Arial" w:cs="Arial"/>
                <w:color w:val="000000"/>
                <w:sz w:val="18"/>
                <w:szCs w:val="18"/>
              </w:rPr>
              <w:t>(23)</w:t>
            </w:r>
          </w:p>
        </w:tc>
        <w:tc>
          <w:tcPr>
            <w:tcW w:w="0" w:type="auto"/>
            <w:shd w:val="clear" w:color="auto" w:fill="E2E2E2"/>
            <w:tcMar>
              <w:top w:w="40" w:type="dxa"/>
              <w:left w:w="0" w:type="dxa"/>
              <w:bottom w:w="40" w:type="dxa"/>
              <w:right w:w="20" w:type="dxa"/>
            </w:tcMar>
            <w:vAlign w:val="bottom"/>
          </w:tcPr>
          <w:p w14:paraId="22CFACB6" w14:textId="77777777" w:rsidR="002661BA" w:rsidRDefault="00D972BC">
            <w:pPr>
              <w:jc w:val="right"/>
              <w:textAlignment w:val="bottom"/>
            </w:pPr>
            <w:r>
              <w:rPr>
                <w:rFonts w:ascii="Arial" w:eastAsia="宋体" w:hAnsi="Arial" w:cs="Arial"/>
                <w:color w:val="000000"/>
                <w:sz w:val="18"/>
                <w:szCs w:val="18"/>
              </w:rPr>
              <w:t>%</w:t>
            </w:r>
          </w:p>
        </w:tc>
      </w:tr>
      <w:tr w:rsidR="002661BA" w14:paraId="22CFACC4" w14:textId="77777777">
        <w:trPr>
          <w:hidden/>
        </w:trPr>
        <w:tc>
          <w:tcPr>
            <w:tcW w:w="0" w:type="auto"/>
            <w:gridSpan w:val="3"/>
            <w:shd w:val="clear" w:color="auto" w:fill="auto"/>
            <w:vAlign w:val="bottom"/>
          </w:tcPr>
          <w:p w14:paraId="22CFACB8" w14:textId="77777777" w:rsidR="002661BA" w:rsidRDefault="002661BA">
            <w:pPr>
              <w:rPr>
                <w:rFonts w:ascii="宋体"/>
                <w:vanish/>
              </w:rPr>
            </w:pPr>
          </w:p>
        </w:tc>
        <w:tc>
          <w:tcPr>
            <w:tcW w:w="0" w:type="auto"/>
            <w:gridSpan w:val="3"/>
            <w:shd w:val="clear" w:color="auto" w:fill="auto"/>
            <w:vAlign w:val="bottom"/>
          </w:tcPr>
          <w:p w14:paraId="22CFACB9" w14:textId="77777777" w:rsidR="002661BA" w:rsidRDefault="002661BA">
            <w:pPr>
              <w:rPr>
                <w:rFonts w:ascii="宋体"/>
                <w:vanish/>
              </w:rPr>
            </w:pPr>
          </w:p>
        </w:tc>
        <w:tc>
          <w:tcPr>
            <w:tcW w:w="0" w:type="auto"/>
            <w:gridSpan w:val="3"/>
            <w:shd w:val="clear" w:color="auto" w:fill="auto"/>
            <w:vAlign w:val="bottom"/>
          </w:tcPr>
          <w:p w14:paraId="22CFACBA" w14:textId="77777777" w:rsidR="002661BA" w:rsidRDefault="002661BA">
            <w:pPr>
              <w:rPr>
                <w:rFonts w:ascii="宋体"/>
                <w:vanish/>
              </w:rPr>
            </w:pPr>
          </w:p>
        </w:tc>
        <w:tc>
          <w:tcPr>
            <w:tcW w:w="0" w:type="auto"/>
            <w:gridSpan w:val="3"/>
            <w:shd w:val="clear" w:color="auto" w:fill="auto"/>
            <w:vAlign w:val="bottom"/>
          </w:tcPr>
          <w:p w14:paraId="22CFACBB" w14:textId="77777777" w:rsidR="002661BA" w:rsidRDefault="002661BA">
            <w:pPr>
              <w:rPr>
                <w:rFonts w:ascii="宋体"/>
                <w:vanish/>
              </w:rPr>
            </w:pPr>
          </w:p>
        </w:tc>
        <w:tc>
          <w:tcPr>
            <w:tcW w:w="0" w:type="auto"/>
            <w:gridSpan w:val="3"/>
            <w:shd w:val="clear" w:color="auto" w:fill="auto"/>
            <w:vAlign w:val="bottom"/>
          </w:tcPr>
          <w:p w14:paraId="22CFACBC" w14:textId="77777777" w:rsidR="002661BA" w:rsidRDefault="002661BA">
            <w:pPr>
              <w:rPr>
                <w:rFonts w:ascii="宋体"/>
                <w:vanish/>
              </w:rPr>
            </w:pPr>
          </w:p>
        </w:tc>
        <w:tc>
          <w:tcPr>
            <w:tcW w:w="0" w:type="auto"/>
            <w:gridSpan w:val="3"/>
            <w:shd w:val="clear" w:color="auto" w:fill="auto"/>
            <w:vAlign w:val="bottom"/>
          </w:tcPr>
          <w:p w14:paraId="22CFACBD" w14:textId="77777777" w:rsidR="002661BA" w:rsidRDefault="002661BA">
            <w:pPr>
              <w:rPr>
                <w:rFonts w:ascii="宋体"/>
                <w:vanish/>
              </w:rPr>
            </w:pPr>
          </w:p>
        </w:tc>
        <w:tc>
          <w:tcPr>
            <w:tcW w:w="0" w:type="auto"/>
            <w:gridSpan w:val="3"/>
            <w:shd w:val="clear" w:color="auto" w:fill="auto"/>
            <w:vAlign w:val="bottom"/>
          </w:tcPr>
          <w:p w14:paraId="22CFACBE" w14:textId="77777777" w:rsidR="002661BA" w:rsidRDefault="002661BA">
            <w:pPr>
              <w:rPr>
                <w:rFonts w:ascii="宋体"/>
                <w:vanish/>
              </w:rPr>
            </w:pPr>
          </w:p>
        </w:tc>
        <w:tc>
          <w:tcPr>
            <w:tcW w:w="0" w:type="auto"/>
            <w:gridSpan w:val="3"/>
            <w:shd w:val="clear" w:color="auto" w:fill="auto"/>
            <w:vAlign w:val="bottom"/>
          </w:tcPr>
          <w:p w14:paraId="22CFACBF" w14:textId="77777777" w:rsidR="002661BA" w:rsidRDefault="002661BA">
            <w:pPr>
              <w:rPr>
                <w:rFonts w:ascii="宋体"/>
                <w:vanish/>
              </w:rPr>
            </w:pPr>
          </w:p>
        </w:tc>
        <w:tc>
          <w:tcPr>
            <w:tcW w:w="0" w:type="auto"/>
            <w:gridSpan w:val="3"/>
            <w:shd w:val="clear" w:color="auto" w:fill="auto"/>
            <w:vAlign w:val="bottom"/>
          </w:tcPr>
          <w:p w14:paraId="22CFACC0" w14:textId="77777777" w:rsidR="002661BA" w:rsidRDefault="002661BA">
            <w:pPr>
              <w:rPr>
                <w:rFonts w:ascii="宋体"/>
                <w:vanish/>
              </w:rPr>
            </w:pPr>
          </w:p>
        </w:tc>
        <w:tc>
          <w:tcPr>
            <w:tcW w:w="0" w:type="auto"/>
            <w:gridSpan w:val="3"/>
            <w:shd w:val="clear" w:color="auto" w:fill="auto"/>
            <w:vAlign w:val="bottom"/>
          </w:tcPr>
          <w:p w14:paraId="22CFACC1" w14:textId="77777777" w:rsidR="002661BA" w:rsidRDefault="002661BA">
            <w:pPr>
              <w:rPr>
                <w:rFonts w:ascii="宋体"/>
                <w:vanish/>
              </w:rPr>
            </w:pPr>
          </w:p>
        </w:tc>
        <w:tc>
          <w:tcPr>
            <w:tcW w:w="0" w:type="auto"/>
            <w:gridSpan w:val="3"/>
            <w:shd w:val="clear" w:color="auto" w:fill="auto"/>
            <w:vAlign w:val="bottom"/>
          </w:tcPr>
          <w:p w14:paraId="22CFACC2" w14:textId="77777777" w:rsidR="002661BA" w:rsidRDefault="002661BA">
            <w:pPr>
              <w:rPr>
                <w:rFonts w:ascii="宋体"/>
                <w:vanish/>
              </w:rPr>
            </w:pPr>
          </w:p>
        </w:tc>
        <w:tc>
          <w:tcPr>
            <w:tcW w:w="0" w:type="auto"/>
            <w:gridSpan w:val="3"/>
            <w:shd w:val="clear" w:color="auto" w:fill="auto"/>
            <w:vAlign w:val="bottom"/>
          </w:tcPr>
          <w:p w14:paraId="22CFACC3" w14:textId="77777777" w:rsidR="002661BA" w:rsidRDefault="002661BA">
            <w:pPr>
              <w:rPr>
                <w:rFonts w:ascii="宋体"/>
                <w:vanish/>
              </w:rPr>
            </w:pPr>
          </w:p>
        </w:tc>
      </w:tr>
      <w:tr w:rsidR="002661BA" w14:paraId="22CFACD1" w14:textId="77777777">
        <w:trPr>
          <w:hidden/>
        </w:trPr>
        <w:tc>
          <w:tcPr>
            <w:tcW w:w="0" w:type="auto"/>
            <w:gridSpan w:val="3"/>
            <w:shd w:val="clear" w:color="auto" w:fill="auto"/>
            <w:vAlign w:val="bottom"/>
          </w:tcPr>
          <w:p w14:paraId="22CFACC5" w14:textId="77777777" w:rsidR="002661BA" w:rsidRDefault="002661BA">
            <w:pPr>
              <w:rPr>
                <w:rFonts w:ascii="宋体"/>
                <w:vanish/>
              </w:rPr>
            </w:pPr>
          </w:p>
        </w:tc>
        <w:tc>
          <w:tcPr>
            <w:tcW w:w="0" w:type="auto"/>
            <w:gridSpan w:val="3"/>
            <w:shd w:val="clear" w:color="auto" w:fill="auto"/>
            <w:vAlign w:val="bottom"/>
          </w:tcPr>
          <w:p w14:paraId="22CFACC6" w14:textId="77777777" w:rsidR="002661BA" w:rsidRDefault="002661BA">
            <w:pPr>
              <w:rPr>
                <w:rFonts w:ascii="宋体"/>
                <w:vanish/>
              </w:rPr>
            </w:pPr>
          </w:p>
        </w:tc>
        <w:tc>
          <w:tcPr>
            <w:tcW w:w="0" w:type="auto"/>
            <w:gridSpan w:val="3"/>
            <w:shd w:val="clear" w:color="auto" w:fill="auto"/>
            <w:vAlign w:val="bottom"/>
          </w:tcPr>
          <w:p w14:paraId="22CFACC7" w14:textId="77777777" w:rsidR="002661BA" w:rsidRDefault="002661BA">
            <w:pPr>
              <w:rPr>
                <w:rFonts w:ascii="宋体"/>
                <w:vanish/>
              </w:rPr>
            </w:pPr>
          </w:p>
        </w:tc>
        <w:tc>
          <w:tcPr>
            <w:tcW w:w="0" w:type="auto"/>
            <w:gridSpan w:val="3"/>
            <w:shd w:val="clear" w:color="auto" w:fill="auto"/>
            <w:vAlign w:val="bottom"/>
          </w:tcPr>
          <w:p w14:paraId="22CFACC8" w14:textId="77777777" w:rsidR="002661BA" w:rsidRDefault="002661BA">
            <w:pPr>
              <w:rPr>
                <w:rFonts w:ascii="宋体"/>
                <w:vanish/>
              </w:rPr>
            </w:pPr>
          </w:p>
        </w:tc>
        <w:tc>
          <w:tcPr>
            <w:tcW w:w="0" w:type="auto"/>
            <w:gridSpan w:val="3"/>
            <w:shd w:val="clear" w:color="auto" w:fill="auto"/>
            <w:vAlign w:val="bottom"/>
          </w:tcPr>
          <w:p w14:paraId="22CFACC9" w14:textId="77777777" w:rsidR="002661BA" w:rsidRDefault="002661BA">
            <w:pPr>
              <w:rPr>
                <w:rFonts w:ascii="宋体"/>
                <w:vanish/>
              </w:rPr>
            </w:pPr>
          </w:p>
        </w:tc>
        <w:tc>
          <w:tcPr>
            <w:tcW w:w="0" w:type="auto"/>
            <w:gridSpan w:val="3"/>
            <w:shd w:val="clear" w:color="auto" w:fill="auto"/>
            <w:vAlign w:val="bottom"/>
          </w:tcPr>
          <w:p w14:paraId="22CFACCA" w14:textId="77777777" w:rsidR="002661BA" w:rsidRDefault="002661BA">
            <w:pPr>
              <w:rPr>
                <w:rFonts w:ascii="宋体"/>
                <w:vanish/>
              </w:rPr>
            </w:pPr>
          </w:p>
        </w:tc>
        <w:tc>
          <w:tcPr>
            <w:tcW w:w="0" w:type="auto"/>
            <w:gridSpan w:val="3"/>
            <w:shd w:val="clear" w:color="auto" w:fill="auto"/>
            <w:vAlign w:val="bottom"/>
          </w:tcPr>
          <w:p w14:paraId="22CFACCB" w14:textId="77777777" w:rsidR="002661BA" w:rsidRDefault="002661BA">
            <w:pPr>
              <w:rPr>
                <w:rFonts w:ascii="宋体"/>
                <w:vanish/>
              </w:rPr>
            </w:pPr>
          </w:p>
        </w:tc>
        <w:tc>
          <w:tcPr>
            <w:tcW w:w="0" w:type="auto"/>
            <w:gridSpan w:val="3"/>
            <w:shd w:val="clear" w:color="auto" w:fill="auto"/>
            <w:vAlign w:val="bottom"/>
          </w:tcPr>
          <w:p w14:paraId="22CFACCC" w14:textId="77777777" w:rsidR="002661BA" w:rsidRDefault="002661BA">
            <w:pPr>
              <w:rPr>
                <w:rFonts w:ascii="宋体"/>
                <w:vanish/>
              </w:rPr>
            </w:pPr>
          </w:p>
        </w:tc>
        <w:tc>
          <w:tcPr>
            <w:tcW w:w="0" w:type="auto"/>
            <w:gridSpan w:val="3"/>
            <w:shd w:val="clear" w:color="auto" w:fill="auto"/>
            <w:vAlign w:val="bottom"/>
          </w:tcPr>
          <w:p w14:paraId="22CFACCD" w14:textId="77777777" w:rsidR="002661BA" w:rsidRDefault="002661BA">
            <w:pPr>
              <w:rPr>
                <w:rFonts w:ascii="宋体"/>
                <w:vanish/>
              </w:rPr>
            </w:pPr>
          </w:p>
        </w:tc>
        <w:tc>
          <w:tcPr>
            <w:tcW w:w="0" w:type="auto"/>
            <w:gridSpan w:val="3"/>
            <w:shd w:val="clear" w:color="auto" w:fill="auto"/>
            <w:vAlign w:val="bottom"/>
          </w:tcPr>
          <w:p w14:paraId="22CFACCE" w14:textId="77777777" w:rsidR="002661BA" w:rsidRDefault="002661BA">
            <w:pPr>
              <w:rPr>
                <w:rFonts w:ascii="宋体"/>
                <w:vanish/>
              </w:rPr>
            </w:pPr>
          </w:p>
        </w:tc>
        <w:tc>
          <w:tcPr>
            <w:tcW w:w="0" w:type="auto"/>
            <w:gridSpan w:val="3"/>
            <w:shd w:val="clear" w:color="auto" w:fill="auto"/>
            <w:vAlign w:val="bottom"/>
          </w:tcPr>
          <w:p w14:paraId="22CFACCF" w14:textId="77777777" w:rsidR="002661BA" w:rsidRDefault="002661BA">
            <w:pPr>
              <w:rPr>
                <w:rFonts w:ascii="宋体"/>
                <w:vanish/>
              </w:rPr>
            </w:pPr>
          </w:p>
        </w:tc>
        <w:tc>
          <w:tcPr>
            <w:tcW w:w="0" w:type="auto"/>
            <w:gridSpan w:val="3"/>
            <w:shd w:val="clear" w:color="auto" w:fill="auto"/>
            <w:vAlign w:val="bottom"/>
          </w:tcPr>
          <w:p w14:paraId="22CFACD0" w14:textId="77777777" w:rsidR="002661BA" w:rsidRDefault="002661BA">
            <w:pPr>
              <w:rPr>
                <w:rFonts w:ascii="宋体"/>
                <w:vanish/>
              </w:rPr>
            </w:pPr>
          </w:p>
        </w:tc>
      </w:tr>
      <w:tr w:rsidR="002661BA" w14:paraId="22CFACDE" w14:textId="77777777">
        <w:trPr>
          <w:hidden/>
        </w:trPr>
        <w:tc>
          <w:tcPr>
            <w:tcW w:w="0" w:type="auto"/>
            <w:gridSpan w:val="3"/>
            <w:shd w:val="clear" w:color="auto" w:fill="auto"/>
            <w:vAlign w:val="bottom"/>
          </w:tcPr>
          <w:p w14:paraId="22CFACD2" w14:textId="77777777" w:rsidR="002661BA" w:rsidRDefault="002661BA">
            <w:pPr>
              <w:rPr>
                <w:rFonts w:ascii="宋体"/>
                <w:vanish/>
              </w:rPr>
            </w:pPr>
          </w:p>
        </w:tc>
        <w:tc>
          <w:tcPr>
            <w:tcW w:w="0" w:type="auto"/>
            <w:gridSpan w:val="3"/>
            <w:shd w:val="clear" w:color="auto" w:fill="auto"/>
            <w:vAlign w:val="bottom"/>
          </w:tcPr>
          <w:p w14:paraId="22CFACD3" w14:textId="77777777" w:rsidR="002661BA" w:rsidRDefault="002661BA">
            <w:pPr>
              <w:rPr>
                <w:rFonts w:ascii="宋体"/>
                <w:vanish/>
              </w:rPr>
            </w:pPr>
          </w:p>
        </w:tc>
        <w:tc>
          <w:tcPr>
            <w:tcW w:w="0" w:type="auto"/>
            <w:gridSpan w:val="3"/>
            <w:shd w:val="clear" w:color="auto" w:fill="auto"/>
            <w:vAlign w:val="bottom"/>
          </w:tcPr>
          <w:p w14:paraId="22CFACD4" w14:textId="77777777" w:rsidR="002661BA" w:rsidRDefault="002661BA">
            <w:pPr>
              <w:rPr>
                <w:rFonts w:ascii="宋体"/>
                <w:vanish/>
              </w:rPr>
            </w:pPr>
          </w:p>
        </w:tc>
        <w:tc>
          <w:tcPr>
            <w:tcW w:w="0" w:type="auto"/>
            <w:gridSpan w:val="3"/>
            <w:shd w:val="clear" w:color="auto" w:fill="auto"/>
            <w:vAlign w:val="bottom"/>
          </w:tcPr>
          <w:p w14:paraId="22CFACD5" w14:textId="77777777" w:rsidR="002661BA" w:rsidRDefault="002661BA">
            <w:pPr>
              <w:rPr>
                <w:rFonts w:ascii="宋体"/>
                <w:vanish/>
              </w:rPr>
            </w:pPr>
          </w:p>
        </w:tc>
        <w:tc>
          <w:tcPr>
            <w:tcW w:w="0" w:type="auto"/>
            <w:gridSpan w:val="3"/>
            <w:shd w:val="clear" w:color="auto" w:fill="auto"/>
            <w:vAlign w:val="bottom"/>
          </w:tcPr>
          <w:p w14:paraId="22CFACD6" w14:textId="77777777" w:rsidR="002661BA" w:rsidRDefault="002661BA">
            <w:pPr>
              <w:rPr>
                <w:rFonts w:ascii="宋体"/>
                <w:vanish/>
              </w:rPr>
            </w:pPr>
          </w:p>
        </w:tc>
        <w:tc>
          <w:tcPr>
            <w:tcW w:w="0" w:type="auto"/>
            <w:gridSpan w:val="3"/>
            <w:shd w:val="clear" w:color="auto" w:fill="auto"/>
            <w:vAlign w:val="bottom"/>
          </w:tcPr>
          <w:p w14:paraId="22CFACD7" w14:textId="77777777" w:rsidR="002661BA" w:rsidRDefault="002661BA">
            <w:pPr>
              <w:rPr>
                <w:rFonts w:ascii="宋体"/>
                <w:vanish/>
              </w:rPr>
            </w:pPr>
          </w:p>
        </w:tc>
        <w:tc>
          <w:tcPr>
            <w:tcW w:w="0" w:type="auto"/>
            <w:gridSpan w:val="3"/>
            <w:shd w:val="clear" w:color="auto" w:fill="auto"/>
            <w:vAlign w:val="bottom"/>
          </w:tcPr>
          <w:p w14:paraId="22CFACD8" w14:textId="77777777" w:rsidR="002661BA" w:rsidRDefault="002661BA">
            <w:pPr>
              <w:rPr>
                <w:rFonts w:ascii="宋体"/>
                <w:vanish/>
              </w:rPr>
            </w:pPr>
          </w:p>
        </w:tc>
        <w:tc>
          <w:tcPr>
            <w:tcW w:w="0" w:type="auto"/>
            <w:gridSpan w:val="3"/>
            <w:shd w:val="clear" w:color="auto" w:fill="auto"/>
            <w:vAlign w:val="bottom"/>
          </w:tcPr>
          <w:p w14:paraId="22CFACD9" w14:textId="77777777" w:rsidR="002661BA" w:rsidRDefault="002661BA">
            <w:pPr>
              <w:rPr>
                <w:rFonts w:ascii="宋体"/>
                <w:vanish/>
              </w:rPr>
            </w:pPr>
          </w:p>
        </w:tc>
        <w:tc>
          <w:tcPr>
            <w:tcW w:w="0" w:type="auto"/>
            <w:gridSpan w:val="3"/>
            <w:shd w:val="clear" w:color="auto" w:fill="auto"/>
            <w:vAlign w:val="bottom"/>
          </w:tcPr>
          <w:p w14:paraId="22CFACDA" w14:textId="77777777" w:rsidR="002661BA" w:rsidRDefault="002661BA">
            <w:pPr>
              <w:rPr>
                <w:rFonts w:ascii="宋体"/>
                <w:vanish/>
              </w:rPr>
            </w:pPr>
          </w:p>
        </w:tc>
        <w:tc>
          <w:tcPr>
            <w:tcW w:w="0" w:type="auto"/>
            <w:gridSpan w:val="3"/>
            <w:shd w:val="clear" w:color="auto" w:fill="auto"/>
            <w:vAlign w:val="bottom"/>
          </w:tcPr>
          <w:p w14:paraId="22CFACDB" w14:textId="77777777" w:rsidR="002661BA" w:rsidRDefault="002661BA">
            <w:pPr>
              <w:rPr>
                <w:rFonts w:ascii="宋体"/>
                <w:vanish/>
              </w:rPr>
            </w:pPr>
          </w:p>
        </w:tc>
        <w:tc>
          <w:tcPr>
            <w:tcW w:w="0" w:type="auto"/>
            <w:gridSpan w:val="3"/>
            <w:shd w:val="clear" w:color="auto" w:fill="auto"/>
            <w:vAlign w:val="bottom"/>
          </w:tcPr>
          <w:p w14:paraId="22CFACDC" w14:textId="77777777" w:rsidR="002661BA" w:rsidRDefault="002661BA">
            <w:pPr>
              <w:rPr>
                <w:rFonts w:ascii="宋体"/>
                <w:vanish/>
              </w:rPr>
            </w:pPr>
          </w:p>
        </w:tc>
        <w:tc>
          <w:tcPr>
            <w:tcW w:w="0" w:type="auto"/>
            <w:gridSpan w:val="3"/>
            <w:shd w:val="clear" w:color="auto" w:fill="auto"/>
            <w:vAlign w:val="bottom"/>
          </w:tcPr>
          <w:p w14:paraId="22CFACDD" w14:textId="77777777" w:rsidR="002661BA" w:rsidRDefault="002661BA">
            <w:pPr>
              <w:rPr>
                <w:rFonts w:ascii="宋体"/>
                <w:vanish/>
              </w:rPr>
            </w:pPr>
          </w:p>
        </w:tc>
      </w:tr>
      <w:tr w:rsidR="002661BA" w14:paraId="22CFACF5" w14:textId="77777777">
        <w:tc>
          <w:tcPr>
            <w:tcW w:w="0" w:type="auto"/>
            <w:gridSpan w:val="3"/>
            <w:shd w:val="clear" w:color="auto" w:fill="FFFFFF"/>
            <w:tcMar>
              <w:top w:w="40" w:type="dxa"/>
              <w:left w:w="380" w:type="dxa"/>
              <w:bottom w:w="40" w:type="dxa"/>
              <w:right w:w="20" w:type="dxa"/>
            </w:tcMar>
            <w:vAlign w:val="bottom"/>
          </w:tcPr>
          <w:p w14:paraId="22CFACDF" w14:textId="77777777" w:rsidR="002661BA" w:rsidRDefault="00D972BC">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ACE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ACE1" w14:textId="77777777" w:rsidR="002661BA" w:rsidRDefault="00D972BC">
            <w:pPr>
              <w:jc w:val="right"/>
              <w:textAlignment w:val="bottom"/>
            </w:pPr>
            <w:r>
              <w:rPr>
                <w:rFonts w:ascii="Arial" w:eastAsia="宋体" w:hAnsi="Arial" w:cs="Arial"/>
                <w:color w:val="000000"/>
                <w:sz w:val="18"/>
                <w:szCs w:val="18"/>
              </w:rPr>
              <w:t>8,894 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ACE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CE3"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ACE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ACE5" w14:textId="77777777" w:rsidR="002661BA" w:rsidRDefault="00D972BC">
            <w:pPr>
              <w:jc w:val="right"/>
              <w:textAlignment w:val="bottom"/>
            </w:pPr>
            <w:r>
              <w:rPr>
                <w:rFonts w:ascii="Arial" w:eastAsia="宋体" w:hAnsi="Arial" w:cs="Arial"/>
                <w:color w:val="000000"/>
                <w:sz w:val="18"/>
                <w:szCs w:val="18"/>
              </w:rPr>
              <w:t>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ACE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CE7"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ACE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ACE9" w14:textId="77777777" w:rsidR="002661BA" w:rsidRDefault="00D972BC">
            <w:pPr>
              <w:jc w:val="right"/>
              <w:textAlignment w:val="bottom"/>
            </w:pPr>
            <w:r>
              <w:rPr>
                <w:rFonts w:ascii="Arial" w:eastAsia="宋体" w:hAnsi="Arial" w:cs="Arial"/>
                <w:color w:val="000000"/>
                <w:sz w:val="18"/>
                <w:szCs w:val="18"/>
              </w:rPr>
              <w:t>8,868 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ACEA"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CEB"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ACE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ACED" w14:textId="77777777" w:rsidR="002661BA" w:rsidRDefault="00D972BC">
            <w:pPr>
              <w:jc w:val="right"/>
              <w:textAlignment w:val="bottom"/>
            </w:pPr>
            <w:r>
              <w:rPr>
                <w:rFonts w:ascii="Arial" w:eastAsia="宋体" w:hAnsi="Arial" w:cs="Arial"/>
                <w:color w:val="000000"/>
                <w:sz w:val="18"/>
                <w:szCs w:val="18"/>
              </w:rPr>
              <w:t>7,429 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ACE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CEF" w14:textId="77777777" w:rsidR="002661BA" w:rsidRDefault="002661B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ACF0" w14:textId="77777777" w:rsidR="002661BA" w:rsidRDefault="00D972BC">
            <w:pPr>
              <w:jc w:val="right"/>
              <w:textAlignment w:val="bottom"/>
            </w:pPr>
            <w:r>
              <w:rPr>
                <w:rFonts w:ascii="Arial" w:eastAsia="宋体" w:hAnsi="Arial" w:cs="Arial"/>
                <w:color w:val="000000"/>
                <w:sz w:val="18"/>
                <w:szCs w:val="18"/>
              </w:rPr>
              <w:t>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ACF1"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22CFACF2" w14:textId="77777777" w:rsidR="002661BA" w:rsidRDefault="002661B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ACF3" w14:textId="77777777" w:rsidR="002661BA" w:rsidRDefault="00D972BC">
            <w:pPr>
              <w:jc w:val="right"/>
              <w:textAlignment w:val="bottom"/>
            </w:pPr>
            <w:r>
              <w:rPr>
                <w:rFonts w:ascii="Arial" w:eastAsia="宋体" w:hAnsi="Arial" w:cs="Arial"/>
                <w:color w:val="000000"/>
                <w:sz w:val="18"/>
                <w:szCs w:val="18"/>
              </w:rPr>
              <w:t>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ACF4" w14:textId="77777777" w:rsidR="002661BA" w:rsidRDefault="00D972BC">
            <w:pPr>
              <w:jc w:val="right"/>
              <w:textAlignment w:val="bottom"/>
            </w:pPr>
            <w:r>
              <w:rPr>
                <w:rFonts w:ascii="Arial" w:eastAsia="宋体" w:hAnsi="Arial" w:cs="Arial"/>
                <w:color w:val="000000"/>
                <w:sz w:val="18"/>
                <w:szCs w:val="18"/>
              </w:rPr>
              <w:t>%</w:t>
            </w:r>
          </w:p>
        </w:tc>
      </w:tr>
    </w:tbl>
    <w:p w14:paraId="22CFACF6" w14:textId="77777777" w:rsidR="002661BA" w:rsidRDefault="00D972BC">
      <w:pPr>
        <w:spacing w:after="60"/>
        <w:ind w:hanging="360"/>
        <w:jc w:val="both"/>
      </w:pPr>
      <w:r>
        <w:rPr>
          <w:rFonts w:ascii="Arial" w:eastAsia="宋体" w:hAnsi="Arial" w:cs="Arial"/>
          <w:color w:val="000000"/>
          <w:sz w:val="16"/>
          <w:szCs w:val="16"/>
        </w:rPr>
        <w:t>(1)We define exchange rate effect as the year-over-year impact of foreign currency movements using prior period foreign currency rates applied to current year transactional currency amounts, excluding hedging</w:t>
      </w:r>
      <w:r>
        <w:rPr>
          <w:rFonts w:ascii="Arial" w:eastAsia="宋体" w:hAnsi="Arial" w:cs="Arial"/>
          <w:color w:val="000000"/>
          <w:sz w:val="16"/>
          <w:szCs w:val="16"/>
        </w:rPr>
        <w:t xml:space="preserve"> activity. </w:t>
      </w:r>
    </w:p>
    <w:p w14:paraId="22CFACF7" w14:textId="77777777" w:rsidR="002661BA" w:rsidRDefault="00D972BC">
      <w:pPr>
        <w:spacing w:after="60"/>
        <w:ind w:hanging="360"/>
        <w:jc w:val="both"/>
      </w:pPr>
      <w:r>
        <w:rPr>
          <w:rFonts w:ascii="Arial" w:eastAsia="宋体" w:hAnsi="Arial" w:cs="Arial"/>
          <w:color w:val="000000"/>
          <w:sz w:val="16"/>
          <w:szCs w:val="16"/>
        </w:rPr>
        <w:t>(2)We define FX-Neutral GMV as GMV minus the exchange rate effect. We define the non-GAAP financial measures of FX-Neutral net revenues as net revenues minus the exchange rate effect.</w:t>
      </w:r>
    </w:p>
    <w:p w14:paraId="22CFACF8" w14:textId="77777777" w:rsidR="002661BA" w:rsidRDefault="00D972BC">
      <w:pPr>
        <w:spacing w:after="60"/>
        <w:ind w:hanging="360"/>
        <w:jc w:val="both"/>
      </w:pPr>
      <w:r>
        <w:rPr>
          <w:rFonts w:ascii="Arial" w:eastAsia="宋体" w:hAnsi="Arial" w:cs="Arial"/>
          <w:color w:val="000000"/>
          <w:sz w:val="16"/>
          <w:szCs w:val="16"/>
        </w:rPr>
        <w:t xml:space="preserve">(3)Net transaction revenues were net of $65 million, $15 </w:t>
      </w:r>
      <w:r>
        <w:rPr>
          <w:rFonts w:ascii="Arial" w:eastAsia="宋体" w:hAnsi="Arial" w:cs="Arial"/>
          <w:color w:val="000000"/>
          <w:sz w:val="16"/>
          <w:szCs w:val="16"/>
        </w:rPr>
        <w:t>million and $81 million of hedging activity in 2021, 2020 and 2019, respectively.     </w:t>
      </w:r>
    </w:p>
    <w:p w14:paraId="22CFACF9" w14:textId="77777777" w:rsidR="002661BA" w:rsidRDefault="002661BA">
      <w:pPr>
        <w:spacing w:before="60"/>
        <w:ind w:hanging="360"/>
        <w:jc w:val="both"/>
      </w:pPr>
    </w:p>
    <w:p w14:paraId="22CFACFA" w14:textId="77777777" w:rsidR="002661BA" w:rsidRDefault="00D972BC">
      <w:pPr>
        <w:jc w:val="center"/>
      </w:pPr>
      <w:r>
        <w:rPr>
          <w:rFonts w:ascii="Arial" w:eastAsia="宋体" w:hAnsi="Arial" w:cs="Arial"/>
          <w:color w:val="000000"/>
          <w:sz w:val="18"/>
          <w:szCs w:val="18"/>
        </w:rPr>
        <w:t>41</w:t>
      </w:r>
    </w:p>
    <w:p w14:paraId="22CFACFB" w14:textId="77777777" w:rsidR="002661BA" w:rsidRDefault="00D972BC">
      <w:r>
        <w:pict w14:anchorId="22CFE4DA">
          <v:rect id="_x0000_i1065" style="width:415.3pt;height:1.5pt" o:hralign="center" o:hrstd="t" o:hr="t" fillcolor="#a0a0a0" stroked="f"/>
        </w:pict>
      </w:r>
    </w:p>
    <w:p w14:paraId="22CFACFC" w14:textId="77777777" w:rsidR="002661BA" w:rsidRDefault="00D972BC">
      <w:hyperlink r:id="rId67" w:anchor="id0d7a71b05ce452ea9fdb54f3cb359c7_7" w:history="1">
        <w:r>
          <w:rPr>
            <w:rStyle w:val="a5"/>
            <w:rFonts w:ascii="Arial" w:eastAsia="宋体" w:hAnsi="Arial" w:cs="Arial"/>
            <w:sz w:val="18"/>
            <w:szCs w:val="18"/>
          </w:rPr>
          <w:t>Table of Cont</w:t>
        </w:r>
        <w:r>
          <w:rPr>
            <w:rStyle w:val="a5"/>
            <w:rFonts w:ascii="Arial" w:eastAsia="宋体" w:hAnsi="Arial" w:cs="Arial"/>
            <w:sz w:val="18"/>
            <w:szCs w:val="18"/>
          </w:rPr>
          <w:t>ents</w:t>
        </w:r>
      </w:hyperlink>
    </w:p>
    <w:p w14:paraId="22CFACFD" w14:textId="77777777" w:rsidR="002661BA" w:rsidRDefault="00D972BC">
      <w:pPr>
        <w:jc w:val="both"/>
      </w:pPr>
      <w:r>
        <w:rPr>
          <w:rFonts w:ascii="Arial" w:eastAsia="宋体" w:hAnsi="Arial" w:cs="Arial"/>
          <w:b/>
          <w:bCs/>
          <w:color w:val="000000"/>
          <w:sz w:val="20"/>
          <w:szCs w:val="20"/>
        </w:rPr>
        <w:t xml:space="preserve">Liquidity and Capital Resources </w:t>
      </w:r>
    </w:p>
    <w:p w14:paraId="22CFACFE" w14:textId="77777777" w:rsidR="002661BA" w:rsidRDefault="002661BA">
      <w:pPr>
        <w:jc w:val="both"/>
      </w:pPr>
    </w:p>
    <w:p w14:paraId="22CFACFF" w14:textId="77777777" w:rsidR="002661BA" w:rsidRDefault="00D972BC">
      <w:pPr>
        <w:jc w:val="both"/>
      </w:pPr>
      <w:r>
        <w:rPr>
          <w:rFonts w:ascii="Arial" w:eastAsia="宋体" w:hAnsi="Arial" w:cs="Arial"/>
          <w:b/>
          <w:bCs/>
          <w:i/>
          <w:iCs/>
          <w:color w:val="000000"/>
          <w:sz w:val="20"/>
          <w:szCs w:val="20"/>
        </w:rPr>
        <w:t>Cash Flows</w:t>
      </w:r>
      <w:r>
        <w:rPr>
          <w:rFonts w:ascii="Arial" w:eastAsia="宋体" w:hAnsi="Arial" w:cs="Arial"/>
          <w:b/>
          <w:bCs/>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4875"/>
        <w:gridCol w:w="37"/>
        <w:gridCol w:w="121"/>
        <w:gridCol w:w="899"/>
        <w:gridCol w:w="36"/>
        <w:gridCol w:w="36"/>
        <w:gridCol w:w="36"/>
        <w:gridCol w:w="36"/>
        <w:gridCol w:w="121"/>
        <w:gridCol w:w="899"/>
        <w:gridCol w:w="36"/>
        <w:gridCol w:w="36"/>
        <w:gridCol w:w="36"/>
        <w:gridCol w:w="36"/>
        <w:gridCol w:w="121"/>
        <w:gridCol w:w="901"/>
        <w:gridCol w:w="36"/>
      </w:tblGrid>
      <w:tr w:rsidR="002661BA" w14:paraId="22CFAD12" w14:textId="77777777">
        <w:tc>
          <w:tcPr>
            <w:tcW w:w="50" w:type="pct"/>
            <w:shd w:val="clear" w:color="auto" w:fill="auto"/>
            <w:vAlign w:val="bottom"/>
          </w:tcPr>
          <w:p w14:paraId="22CFAD00" w14:textId="77777777" w:rsidR="002661BA" w:rsidRDefault="002661BA">
            <w:pPr>
              <w:rPr>
                <w:rFonts w:ascii="宋体"/>
              </w:rPr>
            </w:pPr>
          </w:p>
        </w:tc>
        <w:tc>
          <w:tcPr>
            <w:tcW w:w="2978" w:type="pct"/>
            <w:shd w:val="clear" w:color="auto" w:fill="auto"/>
            <w:vAlign w:val="bottom"/>
          </w:tcPr>
          <w:p w14:paraId="22CFAD01" w14:textId="77777777" w:rsidR="002661BA" w:rsidRDefault="002661BA">
            <w:pPr>
              <w:rPr>
                <w:rFonts w:ascii="宋体"/>
              </w:rPr>
            </w:pPr>
          </w:p>
        </w:tc>
        <w:tc>
          <w:tcPr>
            <w:tcW w:w="5" w:type="pct"/>
            <w:shd w:val="clear" w:color="auto" w:fill="auto"/>
            <w:vAlign w:val="bottom"/>
          </w:tcPr>
          <w:p w14:paraId="22CFAD02" w14:textId="77777777" w:rsidR="002661BA" w:rsidRDefault="002661BA">
            <w:pPr>
              <w:rPr>
                <w:rFonts w:ascii="宋体"/>
              </w:rPr>
            </w:pPr>
          </w:p>
        </w:tc>
        <w:tc>
          <w:tcPr>
            <w:tcW w:w="50" w:type="pct"/>
            <w:shd w:val="clear" w:color="auto" w:fill="auto"/>
            <w:vAlign w:val="bottom"/>
          </w:tcPr>
          <w:p w14:paraId="22CFAD03" w14:textId="77777777" w:rsidR="002661BA" w:rsidRDefault="002661BA">
            <w:pPr>
              <w:rPr>
                <w:rFonts w:ascii="宋体"/>
              </w:rPr>
            </w:pPr>
          </w:p>
        </w:tc>
        <w:tc>
          <w:tcPr>
            <w:tcW w:w="580" w:type="pct"/>
            <w:shd w:val="clear" w:color="auto" w:fill="auto"/>
            <w:vAlign w:val="bottom"/>
          </w:tcPr>
          <w:p w14:paraId="22CFAD04" w14:textId="77777777" w:rsidR="002661BA" w:rsidRDefault="002661BA">
            <w:pPr>
              <w:rPr>
                <w:rFonts w:ascii="宋体"/>
              </w:rPr>
            </w:pPr>
          </w:p>
        </w:tc>
        <w:tc>
          <w:tcPr>
            <w:tcW w:w="5" w:type="pct"/>
            <w:shd w:val="clear" w:color="auto" w:fill="auto"/>
            <w:vAlign w:val="bottom"/>
          </w:tcPr>
          <w:p w14:paraId="22CFAD05" w14:textId="77777777" w:rsidR="002661BA" w:rsidRDefault="002661BA">
            <w:pPr>
              <w:rPr>
                <w:rFonts w:ascii="宋体"/>
              </w:rPr>
            </w:pPr>
          </w:p>
        </w:tc>
        <w:tc>
          <w:tcPr>
            <w:tcW w:w="5" w:type="pct"/>
            <w:shd w:val="clear" w:color="auto" w:fill="auto"/>
            <w:vAlign w:val="bottom"/>
          </w:tcPr>
          <w:p w14:paraId="22CFAD06" w14:textId="77777777" w:rsidR="002661BA" w:rsidRDefault="002661BA">
            <w:pPr>
              <w:rPr>
                <w:rFonts w:ascii="宋体"/>
              </w:rPr>
            </w:pPr>
          </w:p>
        </w:tc>
        <w:tc>
          <w:tcPr>
            <w:tcW w:w="19" w:type="pct"/>
            <w:shd w:val="clear" w:color="auto" w:fill="auto"/>
            <w:vAlign w:val="bottom"/>
          </w:tcPr>
          <w:p w14:paraId="22CFAD07" w14:textId="77777777" w:rsidR="002661BA" w:rsidRDefault="002661BA">
            <w:pPr>
              <w:rPr>
                <w:rFonts w:ascii="宋体"/>
              </w:rPr>
            </w:pPr>
          </w:p>
        </w:tc>
        <w:tc>
          <w:tcPr>
            <w:tcW w:w="5" w:type="pct"/>
            <w:shd w:val="clear" w:color="auto" w:fill="auto"/>
            <w:vAlign w:val="bottom"/>
          </w:tcPr>
          <w:p w14:paraId="22CFAD08" w14:textId="77777777" w:rsidR="002661BA" w:rsidRDefault="002661BA">
            <w:pPr>
              <w:rPr>
                <w:rFonts w:ascii="宋体"/>
              </w:rPr>
            </w:pPr>
          </w:p>
        </w:tc>
        <w:tc>
          <w:tcPr>
            <w:tcW w:w="50" w:type="pct"/>
            <w:shd w:val="clear" w:color="auto" w:fill="auto"/>
            <w:vAlign w:val="bottom"/>
          </w:tcPr>
          <w:p w14:paraId="22CFAD09" w14:textId="77777777" w:rsidR="002661BA" w:rsidRDefault="002661BA">
            <w:pPr>
              <w:rPr>
                <w:rFonts w:ascii="宋体"/>
              </w:rPr>
            </w:pPr>
          </w:p>
        </w:tc>
        <w:tc>
          <w:tcPr>
            <w:tcW w:w="580" w:type="pct"/>
            <w:shd w:val="clear" w:color="auto" w:fill="auto"/>
            <w:vAlign w:val="bottom"/>
          </w:tcPr>
          <w:p w14:paraId="22CFAD0A" w14:textId="77777777" w:rsidR="002661BA" w:rsidRDefault="002661BA">
            <w:pPr>
              <w:rPr>
                <w:rFonts w:ascii="宋体"/>
              </w:rPr>
            </w:pPr>
          </w:p>
        </w:tc>
        <w:tc>
          <w:tcPr>
            <w:tcW w:w="5" w:type="pct"/>
            <w:shd w:val="clear" w:color="auto" w:fill="auto"/>
            <w:vAlign w:val="bottom"/>
          </w:tcPr>
          <w:p w14:paraId="22CFAD0B" w14:textId="77777777" w:rsidR="002661BA" w:rsidRDefault="002661BA">
            <w:pPr>
              <w:rPr>
                <w:rFonts w:ascii="宋体"/>
              </w:rPr>
            </w:pPr>
          </w:p>
        </w:tc>
        <w:tc>
          <w:tcPr>
            <w:tcW w:w="5" w:type="pct"/>
            <w:shd w:val="clear" w:color="auto" w:fill="auto"/>
            <w:vAlign w:val="bottom"/>
          </w:tcPr>
          <w:p w14:paraId="22CFAD0C" w14:textId="77777777" w:rsidR="002661BA" w:rsidRDefault="002661BA">
            <w:pPr>
              <w:rPr>
                <w:rFonts w:ascii="宋体"/>
              </w:rPr>
            </w:pPr>
          </w:p>
        </w:tc>
        <w:tc>
          <w:tcPr>
            <w:tcW w:w="19" w:type="pct"/>
            <w:shd w:val="clear" w:color="auto" w:fill="auto"/>
            <w:vAlign w:val="bottom"/>
          </w:tcPr>
          <w:p w14:paraId="22CFAD0D" w14:textId="77777777" w:rsidR="002661BA" w:rsidRDefault="002661BA">
            <w:pPr>
              <w:rPr>
                <w:rFonts w:ascii="宋体"/>
              </w:rPr>
            </w:pPr>
          </w:p>
        </w:tc>
        <w:tc>
          <w:tcPr>
            <w:tcW w:w="5" w:type="pct"/>
            <w:shd w:val="clear" w:color="auto" w:fill="auto"/>
            <w:vAlign w:val="bottom"/>
          </w:tcPr>
          <w:p w14:paraId="22CFAD0E" w14:textId="77777777" w:rsidR="002661BA" w:rsidRDefault="002661BA">
            <w:pPr>
              <w:rPr>
                <w:rFonts w:ascii="宋体"/>
              </w:rPr>
            </w:pPr>
          </w:p>
        </w:tc>
        <w:tc>
          <w:tcPr>
            <w:tcW w:w="50" w:type="pct"/>
            <w:shd w:val="clear" w:color="auto" w:fill="auto"/>
            <w:vAlign w:val="bottom"/>
          </w:tcPr>
          <w:p w14:paraId="22CFAD0F" w14:textId="77777777" w:rsidR="002661BA" w:rsidRDefault="002661BA">
            <w:pPr>
              <w:rPr>
                <w:rFonts w:ascii="宋体"/>
              </w:rPr>
            </w:pPr>
          </w:p>
        </w:tc>
        <w:tc>
          <w:tcPr>
            <w:tcW w:w="581" w:type="pct"/>
            <w:shd w:val="clear" w:color="auto" w:fill="auto"/>
            <w:vAlign w:val="bottom"/>
          </w:tcPr>
          <w:p w14:paraId="22CFAD10" w14:textId="77777777" w:rsidR="002661BA" w:rsidRDefault="002661BA">
            <w:pPr>
              <w:rPr>
                <w:rFonts w:ascii="宋体"/>
              </w:rPr>
            </w:pPr>
          </w:p>
        </w:tc>
        <w:tc>
          <w:tcPr>
            <w:tcW w:w="5" w:type="pct"/>
            <w:shd w:val="clear" w:color="auto" w:fill="auto"/>
            <w:vAlign w:val="bottom"/>
          </w:tcPr>
          <w:p w14:paraId="22CFAD11" w14:textId="77777777" w:rsidR="002661BA" w:rsidRDefault="002661BA">
            <w:pPr>
              <w:rPr>
                <w:rFonts w:ascii="宋体"/>
              </w:rPr>
            </w:pPr>
          </w:p>
        </w:tc>
      </w:tr>
      <w:tr w:rsidR="002661BA" w14:paraId="22CFAD15" w14:textId="77777777">
        <w:tc>
          <w:tcPr>
            <w:tcW w:w="0" w:type="auto"/>
            <w:gridSpan w:val="3"/>
            <w:shd w:val="clear" w:color="auto" w:fill="auto"/>
            <w:tcMar>
              <w:top w:w="40" w:type="dxa"/>
              <w:left w:w="20" w:type="dxa"/>
              <w:bottom w:w="40" w:type="dxa"/>
              <w:right w:w="20" w:type="dxa"/>
            </w:tcMar>
            <w:vAlign w:val="bottom"/>
          </w:tcPr>
          <w:p w14:paraId="22CFAD13" w14:textId="77777777" w:rsidR="002661BA" w:rsidRDefault="00D972BC">
            <w:pPr>
              <w:textAlignment w:val="bottom"/>
            </w:pPr>
            <w:r>
              <w:rPr>
                <w:rFonts w:ascii="Arial" w:eastAsia="宋体" w:hAnsi="Arial" w:cs="Arial"/>
                <w:color w:val="000000"/>
                <w:sz w:val="17"/>
                <w:szCs w:val="17"/>
              </w:rPr>
              <w:t> </w:t>
            </w:r>
          </w:p>
        </w:tc>
        <w:tc>
          <w:tcPr>
            <w:tcW w:w="0" w:type="auto"/>
            <w:gridSpan w:val="15"/>
            <w:shd w:val="clear" w:color="auto" w:fill="auto"/>
            <w:tcMar>
              <w:top w:w="40" w:type="dxa"/>
              <w:left w:w="20" w:type="dxa"/>
              <w:bottom w:w="40" w:type="dxa"/>
              <w:right w:w="20" w:type="dxa"/>
            </w:tcMar>
            <w:vAlign w:val="bottom"/>
          </w:tcPr>
          <w:p w14:paraId="22CFAD14"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AD1C" w14:textId="77777777">
        <w:tc>
          <w:tcPr>
            <w:tcW w:w="0" w:type="auto"/>
            <w:gridSpan w:val="3"/>
            <w:shd w:val="clear" w:color="auto" w:fill="auto"/>
            <w:tcMar>
              <w:top w:w="40" w:type="dxa"/>
              <w:left w:w="20" w:type="dxa"/>
              <w:bottom w:w="40" w:type="dxa"/>
              <w:right w:w="20" w:type="dxa"/>
            </w:tcMar>
            <w:vAlign w:val="bottom"/>
          </w:tcPr>
          <w:p w14:paraId="22CFAD16"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D17"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D18" w14:textId="77777777" w:rsidR="002661BA" w:rsidRDefault="002661B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AD19"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D1A" w14:textId="77777777" w:rsidR="002661BA" w:rsidRDefault="002661B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AD1B"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AD1F" w14:textId="77777777">
        <w:tc>
          <w:tcPr>
            <w:tcW w:w="0" w:type="auto"/>
            <w:gridSpan w:val="3"/>
            <w:shd w:val="clear" w:color="auto" w:fill="auto"/>
            <w:tcMar>
              <w:top w:w="40" w:type="dxa"/>
              <w:left w:w="20" w:type="dxa"/>
              <w:bottom w:w="40" w:type="dxa"/>
              <w:right w:w="20" w:type="dxa"/>
            </w:tcMar>
            <w:vAlign w:val="bottom"/>
          </w:tcPr>
          <w:p w14:paraId="22CFAD1D" w14:textId="77777777" w:rsidR="002661BA" w:rsidRDefault="00D972BC">
            <w:pPr>
              <w:textAlignment w:val="bottom"/>
            </w:pPr>
            <w:r>
              <w:rPr>
                <w:rFonts w:ascii="Arial" w:eastAsia="宋体" w:hAnsi="Arial" w:cs="Arial"/>
                <w:color w:val="000000"/>
                <w:sz w:val="17"/>
                <w:szCs w:val="17"/>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2CFAD1E" w14:textId="77777777" w:rsidR="002661BA" w:rsidRDefault="00D972BC">
            <w:pPr>
              <w:jc w:val="center"/>
              <w:textAlignment w:val="bottom"/>
            </w:pPr>
            <w:r>
              <w:rPr>
                <w:rFonts w:ascii="Arial" w:eastAsia="宋体" w:hAnsi="Arial" w:cs="Arial"/>
                <w:b/>
                <w:bCs/>
                <w:color w:val="000000"/>
                <w:sz w:val="17"/>
                <w:szCs w:val="17"/>
              </w:rPr>
              <w:t>(In millions)</w:t>
            </w:r>
          </w:p>
        </w:tc>
      </w:tr>
      <w:tr w:rsidR="002661BA" w14:paraId="22CFAD26" w14:textId="77777777">
        <w:tc>
          <w:tcPr>
            <w:tcW w:w="0" w:type="auto"/>
            <w:gridSpan w:val="3"/>
            <w:shd w:val="clear" w:color="auto" w:fill="E2E2E2"/>
            <w:tcMar>
              <w:top w:w="40" w:type="dxa"/>
              <w:left w:w="20" w:type="dxa"/>
              <w:bottom w:w="40" w:type="dxa"/>
              <w:right w:w="20" w:type="dxa"/>
            </w:tcMar>
            <w:vAlign w:val="bottom"/>
          </w:tcPr>
          <w:p w14:paraId="22CFAD20" w14:textId="77777777" w:rsidR="002661BA" w:rsidRDefault="00D972BC">
            <w:pPr>
              <w:textAlignment w:val="bottom"/>
            </w:pPr>
            <w:r>
              <w:rPr>
                <w:rFonts w:ascii="Arial" w:eastAsia="宋体" w:hAnsi="Arial" w:cs="Arial"/>
                <w:color w:val="000000"/>
                <w:sz w:val="18"/>
                <w:szCs w:val="18"/>
              </w:rPr>
              <w:t>Net cash provided by (used in):</w:t>
            </w:r>
          </w:p>
        </w:tc>
        <w:tc>
          <w:tcPr>
            <w:tcW w:w="0" w:type="auto"/>
            <w:gridSpan w:val="3"/>
            <w:shd w:val="clear" w:color="auto" w:fill="E2E2E2"/>
            <w:tcMar>
              <w:top w:w="40" w:type="dxa"/>
              <w:left w:w="20" w:type="dxa"/>
              <w:bottom w:w="40" w:type="dxa"/>
              <w:right w:w="20" w:type="dxa"/>
            </w:tcMar>
            <w:vAlign w:val="bottom"/>
          </w:tcPr>
          <w:p w14:paraId="22CFAD21"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22CFAD22"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AD23"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22CFAD24"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AD25" w14:textId="77777777" w:rsidR="002661BA" w:rsidRDefault="002661BA">
            <w:pPr>
              <w:rPr>
                <w:rFonts w:ascii="宋体"/>
              </w:rPr>
            </w:pPr>
          </w:p>
        </w:tc>
      </w:tr>
      <w:tr w:rsidR="002661BA" w14:paraId="22CFAD33" w14:textId="77777777">
        <w:tc>
          <w:tcPr>
            <w:tcW w:w="0" w:type="auto"/>
            <w:gridSpan w:val="3"/>
            <w:shd w:val="clear" w:color="auto" w:fill="auto"/>
            <w:tcMar>
              <w:top w:w="40" w:type="dxa"/>
              <w:left w:w="380" w:type="dxa"/>
              <w:bottom w:w="40" w:type="dxa"/>
              <w:right w:w="20" w:type="dxa"/>
            </w:tcMar>
            <w:vAlign w:val="bottom"/>
          </w:tcPr>
          <w:p w14:paraId="22CFAD27" w14:textId="77777777" w:rsidR="002661BA" w:rsidRDefault="00D972BC">
            <w:pPr>
              <w:textAlignment w:val="bottom"/>
            </w:pPr>
            <w:r>
              <w:rPr>
                <w:rFonts w:ascii="Arial" w:eastAsia="宋体" w:hAnsi="Arial" w:cs="Arial"/>
                <w:color w:val="000000"/>
                <w:sz w:val="18"/>
                <w:szCs w:val="18"/>
              </w:rPr>
              <w:t>Continuing operating activities</w:t>
            </w:r>
          </w:p>
        </w:tc>
        <w:tc>
          <w:tcPr>
            <w:tcW w:w="0" w:type="auto"/>
            <w:shd w:val="clear" w:color="auto" w:fill="FFFFFF"/>
            <w:tcMar>
              <w:top w:w="40" w:type="dxa"/>
              <w:left w:w="20" w:type="dxa"/>
              <w:bottom w:w="40" w:type="dxa"/>
              <w:right w:w="0" w:type="dxa"/>
            </w:tcMar>
            <w:vAlign w:val="bottom"/>
          </w:tcPr>
          <w:p w14:paraId="22CFAD28"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D29" w14:textId="77777777" w:rsidR="002661BA" w:rsidRDefault="00D972BC">
            <w:pPr>
              <w:jc w:val="right"/>
              <w:textAlignment w:val="bottom"/>
            </w:pPr>
            <w:r>
              <w:rPr>
                <w:rFonts w:ascii="Arial" w:eastAsia="宋体" w:hAnsi="Arial" w:cs="Arial"/>
                <w:color w:val="000000"/>
                <w:sz w:val="18"/>
                <w:szCs w:val="18"/>
              </w:rPr>
              <w:t>3,093 </w:t>
            </w:r>
          </w:p>
        </w:tc>
        <w:tc>
          <w:tcPr>
            <w:tcW w:w="0" w:type="auto"/>
            <w:shd w:val="clear" w:color="auto" w:fill="FFFFFF"/>
            <w:tcMar>
              <w:top w:w="40" w:type="dxa"/>
              <w:left w:w="0" w:type="dxa"/>
              <w:bottom w:w="40" w:type="dxa"/>
              <w:right w:w="20" w:type="dxa"/>
            </w:tcMar>
            <w:vAlign w:val="bottom"/>
          </w:tcPr>
          <w:p w14:paraId="22CFAD2A"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D2B"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AD2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D2D" w14:textId="77777777" w:rsidR="002661BA" w:rsidRDefault="00D972BC">
            <w:pPr>
              <w:jc w:val="right"/>
              <w:textAlignment w:val="bottom"/>
            </w:pPr>
            <w:r>
              <w:rPr>
                <w:rFonts w:ascii="Arial" w:eastAsia="宋体" w:hAnsi="Arial" w:cs="Arial"/>
                <w:color w:val="000000"/>
                <w:sz w:val="18"/>
                <w:szCs w:val="18"/>
              </w:rPr>
              <w:t>3,004 </w:t>
            </w:r>
          </w:p>
        </w:tc>
        <w:tc>
          <w:tcPr>
            <w:tcW w:w="0" w:type="auto"/>
            <w:shd w:val="clear" w:color="auto" w:fill="FFFFFF"/>
            <w:tcMar>
              <w:top w:w="40" w:type="dxa"/>
              <w:left w:w="0" w:type="dxa"/>
              <w:bottom w:w="40" w:type="dxa"/>
              <w:right w:w="20" w:type="dxa"/>
            </w:tcMar>
            <w:vAlign w:val="bottom"/>
          </w:tcPr>
          <w:p w14:paraId="22CFAD2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D2F"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AD30"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D31" w14:textId="77777777" w:rsidR="002661BA" w:rsidRDefault="00D972BC">
            <w:pPr>
              <w:jc w:val="right"/>
              <w:textAlignment w:val="bottom"/>
            </w:pPr>
            <w:r>
              <w:rPr>
                <w:rFonts w:ascii="Arial" w:eastAsia="宋体" w:hAnsi="Arial" w:cs="Arial"/>
                <w:color w:val="000000"/>
                <w:sz w:val="18"/>
                <w:szCs w:val="18"/>
              </w:rPr>
              <w:t>2,416 </w:t>
            </w:r>
          </w:p>
        </w:tc>
        <w:tc>
          <w:tcPr>
            <w:tcW w:w="0" w:type="auto"/>
            <w:shd w:val="clear" w:color="auto" w:fill="FFFFFF"/>
            <w:tcMar>
              <w:top w:w="40" w:type="dxa"/>
              <w:left w:w="0" w:type="dxa"/>
              <w:bottom w:w="40" w:type="dxa"/>
              <w:right w:w="20" w:type="dxa"/>
            </w:tcMar>
            <w:vAlign w:val="bottom"/>
          </w:tcPr>
          <w:p w14:paraId="22CFAD32" w14:textId="77777777" w:rsidR="002661BA" w:rsidRDefault="002661BA">
            <w:pPr>
              <w:jc w:val="right"/>
              <w:rPr>
                <w:rFonts w:ascii="宋体"/>
              </w:rPr>
            </w:pPr>
          </w:p>
        </w:tc>
      </w:tr>
      <w:tr w:rsidR="002661BA" w14:paraId="22CFAD3D" w14:textId="77777777">
        <w:tc>
          <w:tcPr>
            <w:tcW w:w="0" w:type="auto"/>
            <w:gridSpan w:val="3"/>
            <w:shd w:val="clear" w:color="auto" w:fill="E2E2E2"/>
            <w:tcMar>
              <w:top w:w="40" w:type="dxa"/>
              <w:left w:w="380" w:type="dxa"/>
              <w:bottom w:w="40" w:type="dxa"/>
              <w:right w:w="20" w:type="dxa"/>
            </w:tcMar>
            <w:vAlign w:val="bottom"/>
          </w:tcPr>
          <w:p w14:paraId="22CFAD34" w14:textId="77777777" w:rsidR="002661BA" w:rsidRDefault="00D972BC">
            <w:pPr>
              <w:textAlignment w:val="bottom"/>
            </w:pPr>
            <w:r>
              <w:rPr>
                <w:rFonts w:ascii="Arial" w:eastAsia="宋体" w:hAnsi="Arial" w:cs="Arial"/>
                <w:color w:val="000000"/>
                <w:sz w:val="18"/>
                <w:szCs w:val="18"/>
              </w:rPr>
              <w:t>Continuing investing activities</w:t>
            </w:r>
          </w:p>
        </w:tc>
        <w:tc>
          <w:tcPr>
            <w:tcW w:w="0" w:type="auto"/>
            <w:gridSpan w:val="2"/>
            <w:shd w:val="clear" w:color="auto" w:fill="E2E2E2"/>
            <w:tcMar>
              <w:top w:w="40" w:type="dxa"/>
              <w:left w:w="20" w:type="dxa"/>
              <w:bottom w:w="40" w:type="dxa"/>
              <w:right w:w="0" w:type="dxa"/>
            </w:tcMar>
            <w:vAlign w:val="bottom"/>
          </w:tcPr>
          <w:p w14:paraId="22CFAD35" w14:textId="77777777" w:rsidR="002661BA" w:rsidRDefault="00D972BC">
            <w:pPr>
              <w:jc w:val="right"/>
              <w:textAlignment w:val="bottom"/>
            </w:pPr>
            <w:r>
              <w:rPr>
                <w:rFonts w:ascii="Arial" w:eastAsia="宋体" w:hAnsi="Arial" w:cs="Arial"/>
                <w:color w:val="000000"/>
                <w:sz w:val="18"/>
                <w:szCs w:val="18"/>
              </w:rPr>
              <w:t>(1,417)</w:t>
            </w:r>
          </w:p>
        </w:tc>
        <w:tc>
          <w:tcPr>
            <w:tcW w:w="0" w:type="auto"/>
            <w:shd w:val="clear" w:color="auto" w:fill="E2E2E2"/>
            <w:tcMar>
              <w:top w:w="40" w:type="dxa"/>
              <w:left w:w="0" w:type="dxa"/>
              <w:bottom w:w="40" w:type="dxa"/>
              <w:right w:w="20" w:type="dxa"/>
            </w:tcMar>
            <w:vAlign w:val="bottom"/>
          </w:tcPr>
          <w:p w14:paraId="22CFAD36"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D37"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D38" w14:textId="77777777" w:rsidR="002661BA" w:rsidRDefault="00D972BC">
            <w:pPr>
              <w:jc w:val="right"/>
              <w:textAlignment w:val="bottom"/>
            </w:pPr>
            <w:r>
              <w:rPr>
                <w:rFonts w:ascii="Arial" w:eastAsia="宋体" w:hAnsi="Arial" w:cs="Arial"/>
                <w:color w:val="000000"/>
                <w:sz w:val="18"/>
                <w:szCs w:val="18"/>
              </w:rPr>
              <w:t>(179)</w:t>
            </w:r>
          </w:p>
        </w:tc>
        <w:tc>
          <w:tcPr>
            <w:tcW w:w="0" w:type="auto"/>
            <w:shd w:val="clear" w:color="auto" w:fill="E2E2E2"/>
            <w:tcMar>
              <w:top w:w="40" w:type="dxa"/>
              <w:left w:w="0" w:type="dxa"/>
              <w:bottom w:w="40" w:type="dxa"/>
              <w:right w:w="20" w:type="dxa"/>
            </w:tcMar>
            <w:vAlign w:val="bottom"/>
          </w:tcPr>
          <w:p w14:paraId="22CFAD3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D3A"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D3B" w14:textId="77777777" w:rsidR="002661BA" w:rsidRDefault="00D972BC">
            <w:pPr>
              <w:jc w:val="right"/>
              <w:textAlignment w:val="bottom"/>
            </w:pPr>
            <w:r>
              <w:rPr>
                <w:rFonts w:ascii="Arial" w:eastAsia="宋体" w:hAnsi="Arial" w:cs="Arial"/>
                <w:color w:val="000000"/>
                <w:sz w:val="18"/>
                <w:szCs w:val="18"/>
              </w:rPr>
              <w:t>2,900 </w:t>
            </w:r>
          </w:p>
        </w:tc>
        <w:tc>
          <w:tcPr>
            <w:tcW w:w="0" w:type="auto"/>
            <w:shd w:val="clear" w:color="auto" w:fill="E2E2E2"/>
            <w:tcMar>
              <w:top w:w="40" w:type="dxa"/>
              <w:left w:w="0" w:type="dxa"/>
              <w:bottom w:w="40" w:type="dxa"/>
              <w:right w:w="20" w:type="dxa"/>
            </w:tcMar>
            <w:vAlign w:val="bottom"/>
          </w:tcPr>
          <w:p w14:paraId="22CFAD3C" w14:textId="77777777" w:rsidR="002661BA" w:rsidRDefault="002661BA">
            <w:pPr>
              <w:jc w:val="right"/>
              <w:rPr>
                <w:rFonts w:ascii="宋体"/>
              </w:rPr>
            </w:pPr>
          </w:p>
        </w:tc>
      </w:tr>
      <w:tr w:rsidR="002661BA" w14:paraId="22CFAD47" w14:textId="77777777">
        <w:tc>
          <w:tcPr>
            <w:tcW w:w="0" w:type="auto"/>
            <w:gridSpan w:val="3"/>
            <w:shd w:val="clear" w:color="auto" w:fill="FFFFFF"/>
            <w:tcMar>
              <w:top w:w="40" w:type="dxa"/>
              <w:left w:w="380" w:type="dxa"/>
              <w:bottom w:w="40" w:type="dxa"/>
              <w:right w:w="20" w:type="dxa"/>
            </w:tcMar>
            <w:vAlign w:val="bottom"/>
          </w:tcPr>
          <w:p w14:paraId="22CFAD3E" w14:textId="77777777" w:rsidR="002661BA" w:rsidRDefault="00D972BC">
            <w:pPr>
              <w:textAlignment w:val="bottom"/>
            </w:pPr>
            <w:r>
              <w:rPr>
                <w:rFonts w:ascii="Arial" w:eastAsia="宋体" w:hAnsi="Arial" w:cs="Arial"/>
                <w:color w:val="000000"/>
                <w:sz w:val="18"/>
                <w:szCs w:val="18"/>
              </w:rPr>
              <w:t>Continuing financing activities</w:t>
            </w:r>
          </w:p>
        </w:tc>
        <w:tc>
          <w:tcPr>
            <w:tcW w:w="0" w:type="auto"/>
            <w:gridSpan w:val="2"/>
            <w:shd w:val="clear" w:color="auto" w:fill="FFFFFF"/>
            <w:tcMar>
              <w:top w:w="40" w:type="dxa"/>
              <w:left w:w="20" w:type="dxa"/>
              <w:bottom w:w="40" w:type="dxa"/>
              <w:right w:w="0" w:type="dxa"/>
            </w:tcMar>
            <w:vAlign w:val="bottom"/>
          </w:tcPr>
          <w:p w14:paraId="22CFAD3F" w14:textId="77777777" w:rsidR="002661BA" w:rsidRDefault="00D972BC">
            <w:pPr>
              <w:jc w:val="right"/>
              <w:textAlignment w:val="bottom"/>
            </w:pPr>
            <w:r>
              <w:rPr>
                <w:rFonts w:ascii="Arial" w:eastAsia="宋体" w:hAnsi="Arial" w:cs="Arial"/>
                <w:color w:val="000000"/>
                <w:sz w:val="18"/>
                <w:szCs w:val="18"/>
              </w:rPr>
              <w:t>(6,557)</w:t>
            </w:r>
          </w:p>
        </w:tc>
        <w:tc>
          <w:tcPr>
            <w:tcW w:w="0" w:type="auto"/>
            <w:shd w:val="clear" w:color="auto" w:fill="FFFFFF"/>
            <w:tcMar>
              <w:top w:w="40" w:type="dxa"/>
              <w:left w:w="0" w:type="dxa"/>
              <w:bottom w:w="40" w:type="dxa"/>
              <w:right w:w="20" w:type="dxa"/>
            </w:tcMar>
            <w:vAlign w:val="bottom"/>
          </w:tcPr>
          <w:p w14:paraId="22CFAD40"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D41"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D42" w14:textId="77777777" w:rsidR="002661BA" w:rsidRDefault="00D972BC">
            <w:pPr>
              <w:jc w:val="right"/>
              <w:textAlignment w:val="bottom"/>
            </w:pPr>
            <w:r>
              <w:rPr>
                <w:rFonts w:ascii="Arial" w:eastAsia="宋体" w:hAnsi="Arial" w:cs="Arial"/>
                <w:color w:val="000000"/>
                <w:sz w:val="18"/>
                <w:szCs w:val="18"/>
              </w:rPr>
              <w:t>(5,680)</w:t>
            </w:r>
          </w:p>
        </w:tc>
        <w:tc>
          <w:tcPr>
            <w:tcW w:w="0" w:type="auto"/>
            <w:shd w:val="clear" w:color="auto" w:fill="FFFFFF"/>
            <w:tcMar>
              <w:top w:w="40" w:type="dxa"/>
              <w:left w:w="0" w:type="dxa"/>
              <w:bottom w:w="40" w:type="dxa"/>
              <w:right w:w="20" w:type="dxa"/>
            </w:tcMar>
            <w:vAlign w:val="bottom"/>
          </w:tcPr>
          <w:p w14:paraId="22CFAD4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D44"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D45" w14:textId="77777777" w:rsidR="002661BA" w:rsidRDefault="00D972BC">
            <w:pPr>
              <w:jc w:val="right"/>
              <w:textAlignment w:val="bottom"/>
            </w:pPr>
            <w:r>
              <w:rPr>
                <w:rFonts w:ascii="Arial" w:eastAsia="宋体" w:hAnsi="Arial" w:cs="Arial"/>
                <w:color w:val="000000"/>
                <w:sz w:val="18"/>
                <w:szCs w:val="18"/>
              </w:rPr>
              <w:t>(7,087)</w:t>
            </w:r>
          </w:p>
        </w:tc>
        <w:tc>
          <w:tcPr>
            <w:tcW w:w="0" w:type="auto"/>
            <w:shd w:val="clear" w:color="auto" w:fill="FFFFFF"/>
            <w:tcMar>
              <w:top w:w="40" w:type="dxa"/>
              <w:left w:w="0" w:type="dxa"/>
              <w:bottom w:w="40" w:type="dxa"/>
              <w:right w:w="20" w:type="dxa"/>
            </w:tcMar>
            <w:vAlign w:val="bottom"/>
          </w:tcPr>
          <w:p w14:paraId="22CFAD46" w14:textId="77777777" w:rsidR="002661BA" w:rsidRDefault="002661BA">
            <w:pPr>
              <w:jc w:val="right"/>
              <w:rPr>
                <w:rFonts w:ascii="宋体"/>
              </w:rPr>
            </w:pPr>
          </w:p>
        </w:tc>
      </w:tr>
      <w:tr w:rsidR="002661BA" w14:paraId="22CFAD51" w14:textId="77777777">
        <w:tc>
          <w:tcPr>
            <w:tcW w:w="0" w:type="auto"/>
            <w:gridSpan w:val="3"/>
            <w:shd w:val="clear" w:color="auto" w:fill="E2E2E2"/>
            <w:tcMar>
              <w:top w:w="40" w:type="dxa"/>
              <w:left w:w="20" w:type="dxa"/>
              <w:bottom w:w="40" w:type="dxa"/>
              <w:right w:w="20" w:type="dxa"/>
            </w:tcMar>
            <w:vAlign w:val="bottom"/>
          </w:tcPr>
          <w:p w14:paraId="22CFAD48" w14:textId="77777777" w:rsidR="002661BA" w:rsidRDefault="00D972BC">
            <w:pPr>
              <w:textAlignment w:val="bottom"/>
            </w:pPr>
            <w:r>
              <w:rPr>
                <w:rFonts w:ascii="Arial" w:eastAsia="宋体" w:hAnsi="Arial" w:cs="Arial"/>
                <w:color w:val="000000"/>
                <w:sz w:val="18"/>
                <w:szCs w:val="18"/>
              </w:rPr>
              <w:t>Effect of exchange rates on cash, cash equivalents and restricted cash</w:t>
            </w:r>
          </w:p>
        </w:tc>
        <w:tc>
          <w:tcPr>
            <w:tcW w:w="0" w:type="auto"/>
            <w:gridSpan w:val="2"/>
            <w:shd w:val="clear" w:color="auto" w:fill="E2E2E2"/>
            <w:tcMar>
              <w:top w:w="40" w:type="dxa"/>
              <w:left w:w="20" w:type="dxa"/>
              <w:bottom w:w="40" w:type="dxa"/>
              <w:right w:w="0" w:type="dxa"/>
            </w:tcMar>
            <w:vAlign w:val="bottom"/>
          </w:tcPr>
          <w:p w14:paraId="22CFAD49" w14:textId="77777777" w:rsidR="002661BA" w:rsidRDefault="00D972BC">
            <w:pPr>
              <w:jc w:val="right"/>
              <w:textAlignment w:val="bottom"/>
            </w:pPr>
            <w:r>
              <w:rPr>
                <w:rFonts w:ascii="Arial" w:eastAsia="宋体" w:hAnsi="Arial" w:cs="Arial"/>
                <w:color w:val="000000"/>
                <w:sz w:val="18"/>
                <w:szCs w:val="18"/>
              </w:rPr>
              <w:t>24 </w:t>
            </w:r>
          </w:p>
        </w:tc>
        <w:tc>
          <w:tcPr>
            <w:tcW w:w="0" w:type="auto"/>
            <w:shd w:val="clear" w:color="auto" w:fill="E2E2E2"/>
            <w:tcMar>
              <w:top w:w="40" w:type="dxa"/>
              <w:left w:w="0" w:type="dxa"/>
              <w:bottom w:w="40" w:type="dxa"/>
              <w:right w:w="20" w:type="dxa"/>
            </w:tcMar>
            <w:vAlign w:val="bottom"/>
          </w:tcPr>
          <w:p w14:paraId="22CFAD4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D4B"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D4C" w14:textId="77777777" w:rsidR="002661BA" w:rsidRDefault="00D972BC">
            <w:pPr>
              <w:jc w:val="right"/>
              <w:textAlignment w:val="bottom"/>
            </w:pPr>
            <w:r>
              <w:rPr>
                <w:rFonts w:ascii="Arial" w:eastAsia="宋体" w:hAnsi="Arial" w:cs="Arial"/>
                <w:color w:val="000000"/>
                <w:sz w:val="18"/>
                <w:szCs w:val="18"/>
              </w:rPr>
              <w:t>77 </w:t>
            </w:r>
          </w:p>
        </w:tc>
        <w:tc>
          <w:tcPr>
            <w:tcW w:w="0" w:type="auto"/>
            <w:shd w:val="clear" w:color="auto" w:fill="E2E2E2"/>
            <w:tcMar>
              <w:top w:w="40" w:type="dxa"/>
              <w:left w:w="0" w:type="dxa"/>
              <w:bottom w:w="40" w:type="dxa"/>
              <w:right w:w="20" w:type="dxa"/>
            </w:tcMar>
            <w:vAlign w:val="bottom"/>
          </w:tcPr>
          <w:p w14:paraId="22CFAD4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D4E"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D4F" w14:textId="77777777" w:rsidR="002661BA" w:rsidRDefault="00D972BC">
            <w:pPr>
              <w:jc w:val="right"/>
              <w:textAlignment w:val="bottom"/>
            </w:pPr>
            <w:r>
              <w:rPr>
                <w:rFonts w:ascii="Arial" w:eastAsia="宋体" w:hAnsi="Arial" w:cs="Arial"/>
                <w:color w:val="000000"/>
                <w:sz w:val="18"/>
                <w:szCs w:val="18"/>
              </w:rPr>
              <w:t>(33)</w:t>
            </w:r>
          </w:p>
        </w:tc>
        <w:tc>
          <w:tcPr>
            <w:tcW w:w="0" w:type="auto"/>
            <w:shd w:val="clear" w:color="auto" w:fill="E2E2E2"/>
            <w:tcMar>
              <w:top w:w="40" w:type="dxa"/>
              <w:left w:w="0" w:type="dxa"/>
              <w:bottom w:w="40" w:type="dxa"/>
              <w:right w:w="20" w:type="dxa"/>
            </w:tcMar>
            <w:vAlign w:val="bottom"/>
          </w:tcPr>
          <w:p w14:paraId="22CFAD50" w14:textId="77777777" w:rsidR="002661BA" w:rsidRDefault="002661BA">
            <w:pPr>
              <w:jc w:val="right"/>
              <w:rPr>
                <w:rFonts w:ascii="宋体"/>
              </w:rPr>
            </w:pPr>
          </w:p>
        </w:tc>
      </w:tr>
      <w:tr w:rsidR="002661BA" w14:paraId="22CFAD5B" w14:textId="77777777">
        <w:tc>
          <w:tcPr>
            <w:tcW w:w="0" w:type="auto"/>
            <w:gridSpan w:val="3"/>
            <w:shd w:val="clear" w:color="auto" w:fill="FFFFFF"/>
            <w:tcMar>
              <w:top w:w="40" w:type="dxa"/>
              <w:left w:w="20" w:type="dxa"/>
              <w:bottom w:w="40" w:type="dxa"/>
              <w:right w:w="20" w:type="dxa"/>
            </w:tcMar>
            <w:vAlign w:val="bottom"/>
          </w:tcPr>
          <w:p w14:paraId="22CFAD52" w14:textId="77777777" w:rsidR="002661BA" w:rsidRDefault="00D972BC">
            <w:pPr>
              <w:textAlignment w:val="bottom"/>
            </w:pPr>
            <w:r>
              <w:rPr>
                <w:rFonts w:ascii="Arial" w:eastAsia="宋体" w:hAnsi="Arial" w:cs="Arial"/>
                <w:color w:val="000000"/>
                <w:sz w:val="18"/>
                <w:szCs w:val="18"/>
              </w:rPr>
              <w:t xml:space="preserve">Net increase in cash, </w:t>
            </w:r>
            <w:r>
              <w:rPr>
                <w:rFonts w:ascii="Arial" w:eastAsia="宋体" w:hAnsi="Arial" w:cs="Arial"/>
                <w:color w:val="000000"/>
                <w:sz w:val="18"/>
                <w:szCs w:val="18"/>
              </w:rPr>
              <w:t>cash equivalents and restricted cash - discontinued operations</w:t>
            </w:r>
          </w:p>
        </w:tc>
        <w:tc>
          <w:tcPr>
            <w:tcW w:w="0" w:type="auto"/>
            <w:gridSpan w:val="2"/>
            <w:shd w:val="clear" w:color="auto" w:fill="FFFFFF"/>
            <w:tcMar>
              <w:top w:w="40" w:type="dxa"/>
              <w:left w:w="20" w:type="dxa"/>
              <w:bottom w:w="40" w:type="dxa"/>
              <w:right w:w="0" w:type="dxa"/>
            </w:tcMar>
            <w:vAlign w:val="bottom"/>
          </w:tcPr>
          <w:p w14:paraId="22CFAD53" w14:textId="77777777" w:rsidR="002661BA" w:rsidRDefault="00D972BC">
            <w:pPr>
              <w:jc w:val="right"/>
              <w:textAlignment w:val="bottom"/>
            </w:pPr>
            <w:r>
              <w:rPr>
                <w:rFonts w:ascii="Arial" w:eastAsia="宋体" w:hAnsi="Arial" w:cs="Arial"/>
                <w:color w:val="000000"/>
                <w:sz w:val="18"/>
                <w:szCs w:val="18"/>
              </w:rPr>
              <w:t>4,669 </w:t>
            </w:r>
          </w:p>
        </w:tc>
        <w:tc>
          <w:tcPr>
            <w:tcW w:w="0" w:type="auto"/>
            <w:shd w:val="clear" w:color="auto" w:fill="FFFFFF"/>
            <w:tcMar>
              <w:top w:w="40" w:type="dxa"/>
              <w:left w:w="0" w:type="dxa"/>
              <w:bottom w:w="40" w:type="dxa"/>
              <w:right w:w="20" w:type="dxa"/>
            </w:tcMar>
            <w:vAlign w:val="bottom"/>
          </w:tcPr>
          <w:p w14:paraId="22CFAD5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D55"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D56" w14:textId="77777777" w:rsidR="002661BA" w:rsidRDefault="00D972BC">
            <w:pPr>
              <w:jc w:val="right"/>
              <w:textAlignment w:val="bottom"/>
            </w:pPr>
            <w:r>
              <w:rPr>
                <w:rFonts w:ascii="Arial" w:eastAsia="宋体" w:hAnsi="Arial" w:cs="Arial"/>
                <w:color w:val="000000"/>
                <w:sz w:val="18"/>
                <w:szCs w:val="18"/>
              </w:rPr>
              <w:t>3,376 </w:t>
            </w:r>
          </w:p>
        </w:tc>
        <w:tc>
          <w:tcPr>
            <w:tcW w:w="0" w:type="auto"/>
            <w:shd w:val="clear" w:color="auto" w:fill="FFFFFF"/>
            <w:tcMar>
              <w:top w:w="40" w:type="dxa"/>
              <w:left w:w="0" w:type="dxa"/>
              <w:bottom w:w="40" w:type="dxa"/>
              <w:right w:w="20" w:type="dxa"/>
            </w:tcMar>
            <w:vAlign w:val="bottom"/>
          </w:tcPr>
          <w:p w14:paraId="22CFAD5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D58"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D59" w14:textId="77777777" w:rsidR="002661BA" w:rsidRDefault="00D972BC">
            <w:pPr>
              <w:jc w:val="right"/>
              <w:textAlignment w:val="bottom"/>
            </w:pPr>
            <w:r>
              <w:rPr>
                <w:rFonts w:ascii="Arial" w:eastAsia="宋体" w:hAnsi="Arial" w:cs="Arial"/>
                <w:color w:val="000000"/>
                <w:sz w:val="18"/>
                <w:szCs w:val="18"/>
              </w:rPr>
              <w:t>581 </w:t>
            </w:r>
          </w:p>
        </w:tc>
        <w:tc>
          <w:tcPr>
            <w:tcW w:w="0" w:type="auto"/>
            <w:shd w:val="clear" w:color="auto" w:fill="FFFFFF"/>
            <w:tcMar>
              <w:top w:w="40" w:type="dxa"/>
              <w:left w:w="0" w:type="dxa"/>
              <w:bottom w:w="40" w:type="dxa"/>
              <w:right w:w="20" w:type="dxa"/>
            </w:tcMar>
            <w:vAlign w:val="bottom"/>
          </w:tcPr>
          <w:p w14:paraId="22CFAD5A" w14:textId="77777777" w:rsidR="002661BA" w:rsidRDefault="002661BA">
            <w:pPr>
              <w:jc w:val="right"/>
              <w:rPr>
                <w:rFonts w:ascii="宋体"/>
              </w:rPr>
            </w:pPr>
          </w:p>
        </w:tc>
      </w:tr>
      <w:tr w:rsidR="002661BA" w14:paraId="22CFAD68" w14:textId="77777777">
        <w:tc>
          <w:tcPr>
            <w:tcW w:w="0" w:type="auto"/>
            <w:gridSpan w:val="3"/>
            <w:shd w:val="clear" w:color="auto" w:fill="E2E2E2"/>
            <w:tcMar>
              <w:top w:w="40" w:type="dxa"/>
              <w:left w:w="20" w:type="dxa"/>
              <w:bottom w:w="40" w:type="dxa"/>
              <w:right w:w="20" w:type="dxa"/>
            </w:tcMar>
            <w:vAlign w:val="bottom"/>
          </w:tcPr>
          <w:p w14:paraId="22CFAD5C" w14:textId="77777777" w:rsidR="002661BA" w:rsidRDefault="00D972BC">
            <w:pPr>
              <w:textAlignment w:val="bottom"/>
            </w:pPr>
            <w:r>
              <w:rPr>
                <w:rFonts w:ascii="Arial" w:eastAsia="宋体" w:hAnsi="Arial" w:cs="Arial"/>
                <w:color w:val="000000"/>
                <w:sz w:val="18"/>
                <w:szCs w:val="18"/>
              </w:rPr>
              <w:t>Net increase (decrease) in cash, cash equivalents and restricted cash</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AD5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AD5E" w14:textId="77777777" w:rsidR="002661BA" w:rsidRDefault="00D972BC">
            <w:pPr>
              <w:jc w:val="right"/>
              <w:textAlignment w:val="bottom"/>
            </w:pPr>
            <w:r>
              <w:rPr>
                <w:rFonts w:ascii="Arial" w:eastAsia="宋体" w:hAnsi="Arial" w:cs="Arial"/>
                <w:color w:val="000000"/>
                <w:sz w:val="18"/>
                <w:szCs w:val="18"/>
              </w:rPr>
              <w:t>(188)</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AD5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D60"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AD6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AD62" w14:textId="77777777" w:rsidR="002661BA" w:rsidRDefault="00D972BC">
            <w:pPr>
              <w:jc w:val="right"/>
              <w:textAlignment w:val="bottom"/>
            </w:pPr>
            <w:r>
              <w:rPr>
                <w:rFonts w:ascii="Arial" w:eastAsia="宋体" w:hAnsi="Arial" w:cs="Arial"/>
                <w:color w:val="000000"/>
                <w:sz w:val="18"/>
                <w:szCs w:val="18"/>
              </w:rPr>
              <w:t>598 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AD63"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D64"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AD6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AD66" w14:textId="77777777" w:rsidR="002661BA" w:rsidRDefault="00D972BC">
            <w:pPr>
              <w:jc w:val="right"/>
              <w:textAlignment w:val="bottom"/>
            </w:pPr>
            <w:r>
              <w:rPr>
                <w:rFonts w:ascii="Arial" w:eastAsia="宋体" w:hAnsi="Arial" w:cs="Arial"/>
                <w:color w:val="000000"/>
                <w:sz w:val="18"/>
                <w:szCs w:val="18"/>
              </w:rPr>
              <w:t>(1,223)</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AD67" w14:textId="77777777" w:rsidR="002661BA" w:rsidRDefault="002661BA">
            <w:pPr>
              <w:jc w:val="right"/>
              <w:rPr>
                <w:rFonts w:ascii="宋体"/>
              </w:rPr>
            </w:pPr>
          </w:p>
        </w:tc>
      </w:tr>
    </w:tbl>
    <w:p w14:paraId="22CFAD69" w14:textId="77777777" w:rsidR="002661BA" w:rsidRDefault="00D972BC">
      <w:pPr>
        <w:jc w:val="both"/>
      </w:pPr>
      <w:r>
        <w:rPr>
          <w:rFonts w:ascii="Arial" w:eastAsia="宋体" w:hAnsi="Arial" w:cs="Arial"/>
          <w:color w:val="000000"/>
          <w:sz w:val="20"/>
          <w:szCs w:val="20"/>
        </w:rPr>
        <w:t> </w:t>
      </w:r>
    </w:p>
    <w:p w14:paraId="22CFAD6A" w14:textId="77777777" w:rsidR="002661BA" w:rsidRDefault="00D972BC">
      <w:pPr>
        <w:ind w:firstLine="180"/>
        <w:jc w:val="both"/>
      </w:pPr>
      <w:r>
        <w:rPr>
          <w:rFonts w:ascii="Arial" w:eastAsia="宋体" w:hAnsi="Arial" w:cs="Arial"/>
          <w:i/>
          <w:iCs/>
          <w:color w:val="000000"/>
          <w:sz w:val="20"/>
          <w:szCs w:val="20"/>
        </w:rPr>
        <w:t>Continuing Operating Activities</w:t>
      </w:r>
    </w:p>
    <w:p w14:paraId="22CFAD6B" w14:textId="77777777" w:rsidR="002661BA" w:rsidRDefault="002661BA">
      <w:pPr>
        <w:jc w:val="both"/>
      </w:pPr>
    </w:p>
    <w:p w14:paraId="22CFAD6C" w14:textId="77777777" w:rsidR="002661BA" w:rsidRDefault="00D972BC">
      <w:pPr>
        <w:ind w:firstLine="540"/>
        <w:jc w:val="both"/>
      </w:pPr>
      <w:r>
        <w:rPr>
          <w:rFonts w:ascii="Arial" w:eastAsia="宋体" w:hAnsi="Arial" w:cs="Arial"/>
          <w:color w:val="000000"/>
          <w:sz w:val="20"/>
          <w:szCs w:val="20"/>
        </w:rPr>
        <w:t xml:space="preserve">Our operating cash flows arise primarily from cash received from our customers on our platforms offset by cash payments for sales and marketing, employee compensation </w:t>
      </w:r>
      <w:r>
        <w:rPr>
          <w:rFonts w:ascii="Arial" w:eastAsia="宋体" w:hAnsi="Arial" w:cs="Arial"/>
          <w:color w:val="000000"/>
          <w:sz w:val="20"/>
          <w:szCs w:val="20"/>
        </w:rPr>
        <w:t>and payment processing expenses.</w:t>
      </w:r>
    </w:p>
    <w:p w14:paraId="22CFAD6D" w14:textId="77777777" w:rsidR="002661BA" w:rsidRDefault="002661BA">
      <w:pPr>
        <w:ind w:firstLine="540"/>
        <w:jc w:val="both"/>
      </w:pPr>
    </w:p>
    <w:p w14:paraId="22CFAD6E" w14:textId="77777777" w:rsidR="002661BA" w:rsidRDefault="00D972BC">
      <w:pPr>
        <w:ind w:firstLine="540"/>
        <w:jc w:val="both"/>
      </w:pPr>
      <w:r>
        <w:rPr>
          <w:rFonts w:ascii="Arial" w:eastAsia="宋体" w:hAnsi="Arial" w:cs="Arial"/>
          <w:color w:val="000000"/>
          <w:sz w:val="20"/>
          <w:szCs w:val="20"/>
        </w:rPr>
        <w:t>Cash provided by continuing operating activities of $3.1 billion in 2021 compared to $3.0 billion in 2020 was primarily attributable to an increase in operating income from continuing operations of $287 million. The increa</w:t>
      </w:r>
      <w:r>
        <w:rPr>
          <w:rFonts w:ascii="Arial" w:eastAsia="宋体" w:hAnsi="Arial" w:cs="Arial"/>
          <w:color w:val="000000"/>
          <w:sz w:val="20"/>
          <w:szCs w:val="20"/>
        </w:rPr>
        <w:t>se in operating income from continuing operations was primarily due to an increase in revenues, primarily as a result of the migration of managed payments on a global basis and the associated higher take rate as noted in our comments in “Net Transaction Re</w:t>
      </w:r>
      <w:r>
        <w:rPr>
          <w:rFonts w:ascii="Arial" w:eastAsia="宋体" w:hAnsi="Arial" w:cs="Arial"/>
          <w:color w:val="000000"/>
          <w:sz w:val="20"/>
          <w:szCs w:val="20"/>
        </w:rPr>
        <w:t xml:space="preserve">venues.” The remaining changes in continuing operating cash flows were attributable to changes in non-cash items and favorable working capital movements due to lower accounts receivable from the migration to managed payments and lower accrued liabilities. </w:t>
      </w:r>
    </w:p>
    <w:p w14:paraId="22CFAD6F" w14:textId="77777777" w:rsidR="002661BA" w:rsidRDefault="002661BA">
      <w:pPr>
        <w:ind w:firstLine="495"/>
        <w:jc w:val="both"/>
      </w:pPr>
    </w:p>
    <w:p w14:paraId="22CFAD70" w14:textId="77777777" w:rsidR="002661BA" w:rsidRDefault="00D972BC">
      <w:pPr>
        <w:ind w:firstLine="180"/>
        <w:jc w:val="both"/>
      </w:pPr>
      <w:r>
        <w:rPr>
          <w:rFonts w:ascii="Arial" w:eastAsia="宋体" w:hAnsi="Arial" w:cs="Arial"/>
          <w:i/>
          <w:iCs/>
          <w:color w:val="000000"/>
          <w:sz w:val="20"/>
          <w:szCs w:val="20"/>
        </w:rPr>
        <w:t>Continuing Investing Activities</w:t>
      </w:r>
    </w:p>
    <w:p w14:paraId="22CFAD71" w14:textId="77777777" w:rsidR="002661BA" w:rsidRDefault="002661BA">
      <w:pPr>
        <w:jc w:val="both"/>
      </w:pPr>
    </w:p>
    <w:p w14:paraId="22CFAD72" w14:textId="77777777" w:rsidR="002661BA" w:rsidRDefault="00D972BC">
      <w:pPr>
        <w:ind w:firstLine="540"/>
        <w:jc w:val="both"/>
      </w:pPr>
      <w:r>
        <w:rPr>
          <w:rFonts w:ascii="Arial" w:eastAsia="宋体" w:hAnsi="Arial" w:cs="Arial"/>
          <w:color w:val="000000"/>
          <w:sz w:val="20"/>
          <w:szCs w:val="20"/>
        </w:rPr>
        <w:t xml:space="preserve">Cash used in investing activities of $1.4 billion in 2021 was primarily attributable to purchases of investments of $22.2 billion and property and equipment of $444 million. These purchases were partially offset by </w:t>
      </w:r>
      <w:r>
        <w:rPr>
          <w:rFonts w:ascii="Arial" w:eastAsia="宋体" w:hAnsi="Arial" w:cs="Arial"/>
          <w:color w:val="000000"/>
          <w:sz w:val="20"/>
          <w:szCs w:val="20"/>
        </w:rPr>
        <w:t>proceeds of $18.9 billion from the maturities and sales of investments and $2.3 billion from the sale of approximately 135 million of our voting shares in Adevinta.</w:t>
      </w:r>
    </w:p>
    <w:p w14:paraId="22CFAD73" w14:textId="77777777" w:rsidR="002661BA" w:rsidRDefault="002661BA">
      <w:pPr>
        <w:ind w:firstLine="540"/>
        <w:jc w:val="both"/>
      </w:pPr>
    </w:p>
    <w:p w14:paraId="22CFAD74" w14:textId="77777777" w:rsidR="002661BA" w:rsidRDefault="00D972BC">
      <w:pPr>
        <w:ind w:firstLine="540"/>
        <w:jc w:val="both"/>
      </w:pPr>
      <w:r>
        <w:rPr>
          <w:rFonts w:ascii="Arial" w:eastAsia="宋体" w:hAnsi="Arial" w:cs="Arial"/>
          <w:color w:val="000000"/>
          <w:sz w:val="20"/>
          <w:szCs w:val="20"/>
        </w:rPr>
        <w:t>Cash used in investing activities of $0.2 billion in 2020 was primarily attributable to ca</w:t>
      </w:r>
      <w:r>
        <w:rPr>
          <w:rFonts w:ascii="Arial" w:eastAsia="宋体" w:hAnsi="Arial" w:cs="Arial"/>
          <w:color w:val="000000"/>
          <w:sz w:val="20"/>
          <w:szCs w:val="20"/>
        </w:rPr>
        <w:t>sh paid for purchases of investments of $32.9 billion and property and equipment of $463 million, offset by proceeds of $33.1 billion from the maturities and sales of investments.</w:t>
      </w:r>
    </w:p>
    <w:p w14:paraId="22CFAD75" w14:textId="77777777" w:rsidR="002661BA" w:rsidRDefault="002661BA">
      <w:pPr>
        <w:ind w:firstLine="540"/>
        <w:jc w:val="both"/>
      </w:pPr>
    </w:p>
    <w:p w14:paraId="22CFAD76" w14:textId="77777777" w:rsidR="002661BA" w:rsidRDefault="00D972BC">
      <w:pPr>
        <w:ind w:firstLine="540"/>
        <w:jc w:val="both"/>
      </w:pPr>
      <w:r>
        <w:rPr>
          <w:rFonts w:ascii="Arial" w:eastAsia="宋体" w:hAnsi="Arial" w:cs="Arial"/>
          <w:color w:val="000000"/>
          <w:sz w:val="20"/>
          <w:szCs w:val="20"/>
        </w:rPr>
        <w:t>The largely offsetting effects of purchases of investments and maturities a</w:t>
      </w:r>
      <w:r>
        <w:rPr>
          <w:rFonts w:ascii="Arial" w:eastAsia="宋体" w:hAnsi="Arial" w:cs="Arial"/>
          <w:color w:val="000000"/>
          <w:sz w:val="20"/>
          <w:szCs w:val="20"/>
        </w:rPr>
        <w:t xml:space="preserve">nd sale of investments results from the management of our investments. As our immediate cash needs change, purchase and sale activity will fluctuate. </w:t>
      </w:r>
    </w:p>
    <w:p w14:paraId="22CFAD77" w14:textId="77777777" w:rsidR="002661BA" w:rsidRDefault="002661BA">
      <w:pPr>
        <w:ind w:firstLine="540"/>
        <w:jc w:val="both"/>
      </w:pPr>
    </w:p>
    <w:p w14:paraId="22CFAD78" w14:textId="77777777" w:rsidR="002661BA" w:rsidRDefault="00D972BC">
      <w:pPr>
        <w:ind w:firstLine="180"/>
        <w:jc w:val="both"/>
      </w:pPr>
      <w:r>
        <w:rPr>
          <w:rFonts w:ascii="Arial" w:eastAsia="宋体" w:hAnsi="Arial" w:cs="Arial"/>
          <w:i/>
          <w:iCs/>
          <w:color w:val="000000"/>
          <w:sz w:val="20"/>
          <w:szCs w:val="20"/>
        </w:rPr>
        <w:t>Continuing Financing Activities</w:t>
      </w:r>
    </w:p>
    <w:p w14:paraId="22CFAD79" w14:textId="77777777" w:rsidR="002661BA" w:rsidRDefault="002661BA">
      <w:pPr>
        <w:jc w:val="both"/>
      </w:pPr>
    </w:p>
    <w:p w14:paraId="22CFAD7A" w14:textId="77777777" w:rsidR="002661BA" w:rsidRDefault="00D972BC">
      <w:pPr>
        <w:ind w:firstLine="540"/>
        <w:jc w:val="both"/>
      </w:pPr>
      <w:r>
        <w:rPr>
          <w:rFonts w:ascii="Arial" w:eastAsia="宋体" w:hAnsi="Arial" w:cs="Arial"/>
          <w:color w:val="000000"/>
          <w:sz w:val="20"/>
          <w:szCs w:val="20"/>
        </w:rPr>
        <w:t>Cash used in financing activities of $6.6 billion in 2021 was primarily</w:t>
      </w:r>
      <w:r>
        <w:rPr>
          <w:rFonts w:ascii="Arial" w:eastAsia="宋体" w:hAnsi="Arial" w:cs="Arial"/>
          <w:color w:val="000000"/>
          <w:sz w:val="20"/>
          <w:szCs w:val="20"/>
        </w:rPr>
        <w:t xml:space="preserve"> driven by common stock repurchases of $7.1 billion, of which $2.5 billion related to repurchases under an accelerated share repurchase program. Cash used in financing activities also included debt repayments of $1.2 billion, which was comprised of $750 mi</w:t>
      </w:r>
      <w:r>
        <w:rPr>
          <w:rFonts w:ascii="Arial" w:eastAsia="宋体" w:hAnsi="Arial" w:cs="Arial"/>
          <w:color w:val="000000"/>
          <w:sz w:val="20"/>
          <w:szCs w:val="20"/>
        </w:rPr>
        <w:t>llion related to our 6.000% senior fixed rate notes due 2056 that were redeemed and $405 million related to our 2.600% senior fixed rate notes due 2022 that were repurchased pursuant to a tender offer, and $466 million of cash dividends paid, partially off</w:t>
      </w:r>
      <w:r>
        <w:rPr>
          <w:rFonts w:ascii="Arial" w:eastAsia="宋体" w:hAnsi="Arial" w:cs="Arial"/>
          <w:color w:val="000000"/>
          <w:sz w:val="20"/>
          <w:szCs w:val="20"/>
        </w:rPr>
        <w:t xml:space="preserve">set by proceeds from debt issuances of $2.5 billion. </w:t>
      </w:r>
    </w:p>
    <w:p w14:paraId="22CFAD7B" w14:textId="77777777" w:rsidR="002661BA" w:rsidRDefault="002661BA">
      <w:pPr>
        <w:ind w:firstLine="540"/>
        <w:jc w:val="both"/>
      </w:pPr>
    </w:p>
    <w:p w14:paraId="22CFAD7C" w14:textId="77777777" w:rsidR="002661BA" w:rsidRDefault="00D972BC">
      <w:pPr>
        <w:ind w:firstLine="540"/>
        <w:jc w:val="both"/>
      </w:pPr>
      <w:r>
        <w:rPr>
          <w:rFonts w:ascii="Arial" w:eastAsia="宋体" w:hAnsi="Arial" w:cs="Arial"/>
          <w:color w:val="000000"/>
          <w:sz w:val="20"/>
          <w:szCs w:val="20"/>
        </w:rPr>
        <w:t xml:space="preserve">Cash used in financing activities of $5.7 billion in 2020 was primarily used to repurchase $5.1 billion of common stock, repay outstanding debt of $1.8 billion and pay $447 million of cash </w:t>
      </w:r>
      <w:r>
        <w:rPr>
          <w:rFonts w:ascii="Arial" w:eastAsia="宋体" w:hAnsi="Arial" w:cs="Arial"/>
          <w:color w:val="000000"/>
          <w:sz w:val="20"/>
          <w:szCs w:val="20"/>
        </w:rPr>
        <w:t>dividends, partially offset by proceeds from debt issuances of $1.8 billion.</w:t>
      </w:r>
    </w:p>
    <w:p w14:paraId="22CFAD7D" w14:textId="77777777" w:rsidR="002661BA" w:rsidRDefault="002661BA">
      <w:pPr>
        <w:ind w:firstLine="540"/>
        <w:jc w:val="both"/>
      </w:pPr>
    </w:p>
    <w:p w14:paraId="22CFAD7E" w14:textId="77777777" w:rsidR="002661BA" w:rsidRDefault="00D972BC">
      <w:pPr>
        <w:ind w:firstLine="540"/>
        <w:jc w:val="both"/>
      </w:pPr>
      <w:r>
        <w:rPr>
          <w:rFonts w:ascii="Arial" w:eastAsia="宋体" w:hAnsi="Arial" w:cs="Arial"/>
          <w:color w:val="000000"/>
          <w:sz w:val="20"/>
          <w:szCs w:val="20"/>
        </w:rPr>
        <w:t>The positive effect of exchange rate movements on cash, cash equivalents and restricted cash was due to the weakening of the U.S. dollar against other currencies, primarily the e</w:t>
      </w:r>
      <w:r>
        <w:rPr>
          <w:rFonts w:ascii="Arial" w:eastAsia="宋体" w:hAnsi="Arial" w:cs="Arial"/>
          <w:color w:val="000000"/>
          <w:sz w:val="20"/>
          <w:szCs w:val="20"/>
        </w:rPr>
        <w:t>uro, during 2021 and 2020.</w:t>
      </w:r>
    </w:p>
    <w:p w14:paraId="22CFAD7F" w14:textId="77777777" w:rsidR="002661BA" w:rsidRDefault="00D972BC">
      <w:pPr>
        <w:jc w:val="center"/>
      </w:pPr>
      <w:r>
        <w:rPr>
          <w:rFonts w:ascii="Arial" w:eastAsia="宋体" w:hAnsi="Arial" w:cs="Arial"/>
          <w:color w:val="000000"/>
          <w:sz w:val="18"/>
          <w:szCs w:val="18"/>
        </w:rPr>
        <w:t>42</w:t>
      </w:r>
    </w:p>
    <w:p w14:paraId="22CFAD80" w14:textId="77777777" w:rsidR="002661BA" w:rsidRDefault="00D972BC">
      <w:r>
        <w:pict w14:anchorId="22CFE4DB">
          <v:rect id="_x0000_i1066" style="width:415.3pt;height:1.5pt" o:hralign="center" o:hrstd="t" o:hr="t" fillcolor="#a0a0a0" stroked="f"/>
        </w:pict>
      </w:r>
    </w:p>
    <w:p w14:paraId="22CFAD81" w14:textId="77777777" w:rsidR="002661BA" w:rsidRDefault="00D972BC">
      <w:hyperlink r:id="rId68" w:anchor="id0d7a71b05ce452ea9fdb54f3cb359c7_7" w:history="1">
        <w:r>
          <w:rPr>
            <w:rStyle w:val="a5"/>
            <w:rFonts w:ascii="Arial" w:eastAsia="宋体" w:hAnsi="Arial" w:cs="Arial"/>
            <w:sz w:val="18"/>
            <w:szCs w:val="18"/>
          </w:rPr>
          <w:t>Table of Contents</w:t>
        </w:r>
      </w:hyperlink>
    </w:p>
    <w:p w14:paraId="22CFAD82" w14:textId="77777777" w:rsidR="002661BA" w:rsidRDefault="002661BA">
      <w:pPr>
        <w:ind w:firstLine="540"/>
        <w:jc w:val="both"/>
      </w:pPr>
    </w:p>
    <w:p w14:paraId="22CFAD83" w14:textId="77777777" w:rsidR="002661BA" w:rsidRDefault="00D972BC">
      <w:pPr>
        <w:jc w:val="both"/>
      </w:pPr>
      <w:r>
        <w:rPr>
          <w:rFonts w:ascii="Arial" w:eastAsia="宋体" w:hAnsi="Arial" w:cs="Arial"/>
          <w:b/>
          <w:bCs/>
          <w:i/>
          <w:iCs/>
          <w:color w:val="000000"/>
          <w:sz w:val="20"/>
          <w:szCs w:val="20"/>
        </w:rPr>
        <w:t>Liquidity and Capital Resource Requirements</w:t>
      </w:r>
      <w:r>
        <w:rPr>
          <w:rFonts w:ascii="Arial" w:eastAsia="宋体" w:hAnsi="Arial" w:cs="Arial"/>
          <w:i/>
          <w:iCs/>
          <w:color w:val="000000"/>
          <w:sz w:val="20"/>
          <w:szCs w:val="20"/>
        </w:rPr>
        <w:t xml:space="preserve"> </w:t>
      </w:r>
    </w:p>
    <w:p w14:paraId="22CFAD84" w14:textId="77777777" w:rsidR="002661BA" w:rsidRDefault="002661BA">
      <w:pPr>
        <w:jc w:val="both"/>
      </w:pPr>
    </w:p>
    <w:p w14:paraId="22CFAD85" w14:textId="77777777" w:rsidR="002661BA" w:rsidRDefault="00D972BC">
      <w:pPr>
        <w:ind w:firstLine="540"/>
        <w:jc w:val="both"/>
      </w:pPr>
      <w:r>
        <w:rPr>
          <w:rFonts w:ascii="Arial" w:eastAsia="宋体" w:hAnsi="Arial" w:cs="Arial"/>
          <w:color w:val="000000"/>
          <w:sz w:val="20"/>
          <w:szCs w:val="20"/>
        </w:rPr>
        <w:t xml:space="preserve">As of </w:t>
      </w:r>
      <w:r>
        <w:rPr>
          <w:rFonts w:ascii="Arial" w:eastAsia="宋体" w:hAnsi="Arial" w:cs="Arial"/>
          <w:color w:val="000000"/>
          <w:sz w:val="20"/>
          <w:szCs w:val="20"/>
        </w:rPr>
        <w:t>December 31, 2021 and December 31, 2020, we had assets classified as cash and cash equivalents, as well as short-term and long-term non-equity investments from continuing operations, in an aggregate amount of $7.3 billion and $3.8 billion, respectively. We</w:t>
      </w:r>
      <w:r>
        <w:rPr>
          <w:rFonts w:ascii="Arial" w:eastAsia="宋体" w:hAnsi="Arial" w:cs="Arial"/>
          <w:color w:val="000000"/>
          <w:sz w:val="20"/>
          <w:szCs w:val="20"/>
        </w:rPr>
        <w:t xml:space="preserve"> believe that our cash, cash equivalents and short-term and long-term investments, together with cash expected to be generated from operations, borrowings available under our credit agreement and commercial paper program, and our access to capital markets,</w:t>
      </w:r>
      <w:r>
        <w:rPr>
          <w:rFonts w:ascii="Arial" w:eastAsia="宋体" w:hAnsi="Arial" w:cs="Arial"/>
          <w:color w:val="000000"/>
          <w:sz w:val="20"/>
          <w:szCs w:val="20"/>
        </w:rPr>
        <w:t xml:space="preserve"> will be sufficient to satisfy our material cash requirements over the next 12 months and for the foreseeable future. </w:t>
      </w:r>
    </w:p>
    <w:p w14:paraId="22CFAD86" w14:textId="77777777" w:rsidR="002661BA" w:rsidRDefault="002661BA">
      <w:pPr>
        <w:ind w:firstLine="540"/>
        <w:jc w:val="both"/>
      </w:pPr>
    </w:p>
    <w:p w14:paraId="22CFAD87" w14:textId="77777777" w:rsidR="002661BA" w:rsidRDefault="00D972BC">
      <w:pPr>
        <w:ind w:firstLine="540"/>
        <w:jc w:val="both"/>
      </w:pPr>
      <w:r>
        <w:rPr>
          <w:rFonts w:ascii="Arial" w:eastAsia="宋体" w:hAnsi="Arial" w:cs="Arial"/>
          <w:color w:val="000000"/>
          <w:sz w:val="20"/>
          <w:szCs w:val="20"/>
        </w:rPr>
        <w:t>However, COVID-19 and related measures to contain its impact have caused material disruptions in both national and global financial mark</w:t>
      </w:r>
      <w:r>
        <w:rPr>
          <w:rFonts w:ascii="Arial" w:eastAsia="宋体" w:hAnsi="Arial" w:cs="Arial"/>
          <w:color w:val="000000"/>
          <w:sz w:val="20"/>
          <w:szCs w:val="20"/>
        </w:rPr>
        <w:t>ets and economies. The future impact of COVID-19 and these containment measures cannot be predicted with certainty and may increase our borrowing costs and other costs of capital and otherwise adversely affect our business, results of operations, financial</w:t>
      </w:r>
      <w:r>
        <w:rPr>
          <w:rFonts w:ascii="Arial" w:eastAsia="宋体" w:hAnsi="Arial" w:cs="Arial"/>
          <w:color w:val="000000"/>
          <w:sz w:val="20"/>
          <w:szCs w:val="20"/>
        </w:rPr>
        <w:t xml:space="preserve"> condition and liquidity, and we cannot assure that we will have access to external financing at times and on terms we consider acceptable, or at all, or that we will not experience other liquidity issues going forward.</w:t>
      </w:r>
    </w:p>
    <w:p w14:paraId="22CFAD88" w14:textId="77777777" w:rsidR="002661BA" w:rsidRDefault="002661BA">
      <w:pPr>
        <w:ind w:firstLine="540"/>
        <w:jc w:val="both"/>
      </w:pPr>
    </w:p>
    <w:p w14:paraId="22CFAD89" w14:textId="77777777" w:rsidR="002661BA" w:rsidRDefault="00D972BC">
      <w:pPr>
        <w:ind w:firstLine="540"/>
        <w:jc w:val="both"/>
      </w:pPr>
      <w:r>
        <w:rPr>
          <w:rFonts w:ascii="Arial" w:eastAsia="宋体" w:hAnsi="Arial" w:cs="Arial"/>
          <w:i/>
          <w:iCs/>
          <w:color w:val="000000"/>
          <w:sz w:val="20"/>
          <w:szCs w:val="20"/>
        </w:rPr>
        <w:t>Senior Notes</w:t>
      </w:r>
    </w:p>
    <w:p w14:paraId="22CFAD8A" w14:textId="77777777" w:rsidR="002661BA" w:rsidRDefault="002661BA">
      <w:pPr>
        <w:ind w:firstLine="540"/>
        <w:jc w:val="both"/>
      </w:pPr>
    </w:p>
    <w:p w14:paraId="22CFAD8B" w14:textId="77777777" w:rsidR="002661BA" w:rsidRDefault="00D972BC">
      <w:pPr>
        <w:ind w:firstLine="540"/>
        <w:jc w:val="both"/>
      </w:pPr>
      <w:r>
        <w:rPr>
          <w:rFonts w:ascii="Arial" w:eastAsia="宋体" w:hAnsi="Arial" w:cs="Arial"/>
          <w:color w:val="000000"/>
          <w:sz w:val="20"/>
          <w:szCs w:val="20"/>
        </w:rPr>
        <w:t>As of December 31, 2021, we had floating- and fixed-rate senior notes outstanding with varying maturities for an aggregate principal amount of $9.1 billion, with $1.4 billion payable within 12 months. Future interest payments associated with the senior not</w:t>
      </w:r>
      <w:r>
        <w:rPr>
          <w:rFonts w:ascii="Arial" w:eastAsia="宋体" w:hAnsi="Arial" w:cs="Arial"/>
          <w:color w:val="000000"/>
          <w:sz w:val="20"/>
          <w:szCs w:val="20"/>
        </w:rPr>
        <w:t>es total $2.5 billion, with $0.2 billion payable within 12 months. The net proceeds from the issuances of these senior notes are used for general corporate purposes, including, among other things, capital expenditures, share repurchases, repayment of indeb</w:t>
      </w:r>
      <w:r>
        <w:rPr>
          <w:rFonts w:ascii="Arial" w:eastAsia="宋体" w:hAnsi="Arial" w:cs="Arial"/>
          <w:color w:val="000000"/>
          <w:sz w:val="20"/>
          <w:szCs w:val="20"/>
        </w:rPr>
        <w:t xml:space="preserve">tedness and possible acquisitions. </w:t>
      </w:r>
    </w:p>
    <w:p w14:paraId="22CFAD8C" w14:textId="77777777" w:rsidR="002661BA" w:rsidRDefault="002661BA">
      <w:pPr>
        <w:ind w:firstLine="540"/>
        <w:jc w:val="both"/>
      </w:pPr>
    </w:p>
    <w:p w14:paraId="22CFAD8D" w14:textId="77777777" w:rsidR="002661BA" w:rsidRDefault="00D972BC">
      <w:pPr>
        <w:ind w:firstLine="540"/>
        <w:jc w:val="both"/>
      </w:pPr>
      <w:r>
        <w:rPr>
          <w:rFonts w:ascii="Arial" w:eastAsia="宋体" w:hAnsi="Arial" w:cs="Arial"/>
          <w:color w:val="000000"/>
          <w:sz w:val="20"/>
          <w:szCs w:val="20"/>
        </w:rPr>
        <w:t>In February 2022, we redeemed the $750 million aggregate principal amount of the 3.800% senior notes due March 2022. Total cash consideration paid was $750 million as the redemption price was equal to 100% of the princi</w:t>
      </w:r>
      <w:r>
        <w:rPr>
          <w:rFonts w:ascii="Arial" w:eastAsia="宋体" w:hAnsi="Arial" w:cs="Arial"/>
          <w:color w:val="000000"/>
          <w:sz w:val="20"/>
          <w:szCs w:val="20"/>
        </w:rPr>
        <w:t>pal amount. In addition, we paid accrued and unpaid interest on the principal amount.</w:t>
      </w:r>
    </w:p>
    <w:p w14:paraId="22CFAD8E" w14:textId="77777777" w:rsidR="002661BA" w:rsidRDefault="002661BA">
      <w:pPr>
        <w:ind w:firstLine="540"/>
        <w:jc w:val="both"/>
      </w:pPr>
    </w:p>
    <w:p w14:paraId="22CFAD8F" w14:textId="77777777" w:rsidR="002661BA" w:rsidRDefault="00D972BC">
      <w:pPr>
        <w:ind w:firstLine="540"/>
        <w:jc w:val="both"/>
      </w:pPr>
      <w:r>
        <w:rPr>
          <w:rFonts w:ascii="Arial" w:eastAsia="宋体" w:hAnsi="Arial" w:cs="Arial"/>
          <w:i/>
          <w:iCs/>
          <w:color w:val="000000"/>
          <w:sz w:val="20"/>
          <w:szCs w:val="20"/>
        </w:rPr>
        <w:t>Commercial Paper</w:t>
      </w:r>
    </w:p>
    <w:p w14:paraId="22CFAD90" w14:textId="77777777" w:rsidR="002661BA" w:rsidRDefault="002661BA">
      <w:pPr>
        <w:ind w:firstLine="540"/>
        <w:jc w:val="both"/>
      </w:pPr>
    </w:p>
    <w:p w14:paraId="22CFAD91" w14:textId="77777777" w:rsidR="002661BA" w:rsidRDefault="00D972BC">
      <w:pPr>
        <w:ind w:firstLine="540"/>
        <w:jc w:val="both"/>
      </w:pPr>
      <w:r>
        <w:rPr>
          <w:rFonts w:ascii="Arial" w:eastAsia="宋体" w:hAnsi="Arial" w:cs="Arial"/>
          <w:color w:val="000000"/>
          <w:sz w:val="20"/>
          <w:szCs w:val="20"/>
        </w:rPr>
        <w:t>We have a commercial paper program pursuant to which we may issue commercial paper notes in an aggregate principal amount at maturity of up to $1.5 bil</w:t>
      </w:r>
      <w:r>
        <w:rPr>
          <w:rFonts w:ascii="Arial" w:eastAsia="宋体" w:hAnsi="Arial" w:cs="Arial"/>
          <w:color w:val="000000"/>
          <w:sz w:val="20"/>
          <w:szCs w:val="20"/>
        </w:rPr>
        <w:t xml:space="preserve">lion outstanding at any time with maturities of up to 397 days from the date of issue. As of December 31, 2021, there were no commercial paper notes outstanding. </w:t>
      </w:r>
    </w:p>
    <w:p w14:paraId="22CFAD92" w14:textId="77777777" w:rsidR="002661BA" w:rsidRDefault="002661BA">
      <w:pPr>
        <w:ind w:firstLine="540"/>
        <w:jc w:val="both"/>
      </w:pPr>
    </w:p>
    <w:p w14:paraId="22CFAD93" w14:textId="77777777" w:rsidR="002661BA" w:rsidRDefault="00D972BC">
      <w:pPr>
        <w:ind w:firstLine="270"/>
        <w:jc w:val="both"/>
      </w:pPr>
      <w:r>
        <w:rPr>
          <w:rFonts w:ascii="Arial" w:eastAsia="宋体" w:hAnsi="Arial" w:cs="Arial"/>
          <w:i/>
          <w:iCs/>
          <w:color w:val="000000"/>
          <w:sz w:val="20"/>
          <w:szCs w:val="20"/>
        </w:rPr>
        <w:t xml:space="preserve">Credit Agreement </w:t>
      </w:r>
    </w:p>
    <w:p w14:paraId="22CFAD94" w14:textId="77777777" w:rsidR="002661BA" w:rsidRDefault="002661BA">
      <w:pPr>
        <w:ind w:firstLine="90"/>
        <w:jc w:val="both"/>
      </w:pPr>
    </w:p>
    <w:p w14:paraId="22CFAD95" w14:textId="77777777" w:rsidR="002661BA" w:rsidRDefault="00D972BC">
      <w:pPr>
        <w:ind w:firstLine="540"/>
        <w:jc w:val="both"/>
      </w:pPr>
      <w:r>
        <w:rPr>
          <w:rFonts w:ascii="Arial" w:eastAsia="宋体" w:hAnsi="Arial" w:cs="Arial"/>
          <w:color w:val="000000"/>
          <w:sz w:val="20"/>
          <w:szCs w:val="20"/>
        </w:rPr>
        <w:t>In March 2020, we entered into a credit agreement that provides for an un</w:t>
      </w:r>
      <w:r>
        <w:rPr>
          <w:rFonts w:ascii="Arial" w:eastAsia="宋体" w:hAnsi="Arial" w:cs="Arial"/>
          <w:color w:val="000000"/>
          <w:sz w:val="20"/>
          <w:szCs w:val="20"/>
        </w:rPr>
        <w:t>secured $2 billion five-year credit facility. We may also, subject to the agreement of the applicable lenders, increase commitments under the revolving credit facility by up to $1 billion. Funds borrowed under the credit agreement may be used for working c</w:t>
      </w:r>
      <w:r>
        <w:rPr>
          <w:rFonts w:ascii="Arial" w:eastAsia="宋体" w:hAnsi="Arial" w:cs="Arial"/>
          <w:color w:val="000000"/>
          <w:sz w:val="20"/>
          <w:szCs w:val="20"/>
        </w:rPr>
        <w:t>apital, capital expenditures, acquisitions and other general corporate purposes. As of December 31, 2021, no borrowings were outstanding under our $2 billion credit agreement. </w:t>
      </w:r>
    </w:p>
    <w:p w14:paraId="22CFAD96" w14:textId="77777777" w:rsidR="002661BA" w:rsidRDefault="002661BA">
      <w:pPr>
        <w:ind w:firstLine="540"/>
        <w:jc w:val="both"/>
      </w:pPr>
    </w:p>
    <w:p w14:paraId="22CFAD97" w14:textId="77777777" w:rsidR="002661BA" w:rsidRDefault="00D972BC">
      <w:pPr>
        <w:ind w:firstLine="270"/>
        <w:jc w:val="both"/>
      </w:pPr>
      <w:r>
        <w:rPr>
          <w:rFonts w:ascii="Arial" w:eastAsia="宋体" w:hAnsi="Arial" w:cs="Arial"/>
          <w:i/>
          <w:iCs/>
          <w:color w:val="000000"/>
          <w:sz w:val="20"/>
          <w:szCs w:val="20"/>
        </w:rPr>
        <w:t>Credit Ratings</w:t>
      </w:r>
    </w:p>
    <w:p w14:paraId="22CFAD98" w14:textId="77777777" w:rsidR="002661BA" w:rsidRDefault="002661BA">
      <w:pPr>
        <w:ind w:firstLine="90"/>
        <w:jc w:val="both"/>
      </w:pPr>
    </w:p>
    <w:p w14:paraId="22CFAD99" w14:textId="77777777" w:rsidR="002661BA" w:rsidRDefault="00D972BC">
      <w:pPr>
        <w:ind w:firstLine="540"/>
        <w:jc w:val="both"/>
      </w:pPr>
      <w:r>
        <w:rPr>
          <w:rFonts w:ascii="Arial" w:eastAsia="宋体" w:hAnsi="Arial" w:cs="Arial"/>
          <w:color w:val="000000"/>
          <w:sz w:val="20"/>
          <w:szCs w:val="20"/>
        </w:rPr>
        <w:t>As of December 31, 2021, we were rated investment grade by Standard and Poor’s Financial Services, LLC (long-term rated BBB+, short-term rated A-2, with a stable outlook) and Moody’s Investor Service (long-term rated Baa1, short-term rated P-2, with a stab</w:t>
      </w:r>
      <w:r>
        <w:rPr>
          <w:rFonts w:ascii="Arial" w:eastAsia="宋体" w:hAnsi="Arial" w:cs="Arial"/>
          <w:color w:val="000000"/>
          <w:sz w:val="20"/>
          <w:szCs w:val="20"/>
        </w:rPr>
        <w:t>le outlook). We disclose these ratings to enhance the understanding of our sources of liquidity and the effects of our ratings on our costs of funds. Our borrowing costs depend, in part, on our credit ratings and any actions taken by these credit rating ag</w:t>
      </w:r>
      <w:r>
        <w:rPr>
          <w:rFonts w:ascii="Arial" w:eastAsia="宋体" w:hAnsi="Arial" w:cs="Arial"/>
          <w:color w:val="000000"/>
          <w:sz w:val="20"/>
          <w:szCs w:val="20"/>
        </w:rPr>
        <w:t xml:space="preserve">encies to lower our credit ratings will likely increase our borrowing costs.  </w:t>
      </w:r>
    </w:p>
    <w:p w14:paraId="22CFAD9A" w14:textId="77777777" w:rsidR="002661BA" w:rsidRDefault="002661BA">
      <w:pPr>
        <w:ind w:firstLine="540"/>
        <w:jc w:val="both"/>
      </w:pPr>
    </w:p>
    <w:p w14:paraId="22CFAD9B" w14:textId="77777777" w:rsidR="002661BA" w:rsidRDefault="00D972BC">
      <w:pPr>
        <w:ind w:firstLine="540"/>
        <w:jc w:val="both"/>
      </w:pPr>
      <w:r>
        <w:rPr>
          <w:rFonts w:ascii="Arial" w:eastAsia="宋体" w:hAnsi="Arial" w:cs="Arial"/>
          <w:color w:val="000000"/>
          <w:sz w:val="20"/>
          <w:szCs w:val="20"/>
        </w:rPr>
        <w:t>We were in compliance with all financial covenants in our outstanding debt instruments for the period ended December 31, 2021. For additional details related to our debt, pleas</w:t>
      </w:r>
      <w:r>
        <w:rPr>
          <w:rFonts w:ascii="Arial" w:eastAsia="宋体" w:hAnsi="Arial" w:cs="Arial"/>
          <w:color w:val="000000"/>
          <w:sz w:val="20"/>
          <w:szCs w:val="20"/>
        </w:rPr>
        <w:t>e see “Note 10 — Debt” to the consolidated financial statements included in this report.</w:t>
      </w:r>
    </w:p>
    <w:p w14:paraId="22CFAD9C" w14:textId="77777777" w:rsidR="002661BA" w:rsidRDefault="002661BA">
      <w:pPr>
        <w:ind w:firstLine="540"/>
        <w:jc w:val="both"/>
      </w:pPr>
    </w:p>
    <w:p w14:paraId="22CFAD9D" w14:textId="77777777" w:rsidR="002661BA" w:rsidRDefault="00D972BC">
      <w:pPr>
        <w:jc w:val="center"/>
      </w:pPr>
      <w:r>
        <w:rPr>
          <w:rFonts w:ascii="Arial" w:eastAsia="宋体" w:hAnsi="Arial" w:cs="Arial"/>
          <w:color w:val="000000"/>
          <w:sz w:val="18"/>
          <w:szCs w:val="18"/>
        </w:rPr>
        <w:t>43</w:t>
      </w:r>
    </w:p>
    <w:p w14:paraId="22CFAD9E" w14:textId="77777777" w:rsidR="002661BA" w:rsidRDefault="00D972BC">
      <w:r>
        <w:pict w14:anchorId="22CFE4DC">
          <v:rect id="_x0000_i1067" style="width:415.3pt;height:1.5pt" o:hralign="center" o:hrstd="t" o:hr="t" fillcolor="#a0a0a0" stroked="f"/>
        </w:pict>
      </w:r>
    </w:p>
    <w:p w14:paraId="22CFAD9F" w14:textId="77777777" w:rsidR="002661BA" w:rsidRDefault="00D972BC">
      <w:hyperlink r:id="rId69" w:anchor="id0d7a71b05ce452ea9fdb54f3cb359c7_7" w:history="1">
        <w:r>
          <w:rPr>
            <w:rStyle w:val="a5"/>
            <w:rFonts w:ascii="Arial" w:eastAsia="宋体" w:hAnsi="Arial" w:cs="Arial"/>
            <w:sz w:val="18"/>
            <w:szCs w:val="18"/>
          </w:rPr>
          <w:t>Table of Co</w:t>
        </w:r>
        <w:r>
          <w:rPr>
            <w:rStyle w:val="a5"/>
            <w:rFonts w:ascii="Arial" w:eastAsia="宋体" w:hAnsi="Arial" w:cs="Arial"/>
            <w:sz w:val="18"/>
            <w:szCs w:val="18"/>
          </w:rPr>
          <w:t>ntents</w:t>
        </w:r>
      </w:hyperlink>
    </w:p>
    <w:p w14:paraId="22CFADA0" w14:textId="77777777" w:rsidR="002661BA" w:rsidRDefault="00D972BC">
      <w:pPr>
        <w:ind w:firstLine="540"/>
      </w:pPr>
      <w:r>
        <w:rPr>
          <w:rFonts w:ascii="Arial" w:eastAsia="宋体" w:hAnsi="Arial" w:cs="Arial"/>
          <w:i/>
          <w:iCs/>
          <w:color w:val="000000"/>
          <w:sz w:val="20"/>
          <w:szCs w:val="20"/>
        </w:rPr>
        <w:t>Leases</w:t>
      </w:r>
    </w:p>
    <w:p w14:paraId="22CFADA1" w14:textId="77777777" w:rsidR="002661BA" w:rsidRDefault="002661BA">
      <w:pPr>
        <w:ind w:firstLine="540"/>
        <w:jc w:val="both"/>
      </w:pPr>
    </w:p>
    <w:p w14:paraId="22CFADA2" w14:textId="77777777" w:rsidR="002661BA" w:rsidRDefault="00D972BC">
      <w:pPr>
        <w:ind w:firstLine="540"/>
        <w:jc w:val="both"/>
      </w:pPr>
      <w:r>
        <w:rPr>
          <w:rFonts w:ascii="Arial" w:eastAsia="宋体" w:hAnsi="Arial" w:cs="Arial"/>
          <w:color w:val="000000"/>
          <w:sz w:val="20"/>
          <w:szCs w:val="20"/>
        </w:rPr>
        <w:t>We have operating leases for office space, data centers, as well as other corporate assets that we utilize under lease arrangements. As of December 31, 2021, we had fixed lease payment obligations of $366 million, with $156 million payabl</w:t>
      </w:r>
      <w:r>
        <w:rPr>
          <w:rFonts w:ascii="Arial" w:eastAsia="宋体" w:hAnsi="Arial" w:cs="Arial"/>
          <w:color w:val="000000"/>
          <w:sz w:val="20"/>
          <w:szCs w:val="20"/>
        </w:rPr>
        <w:t>e within 12 months. For additional details related to our leases, please see “Note 11 — Leases” to the consolidated financial statements included in this report.</w:t>
      </w:r>
    </w:p>
    <w:p w14:paraId="22CFADA3" w14:textId="77777777" w:rsidR="002661BA" w:rsidRDefault="002661BA">
      <w:pPr>
        <w:ind w:firstLine="540"/>
        <w:jc w:val="both"/>
      </w:pPr>
    </w:p>
    <w:p w14:paraId="22CFADA4" w14:textId="77777777" w:rsidR="002661BA" w:rsidRDefault="00D972BC">
      <w:pPr>
        <w:ind w:firstLine="540"/>
        <w:jc w:val="both"/>
      </w:pPr>
      <w:r>
        <w:rPr>
          <w:rFonts w:ascii="Arial" w:eastAsia="宋体" w:hAnsi="Arial" w:cs="Arial"/>
          <w:i/>
          <w:iCs/>
          <w:color w:val="000000"/>
          <w:sz w:val="20"/>
          <w:szCs w:val="20"/>
        </w:rPr>
        <w:t>Purchase Obligations</w:t>
      </w:r>
    </w:p>
    <w:p w14:paraId="22CFADA5" w14:textId="77777777" w:rsidR="002661BA" w:rsidRDefault="002661BA">
      <w:pPr>
        <w:ind w:firstLine="540"/>
        <w:jc w:val="both"/>
      </w:pPr>
    </w:p>
    <w:p w14:paraId="22CFADA6" w14:textId="77777777" w:rsidR="002661BA" w:rsidRDefault="00D972BC">
      <w:pPr>
        <w:ind w:firstLine="540"/>
        <w:jc w:val="both"/>
      </w:pPr>
      <w:r>
        <w:rPr>
          <w:rFonts w:ascii="Arial" w:eastAsia="宋体" w:hAnsi="Arial" w:cs="Arial"/>
          <w:color w:val="000000"/>
          <w:sz w:val="20"/>
          <w:szCs w:val="20"/>
        </w:rPr>
        <w:t xml:space="preserve">Purchase obligation amounts include minimum purchase </w:t>
      </w:r>
      <w:r>
        <w:rPr>
          <w:rFonts w:ascii="Arial" w:eastAsia="宋体" w:hAnsi="Arial" w:cs="Arial"/>
          <w:color w:val="000000"/>
          <w:sz w:val="20"/>
          <w:szCs w:val="20"/>
        </w:rPr>
        <w:t>commitments for advertising, capital expenditures (computer equipment, software applications, engineering development services, construction contracts) and other goods and services entered into in the ordinary course of business. As of December 31, 2021, w</w:t>
      </w:r>
      <w:r>
        <w:rPr>
          <w:rFonts w:ascii="Arial" w:eastAsia="宋体" w:hAnsi="Arial" w:cs="Arial"/>
          <w:color w:val="000000"/>
          <w:sz w:val="20"/>
          <w:szCs w:val="20"/>
        </w:rPr>
        <w:t>e had purchase obligations of $151 million, with $125 million payable within 12 months.</w:t>
      </w:r>
    </w:p>
    <w:p w14:paraId="22CFADA7" w14:textId="77777777" w:rsidR="002661BA" w:rsidRDefault="002661BA">
      <w:pPr>
        <w:ind w:firstLine="540"/>
        <w:jc w:val="both"/>
      </w:pPr>
    </w:p>
    <w:p w14:paraId="22CFADA8" w14:textId="77777777" w:rsidR="002661BA" w:rsidRDefault="00D972BC">
      <w:pPr>
        <w:ind w:firstLine="540"/>
        <w:jc w:val="both"/>
      </w:pPr>
      <w:r>
        <w:rPr>
          <w:rFonts w:ascii="Arial" w:eastAsia="宋体" w:hAnsi="Arial" w:cs="Arial"/>
          <w:i/>
          <w:iCs/>
          <w:color w:val="000000"/>
          <w:sz w:val="20"/>
          <w:szCs w:val="20"/>
        </w:rPr>
        <w:t>Income Taxes</w:t>
      </w:r>
    </w:p>
    <w:p w14:paraId="22CFADA9" w14:textId="77777777" w:rsidR="002661BA" w:rsidRDefault="002661BA">
      <w:pPr>
        <w:ind w:firstLine="540"/>
        <w:jc w:val="both"/>
      </w:pPr>
    </w:p>
    <w:p w14:paraId="22CFADAA" w14:textId="77777777" w:rsidR="002661BA" w:rsidRDefault="00D972BC">
      <w:pPr>
        <w:ind w:firstLine="540"/>
        <w:jc w:val="both"/>
      </w:pPr>
      <w:r>
        <w:rPr>
          <w:rFonts w:ascii="Arial" w:eastAsia="宋体" w:hAnsi="Arial" w:cs="Arial"/>
          <w:color w:val="000000"/>
          <w:sz w:val="20"/>
          <w:szCs w:val="20"/>
        </w:rPr>
        <w:t>We are unable to reasonably predict the timing of settlement of liabilities related to unrecognized tax benefits of $318 million included in other liabil</w:t>
      </w:r>
      <w:r>
        <w:rPr>
          <w:rFonts w:ascii="Arial" w:eastAsia="宋体" w:hAnsi="Arial" w:cs="Arial"/>
          <w:color w:val="000000"/>
          <w:sz w:val="20"/>
          <w:szCs w:val="20"/>
        </w:rPr>
        <w:t xml:space="preserve">ities on our consolidated balance sheet as of December 31, 2021. The timing of the resolution and/or closure of audits is highly uncertain, and it is reasonably possible that the balance of gross unrecognized tax benefits could significantly change in the </w:t>
      </w:r>
      <w:r>
        <w:rPr>
          <w:rFonts w:ascii="Arial" w:eastAsia="宋体" w:hAnsi="Arial" w:cs="Arial"/>
          <w:color w:val="000000"/>
          <w:sz w:val="20"/>
          <w:szCs w:val="20"/>
        </w:rPr>
        <w:t xml:space="preserve">next 12 months. However, given the number of years remaining subject to examination and the number of matters being examined, we are unable to estimate the full range of possible adjustments to the balance of gross unrecognized tax benefits. </w:t>
      </w:r>
    </w:p>
    <w:p w14:paraId="22CFADAB" w14:textId="77777777" w:rsidR="002661BA" w:rsidRDefault="002661BA">
      <w:pPr>
        <w:ind w:firstLine="540"/>
        <w:jc w:val="both"/>
      </w:pPr>
    </w:p>
    <w:p w14:paraId="22CFADAC" w14:textId="77777777" w:rsidR="002661BA" w:rsidRDefault="00D972BC">
      <w:pPr>
        <w:ind w:firstLine="540"/>
        <w:jc w:val="both"/>
      </w:pPr>
      <w:r>
        <w:rPr>
          <w:rFonts w:ascii="Arial" w:eastAsia="宋体" w:hAnsi="Arial" w:cs="Arial"/>
          <w:color w:val="000000"/>
          <w:sz w:val="20"/>
          <w:szCs w:val="20"/>
        </w:rPr>
        <w:t>As of Decemb</w:t>
      </w:r>
      <w:r>
        <w:rPr>
          <w:rFonts w:ascii="Arial" w:eastAsia="宋体" w:hAnsi="Arial" w:cs="Arial"/>
          <w:color w:val="000000"/>
          <w:sz w:val="20"/>
          <w:szCs w:val="20"/>
        </w:rPr>
        <w:t xml:space="preserve">er 31, 2021, our assets classified as cash and cash equivalents, and short-term and long-term non-equity investments from continuing operations included assets held in certain of our foreign operations totaling approximately $5.0 billion. As we repatriate </w:t>
      </w:r>
      <w:r>
        <w:rPr>
          <w:rFonts w:ascii="Arial" w:eastAsia="宋体" w:hAnsi="Arial" w:cs="Arial"/>
          <w:color w:val="000000"/>
          <w:sz w:val="20"/>
          <w:szCs w:val="20"/>
        </w:rPr>
        <w:t>these funds to the U.S., we will be required to pay income taxes in certain U.S. states and applicable foreign withholding taxes on those amounts during the period when such repatriation occurs. We have accrued deferred taxes for the tax effect of repatria</w:t>
      </w:r>
      <w:r>
        <w:rPr>
          <w:rFonts w:ascii="Arial" w:eastAsia="宋体" w:hAnsi="Arial" w:cs="Arial"/>
          <w:color w:val="000000"/>
          <w:sz w:val="20"/>
          <w:szCs w:val="20"/>
        </w:rPr>
        <w:t>ting the funds to the U.S.</w:t>
      </w:r>
    </w:p>
    <w:p w14:paraId="22CFADAD" w14:textId="77777777" w:rsidR="002661BA" w:rsidRDefault="002661BA">
      <w:pPr>
        <w:ind w:firstLine="540"/>
        <w:jc w:val="both"/>
      </w:pPr>
    </w:p>
    <w:p w14:paraId="22CFADAE" w14:textId="77777777" w:rsidR="002661BA" w:rsidRDefault="00D972BC">
      <w:pPr>
        <w:ind w:firstLine="540"/>
        <w:jc w:val="both"/>
      </w:pPr>
      <w:r>
        <w:rPr>
          <w:rFonts w:ascii="Arial" w:eastAsia="宋体" w:hAnsi="Arial" w:cs="Arial"/>
          <w:color w:val="000000"/>
          <w:sz w:val="20"/>
          <w:szCs w:val="20"/>
        </w:rPr>
        <w:t>See “Note 15 — Income Taxes” to the consolidated financial statements included in this report for more information on unrecognized tax benefits and deferred taxes.</w:t>
      </w:r>
    </w:p>
    <w:p w14:paraId="22CFADAF" w14:textId="77777777" w:rsidR="002661BA" w:rsidRDefault="002661BA">
      <w:pPr>
        <w:ind w:firstLine="540"/>
        <w:jc w:val="both"/>
      </w:pPr>
    </w:p>
    <w:p w14:paraId="22CFADB0" w14:textId="77777777" w:rsidR="002661BA" w:rsidRDefault="00D972BC">
      <w:pPr>
        <w:jc w:val="both"/>
      </w:pPr>
      <w:r>
        <w:rPr>
          <w:rFonts w:ascii="Arial" w:eastAsia="宋体" w:hAnsi="Arial" w:cs="Arial"/>
          <w:b/>
          <w:bCs/>
          <w:i/>
          <w:iCs/>
          <w:color w:val="000000"/>
          <w:sz w:val="20"/>
          <w:szCs w:val="20"/>
        </w:rPr>
        <w:t>Stock Repurchases</w:t>
      </w:r>
    </w:p>
    <w:p w14:paraId="22CFADB1" w14:textId="77777777" w:rsidR="002661BA" w:rsidRDefault="002661BA">
      <w:pPr>
        <w:ind w:firstLine="540"/>
        <w:jc w:val="both"/>
      </w:pPr>
    </w:p>
    <w:p w14:paraId="22CFADB2" w14:textId="77777777" w:rsidR="002661BA" w:rsidRDefault="00D972BC">
      <w:pPr>
        <w:ind w:firstLine="540"/>
        <w:jc w:val="both"/>
      </w:pPr>
      <w:r>
        <w:rPr>
          <w:rFonts w:ascii="Arial" w:eastAsia="宋体" w:hAnsi="Arial" w:cs="Arial"/>
          <w:color w:val="000000"/>
          <w:sz w:val="20"/>
          <w:szCs w:val="20"/>
        </w:rPr>
        <w:t>Our stock repurchase programs are intended t</w:t>
      </w:r>
      <w:r>
        <w:rPr>
          <w:rFonts w:ascii="Arial" w:eastAsia="宋体" w:hAnsi="Arial" w:cs="Arial"/>
          <w:color w:val="000000"/>
          <w:sz w:val="20"/>
          <w:szCs w:val="20"/>
        </w:rPr>
        <w:t>o programmatically offset the impact of dilution from our equity compensation programs and, subject to market conditions and other factors, to make opportunistic and programmatic repurchases of our common stock to reduce our outstanding share count. Any sh</w:t>
      </w:r>
      <w:r>
        <w:rPr>
          <w:rFonts w:ascii="Arial" w:eastAsia="宋体" w:hAnsi="Arial" w:cs="Arial"/>
          <w:color w:val="000000"/>
          <w:sz w:val="20"/>
          <w:szCs w:val="20"/>
        </w:rPr>
        <w:t>are repurchases under our stock repurchase programs will be funded from our working capital or other financing alternatives.</w:t>
      </w:r>
    </w:p>
    <w:p w14:paraId="22CFADB3" w14:textId="77777777" w:rsidR="002661BA" w:rsidRDefault="002661BA">
      <w:pPr>
        <w:ind w:firstLine="540"/>
        <w:jc w:val="both"/>
      </w:pPr>
    </w:p>
    <w:p w14:paraId="22CFADB4" w14:textId="77777777" w:rsidR="002661BA" w:rsidRDefault="00D972BC">
      <w:pPr>
        <w:ind w:firstLine="540"/>
        <w:jc w:val="both"/>
      </w:pPr>
      <w:r>
        <w:rPr>
          <w:rFonts w:ascii="Arial" w:eastAsia="宋体" w:hAnsi="Arial" w:cs="Arial"/>
          <w:color w:val="000000"/>
          <w:sz w:val="20"/>
          <w:szCs w:val="20"/>
        </w:rPr>
        <w:t xml:space="preserve">We expect, subject to market conditions and other uncertainties, to continue making opportunistic and programmatic repurchases of </w:t>
      </w:r>
      <w:r>
        <w:rPr>
          <w:rFonts w:ascii="Arial" w:eastAsia="宋体" w:hAnsi="Arial" w:cs="Arial"/>
          <w:color w:val="000000"/>
          <w:sz w:val="20"/>
          <w:szCs w:val="20"/>
        </w:rPr>
        <w:t>our common stock. However, our stock repurchase programs may be limited or terminated at any time without prior notice. The timing and actual number of shares repurchased will depend on a variety of factors, including corporate and regulatory requirements,</w:t>
      </w:r>
      <w:r>
        <w:rPr>
          <w:rFonts w:ascii="Arial" w:eastAsia="宋体" w:hAnsi="Arial" w:cs="Arial"/>
          <w:color w:val="000000"/>
          <w:sz w:val="20"/>
          <w:szCs w:val="20"/>
        </w:rPr>
        <w:t xml:space="preserve"> the impacts of the COVID-19 pandemic, price and other market conditions and management’s determination as to the appropriate use of our cash. </w:t>
      </w:r>
    </w:p>
    <w:p w14:paraId="22CFADB5" w14:textId="77777777" w:rsidR="002661BA" w:rsidRDefault="002661BA">
      <w:pPr>
        <w:ind w:firstLine="540"/>
        <w:jc w:val="both"/>
      </w:pPr>
    </w:p>
    <w:p w14:paraId="22CFADB6" w14:textId="77777777" w:rsidR="002661BA" w:rsidRDefault="00D972BC">
      <w:pPr>
        <w:ind w:firstLine="540"/>
        <w:jc w:val="both"/>
      </w:pPr>
      <w:r>
        <w:rPr>
          <w:rFonts w:ascii="Arial" w:eastAsia="宋体" w:hAnsi="Arial" w:cs="Arial"/>
          <w:color w:val="000000"/>
          <w:sz w:val="20"/>
          <w:szCs w:val="20"/>
        </w:rPr>
        <w:t>During 2021, we repurchased approximately $7.0 billion of our common stock under our stock repurchase programs,</w:t>
      </w:r>
      <w:r>
        <w:rPr>
          <w:rFonts w:ascii="Arial" w:eastAsia="宋体" w:hAnsi="Arial" w:cs="Arial"/>
          <w:color w:val="000000"/>
          <w:sz w:val="20"/>
          <w:szCs w:val="20"/>
        </w:rPr>
        <w:t xml:space="preserve"> including the accelerated repurchase agreement we entered into during the fourth quarter of 2021. As of December 31, 2021, a total of approximately $2.0 billion remained available for future repurchases of our common stock under our stock repurchase progr</w:t>
      </w:r>
      <w:r>
        <w:rPr>
          <w:rFonts w:ascii="Arial" w:eastAsia="宋体" w:hAnsi="Arial" w:cs="Arial"/>
          <w:color w:val="000000"/>
          <w:sz w:val="20"/>
          <w:szCs w:val="20"/>
        </w:rPr>
        <w:t>ams. In February 2022 our Board authorized an additional $4.0 billion stock repurchase program, with no expiration from the date of authorization. See “Note 13 — Stockholders’ Equity” to the consolidated financial statements included in this report for mor</w:t>
      </w:r>
      <w:r>
        <w:rPr>
          <w:rFonts w:ascii="Arial" w:eastAsia="宋体" w:hAnsi="Arial" w:cs="Arial"/>
          <w:color w:val="000000"/>
          <w:sz w:val="20"/>
          <w:szCs w:val="20"/>
        </w:rPr>
        <w:t>e information about our stock repurchase programs.</w:t>
      </w:r>
    </w:p>
    <w:p w14:paraId="22CFADB7" w14:textId="77777777" w:rsidR="002661BA" w:rsidRDefault="002661BA">
      <w:pPr>
        <w:ind w:firstLine="540"/>
        <w:jc w:val="both"/>
      </w:pPr>
    </w:p>
    <w:p w14:paraId="22CFADB8" w14:textId="77777777" w:rsidR="002661BA" w:rsidRDefault="00D972BC">
      <w:pPr>
        <w:ind w:firstLine="270"/>
        <w:jc w:val="both"/>
      </w:pPr>
      <w:r>
        <w:rPr>
          <w:rFonts w:ascii="Arial" w:eastAsia="宋体" w:hAnsi="Arial" w:cs="Arial"/>
          <w:b/>
          <w:bCs/>
          <w:i/>
          <w:iCs/>
          <w:color w:val="000000"/>
          <w:sz w:val="20"/>
          <w:szCs w:val="20"/>
        </w:rPr>
        <w:t>Dividends</w:t>
      </w:r>
    </w:p>
    <w:p w14:paraId="22CFADB9" w14:textId="77777777" w:rsidR="002661BA" w:rsidRDefault="002661BA">
      <w:pPr>
        <w:jc w:val="both"/>
      </w:pPr>
    </w:p>
    <w:p w14:paraId="22CFADBA" w14:textId="77777777" w:rsidR="002661BA" w:rsidRDefault="00D972BC">
      <w:pPr>
        <w:ind w:firstLine="540"/>
        <w:jc w:val="both"/>
      </w:pPr>
      <w:r>
        <w:rPr>
          <w:rFonts w:ascii="Arial" w:eastAsia="宋体" w:hAnsi="Arial" w:cs="Arial"/>
          <w:color w:val="000000"/>
          <w:sz w:val="20"/>
          <w:szCs w:val="20"/>
        </w:rPr>
        <w:t xml:space="preserve">The company paid a total of $466 million and $447 million in cash dividends in 2021 and 2020, respectively. In February 2022, we declared a cash dividend of $0.22 per share of common stock to </w:t>
      </w:r>
      <w:r>
        <w:rPr>
          <w:rFonts w:ascii="Arial" w:eastAsia="宋体" w:hAnsi="Arial" w:cs="Arial"/>
          <w:color w:val="000000"/>
          <w:sz w:val="20"/>
          <w:szCs w:val="20"/>
        </w:rPr>
        <w:t>be paid on March 18, 2022 to stockholders of record as of March 10, 2022.</w:t>
      </w:r>
    </w:p>
    <w:p w14:paraId="22CFADBB" w14:textId="77777777" w:rsidR="002661BA" w:rsidRDefault="002661BA">
      <w:pPr>
        <w:ind w:firstLine="540"/>
        <w:jc w:val="both"/>
      </w:pPr>
    </w:p>
    <w:p w14:paraId="22CFADBC" w14:textId="77777777" w:rsidR="002661BA" w:rsidRDefault="00D972BC">
      <w:pPr>
        <w:jc w:val="center"/>
      </w:pPr>
      <w:r>
        <w:rPr>
          <w:rFonts w:ascii="Arial" w:eastAsia="宋体" w:hAnsi="Arial" w:cs="Arial"/>
          <w:color w:val="000000"/>
          <w:sz w:val="18"/>
          <w:szCs w:val="18"/>
        </w:rPr>
        <w:t>44</w:t>
      </w:r>
    </w:p>
    <w:p w14:paraId="22CFADBD" w14:textId="77777777" w:rsidR="002661BA" w:rsidRDefault="00D972BC">
      <w:r>
        <w:pict w14:anchorId="22CFE4DD">
          <v:rect id="_x0000_i1068" style="width:415.3pt;height:1.5pt" o:hralign="center" o:hrstd="t" o:hr="t" fillcolor="#a0a0a0" stroked="f"/>
        </w:pict>
      </w:r>
    </w:p>
    <w:p w14:paraId="22CFADBE" w14:textId="77777777" w:rsidR="002661BA" w:rsidRDefault="00D972BC">
      <w:hyperlink r:id="rId70" w:anchor="id0d7a71b05ce452ea9fdb54f3cb359c7_7" w:history="1">
        <w:r>
          <w:rPr>
            <w:rStyle w:val="a5"/>
            <w:rFonts w:ascii="Arial" w:eastAsia="宋体" w:hAnsi="Arial" w:cs="Arial"/>
            <w:sz w:val="18"/>
            <w:szCs w:val="18"/>
          </w:rPr>
          <w:t>Table of Contents</w:t>
        </w:r>
      </w:hyperlink>
    </w:p>
    <w:p w14:paraId="22CFADBF" w14:textId="77777777" w:rsidR="002661BA" w:rsidRDefault="00D972BC">
      <w:pPr>
        <w:ind w:firstLine="270"/>
        <w:jc w:val="both"/>
      </w:pPr>
      <w:r>
        <w:rPr>
          <w:rFonts w:ascii="Arial" w:eastAsia="宋体" w:hAnsi="Arial" w:cs="Arial"/>
          <w:b/>
          <w:bCs/>
          <w:i/>
          <w:iCs/>
          <w:color w:val="000000"/>
          <w:sz w:val="20"/>
          <w:szCs w:val="20"/>
        </w:rPr>
        <w:t>Other Capital Resource Requirements</w:t>
      </w:r>
    </w:p>
    <w:p w14:paraId="22CFADC0" w14:textId="77777777" w:rsidR="002661BA" w:rsidRDefault="002661BA">
      <w:pPr>
        <w:ind w:firstLine="540"/>
        <w:jc w:val="both"/>
      </w:pPr>
    </w:p>
    <w:p w14:paraId="22CFADC1" w14:textId="77777777" w:rsidR="002661BA" w:rsidRDefault="00D972BC">
      <w:pPr>
        <w:spacing w:after="60"/>
        <w:ind w:firstLine="540"/>
        <w:jc w:val="both"/>
      </w:pPr>
      <w:r>
        <w:rPr>
          <w:rFonts w:ascii="Arial" w:eastAsia="宋体" w:hAnsi="Arial" w:cs="Arial"/>
          <w:color w:val="000000"/>
          <w:sz w:val="20"/>
          <w:szCs w:val="20"/>
        </w:rPr>
        <w:t>We actively monitor all counterparties that hold</w:t>
      </w:r>
      <w:r>
        <w:rPr>
          <w:rFonts w:ascii="Arial" w:eastAsia="宋体" w:hAnsi="Arial" w:cs="Arial"/>
          <w:color w:val="000000"/>
          <w:sz w:val="20"/>
          <w:szCs w:val="20"/>
        </w:rPr>
        <w:t xml:space="preserve"> our cash and cash equivalents and non-equity investments, focusing primarily on the safety of principal and secondarily on improving yield on these assets. We diversify our cash and cash equivalents and investments among various counterparties in order to</w:t>
      </w:r>
      <w:r>
        <w:rPr>
          <w:rFonts w:ascii="Arial" w:eastAsia="宋体" w:hAnsi="Arial" w:cs="Arial"/>
          <w:color w:val="000000"/>
          <w:sz w:val="20"/>
          <w:szCs w:val="20"/>
        </w:rPr>
        <w:t xml:space="preserve"> reduce our exposure should any one of these counterparties fail or encounter difficulties. To date, we have not experienced any material loss or lack of access to our invested cash, cash equivalents or short-term investments; however, we can provide no as</w:t>
      </w:r>
      <w:r>
        <w:rPr>
          <w:rFonts w:ascii="Arial" w:eastAsia="宋体" w:hAnsi="Arial" w:cs="Arial"/>
          <w:color w:val="000000"/>
          <w:sz w:val="20"/>
          <w:szCs w:val="20"/>
        </w:rPr>
        <w:t>surances that access to our invested cash, cash equivalents or short-term investments will not be impacted by adverse conditions in the financial markets, including, without limitation, as a result of the impact of the COVID-19 pandemic. At any point in ti</w:t>
      </w:r>
      <w:r>
        <w:rPr>
          <w:rFonts w:ascii="Arial" w:eastAsia="宋体" w:hAnsi="Arial" w:cs="Arial"/>
          <w:color w:val="000000"/>
          <w:sz w:val="20"/>
          <w:szCs w:val="20"/>
        </w:rPr>
        <w:t>me we have funds in our operating accounts and customer accounts that are deposited and invested with third party financial institutions.</w:t>
      </w:r>
    </w:p>
    <w:p w14:paraId="22CFADC2" w14:textId="77777777" w:rsidR="002661BA" w:rsidRDefault="002661BA">
      <w:pPr>
        <w:ind w:firstLine="495"/>
        <w:jc w:val="both"/>
      </w:pPr>
    </w:p>
    <w:p w14:paraId="22CFADC3" w14:textId="77777777" w:rsidR="002661BA" w:rsidRDefault="00D972BC">
      <w:pPr>
        <w:ind w:firstLine="540"/>
        <w:jc w:val="both"/>
      </w:pPr>
      <w:r>
        <w:rPr>
          <w:rFonts w:ascii="Arial" w:eastAsia="宋体" w:hAnsi="Arial" w:cs="Arial"/>
          <w:color w:val="000000"/>
          <w:sz w:val="20"/>
          <w:szCs w:val="20"/>
        </w:rPr>
        <w:t>We have a cash pooling arrangement with a financial institution for cash management purposes. As of December 31, 2021</w:t>
      </w:r>
      <w:r>
        <w:rPr>
          <w:rFonts w:ascii="Arial" w:eastAsia="宋体" w:hAnsi="Arial" w:cs="Arial"/>
          <w:color w:val="000000"/>
          <w:sz w:val="20"/>
          <w:szCs w:val="20"/>
        </w:rPr>
        <w:t>, we had a total of $3.7 billion in aggregate cash deposits, partially offset by $3.5 billion in cash withdrawals, held within the financial institution under the cash pooling arrangement. See “Note 12 — Commitments and Contingencies” to the consolidated f</w:t>
      </w:r>
      <w:r>
        <w:rPr>
          <w:rFonts w:ascii="Arial" w:eastAsia="宋体" w:hAnsi="Arial" w:cs="Arial"/>
          <w:color w:val="000000"/>
          <w:sz w:val="20"/>
          <w:szCs w:val="20"/>
        </w:rPr>
        <w:t>inancial statements included in this report for more information about our cash pooling arrangement.</w:t>
      </w:r>
    </w:p>
    <w:p w14:paraId="22CFADC4" w14:textId="77777777" w:rsidR="002661BA" w:rsidRDefault="002661BA">
      <w:pPr>
        <w:ind w:firstLine="450"/>
        <w:jc w:val="both"/>
      </w:pPr>
    </w:p>
    <w:p w14:paraId="22CFADC5" w14:textId="77777777" w:rsidR="002661BA" w:rsidRDefault="00D972BC">
      <w:pPr>
        <w:ind w:firstLine="540"/>
        <w:jc w:val="both"/>
      </w:pPr>
      <w:r>
        <w:rPr>
          <w:rFonts w:ascii="Arial" w:eastAsia="宋体" w:hAnsi="Arial" w:cs="Arial"/>
          <w:color w:val="000000"/>
          <w:sz w:val="20"/>
          <w:szCs w:val="20"/>
        </w:rPr>
        <w:t>We have entered into various indemnification agreements and, in the ordinary course of business, we have included limited indemnification provisions in ce</w:t>
      </w:r>
      <w:r>
        <w:rPr>
          <w:rFonts w:ascii="Arial" w:eastAsia="宋体" w:hAnsi="Arial" w:cs="Arial"/>
          <w:color w:val="000000"/>
          <w:sz w:val="20"/>
          <w:szCs w:val="20"/>
        </w:rPr>
        <w:t>rtain of our agreements with parties with which we have commercial relations. It is not possible to determine the maximum potential loss under these various indemnification provisions due to our limited history of prior indemnification claims and the uniqu</w:t>
      </w:r>
      <w:r>
        <w:rPr>
          <w:rFonts w:ascii="Arial" w:eastAsia="宋体" w:hAnsi="Arial" w:cs="Arial"/>
          <w:color w:val="000000"/>
          <w:sz w:val="20"/>
          <w:szCs w:val="20"/>
        </w:rPr>
        <w:t>e facts and circumstances involved in each particular provision. To date, losses recorded in our consolidated statement of income in connection with our indemnification provisions have not been significant, either individually or collectively. See “Note 12</w:t>
      </w:r>
      <w:r>
        <w:rPr>
          <w:rFonts w:ascii="Arial" w:eastAsia="宋体" w:hAnsi="Arial" w:cs="Arial"/>
          <w:color w:val="000000"/>
          <w:sz w:val="20"/>
          <w:szCs w:val="20"/>
        </w:rPr>
        <w:t xml:space="preserve"> — Commitments and Contingencies” to the consolidated financial statements included in this report for more information about our indemnification provisions.</w:t>
      </w:r>
    </w:p>
    <w:p w14:paraId="22CFADC6" w14:textId="77777777" w:rsidR="002661BA" w:rsidRDefault="00D972BC">
      <w:pPr>
        <w:jc w:val="center"/>
      </w:pPr>
      <w:r>
        <w:rPr>
          <w:rFonts w:ascii="Arial" w:eastAsia="宋体" w:hAnsi="Arial" w:cs="Arial"/>
          <w:color w:val="000000"/>
          <w:sz w:val="18"/>
          <w:szCs w:val="18"/>
        </w:rPr>
        <w:t>45</w:t>
      </w:r>
    </w:p>
    <w:p w14:paraId="22CFADC7" w14:textId="77777777" w:rsidR="002661BA" w:rsidRDefault="00D972BC">
      <w:r>
        <w:pict w14:anchorId="22CFE4DE">
          <v:rect id="_x0000_i1069" style="width:415.3pt;height:1.5pt" o:hralign="center" o:hrstd="t" o:hr="t" fillcolor="#a0a0a0" stroked="f"/>
        </w:pict>
      </w:r>
    </w:p>
    <w:p w14:paraId="22CFADC8" w14:textId="77777777" w:rsidR="002661BA" w:rsidRDefault="00D972BC">
      <w:hyperlink r:id="rId71" w:anchor="id0d7a71b05ce452ea9fdb54f3cb359c7_7" w:history="1">
        <w:r>
          <w:rPr>
            <w:rStyle w:val="a5"/>
            <w:rFonts w:ascii="Arial" w:eastAsia="宋体" w:hAnsi="Arial" w:cs="Arial"/>
            <w:sz w:val="18"/>
            <w:szCs w:val="18"/>
          </w:rPr>
          <w:t>Table of Contents</w:t>
        </w:r>
      </w:hyperlink>
    </w:p>
    <w:p w14:paraId="22CFADC9" w14:textId="77777777" w:rsidR="002661BA" w:rsidRDefault="00D972BC">
      <w:pPr>
        <w:jc w:val="both"/>
      </w:pPr>
      <w:r>
        <w:rPr>
          <w:rFonts w:ascii="Arial" w:eastAsia="宋体" w:hAnsi="Arial" w:cs="Arial"/>
          <w:b/>
          <w:bCs/>
          <w:i/>
          <w:iCs/>
          <w:color w:val="000000"/>
          <w:sz w:val="20"/>
          <w:szCs w:val="20"/>
        </w:rPr>
        <w:t>Critical Accounting Policies, Judgments and Estimates</w:t>
      </w:r>
    </w:p>
    <w:p w14:paraId="22CFADCA" w14:textId="77777777" w:rsidR="002661BA" w:rsidRDefault="002661BA">
      <w:pPr>
        <w:jc w:val="both"/>
      </w:pPr>
    </w:p>
    <w:p w14:paraId="22CFADCB" w14:textId="77777777" w:rsidR="002661BA" w:rsidRDefault="00D972BC">
      <w:pPr>
        <w:jc w:val="both"/>
      </w:pPr>
      <w:r>
        <w:rPr>
          <w:rFonts w:ascii="Arial" w:eastAsia="宋体" w:hAnsi="Arial" w:cs="Arial"/>
          <w:i/>
          <w:iCs/>
          <w:color w:val="000000"/>
          <w:sz w:val="20"/>
          <w:szCs w:val="20"/>
        </w:rPr>
        <w:t xml:space="preserve">General </w:t>
      </w:r>
    </w:p>
    <w:p w14:paraId="22CFADCC" w14:textId="77777777" w:rsidR="002661BA" w:rsidRDefault="002661BA">
      <w:pPr>
        <w:ind w:firstLine="540"/>
        <w:jc w:val="both"/>
      </w:pPr>
    </w:p>
    <w:p w14:paraId="22CFADCD" w14:textId="77777777" w:rsidR="002661BA" w:rsidRDefault="00D972BC">
      <w:pPr>
        <w:ind w:firstLine="540"/>
        <w:jc w:val="both"/>
      </w:pPr>
      <w:r>
        <w:rPr>
          <w:rFonts w:ascii="Arial" w:eastAsia="宋体" w:hAnsi="Arial" w:cs="Arial"/>
          <w:color w:val="000000"/>
          <w:sz w:val="20"/>
          <w:szCs w:val="20"/>
        </w:rPr>
        <w:t>The preparation of our consolidated financial statements and related notes requires us to make judgments, estimat</w:t>
      </w:r>
      <w:r>
        <w:rPr>
          <w:rFonts w:ascii="Arial" w:eastAsia="宋体" w:hAnsi="Arial" w:cs="Arial"/>
          <w:color w:val="000000"/>
          <w:sz w:val="20"/>
          <w:szCs w:val="20"/>
        </w:rPr>
        <w:t>es and assumptions that affect the reported amounts of assets, liabilities, revenue and expenses, and related disclosure of contingent assets and liabilities. We have based our estimates on historical experience and on various other assumptions that are be</w:t>
      </w:r>
      <w:r>
        <w:rPr>
          <w:rFonts w:ascii="Arial" w:eastAsia="宋体" w:hAnsi="Arial" w:cs="Arial"/>
          <w:color w:val="000000"/>
          <w:sz w:val="20"/>
          <w:szCs w:val="20"/>
        </w:rPr>
        <w:t>lieved to be reasonable under the circumstances, the results of which form the basis for making judgments about the carrying values of assets and liabilities that are not readily apparent from other sources. Our senior management has discussed the developm</w:t>
      </w:r>
      <w:r>
        <w:rPr>
          <w:rFonts w:ascii="Arial" w:eastAsia="宋体" w:hAnsi="Arial" w:cs="Arial"/>
          <w:color w:val="000000"/>
          <w:sz w:val="20"/>
          <w:szCs w:val="20"/>
        </w:rPr>
        <w:t xml:space="preserve">ent, selection and disclosure of these estimates with the Audit Committee of our Board of Directors. Actual results may differ from these estimates under different assumptions or conditions. </w:t>
      </w:r>
    </w:p>
    <w:p w14:paraId="22CFADCE" w14:textId="77777777" w:rsidR="002661BA" w:rsidRDefault="002661BA">
      <w:pPr>
        <w:ind w:firstLine="540"/>
        <w:jc w:val="both"/>
      </w:pPr>
    </w:p>
    <w:p w14:paraId="22CFADCF" w14:textId="77777777" w:rsidR="002661BA" w:rsidRDefault="00D972BC">
      <w:pPr>
        <w:ind w:firstLine="540"/>
        <w:jc w:val="both"/>
      </w:pPr>
      <w:r>
        <w:rPr>
          <w:rFonts w:ascii="Arial" w:eastAsia="宋体" w:hAnsi="Arial" w:cs="Arial"/>
          <w:color w:val="000000"/>
          <w:sz w:val="20"/>
          <w:szCs w:val="20"/>
        </w:rPr>
        <w:t>An accounting policy is considered to be critical if it requires an accounting estimate to be made based on assumptions about matters that are highly uncertain at the time the estimate is made, and if different estimates that reasonably could have been use</w:t>
      </w:r>
      <w:r>
        <w:rPr>
          <w:rFonts w:ascii="Arial" w:eastAsia="宋体" w:hAnsi="Arial" w:cs="Arial"/>
          <w:color w:val="000000"/>
          <w:sz w:val="20"/>
          <w:szCs w:val="20"/>
        </w:rPr>
        <w:t>d, or changes in the accounting estimates that are reasonably likely to occur periodically, could materially impact the consolidated financial statements. We believe the following critical accounting policies reflect the more significant estimates and assu</w:t>
      </w:r>
      <w:r>
        <w:rPr>
          <w:rFonts w:ascii="Arial" w:eastAsia="宋体" w:hAnsi="Arial" w:cs="Arial"/>
          <w:color w:val="000000"/>
          <w:sz w:val="20"/>
          <w:szCs w:val="20"/>
        </w:rPr>
        <w:t>mptions used in the preparation of our consolidated financial statements. The following descriptions of critical accounting policies, judgments and estimates should be read in conjunction with our consolidated financial statements and related notes and oth</w:t>
      </w:r>
      <w:r>
        <w:rPr>
          <w:rFonts w:ascii="Arial" w:eastAsia="宋体" w:hAnsi="Arial" w:cs="Arial"/>
          <w:color w:val="000000"/>
          <w:sz w:val="20"/>
          <w:szCs w:val="20"/>
        </w:rPr>
        <w:t xml:space="preserve">er disclosures included in this report. </w:t>
      </w:r>
    </w:p>
    <w:p w14:paraId="22CFADD0" w14:textId="77777777" w:rsidR="002661BA" w:rsidRDefault="002661BA">
      <w:pPr>
        <w:jc w:val="both"/>
      </w:pPr>
    </w:p>
    <w:p w14:paraId="22CFADD1" w14:textId="77777777" w:rsidR="002661BA" w:rsidRDefault="00D972BC">
      <w:pPr>
        <w:jc w:val="both"/>
      </w:pPr>
      <w:r>
        <w:rPr>
          <w:rFonts w:ascii="Arial" w:eastAsia="宋体" w:hAnsi="Arial" w:cs="Arial"/>
          <w:i/>
          <w:iCs/>
          <w:color w:val="000000"/>
          <w:sz w:val="20"/>
          <w:szCs w:val="20"/>
        </w:rPr>
        <w:t>Revenue Recognition</w:t>
      </w:r>
    </w:p>
    <w:p w14:paraId="22CFADD2" w14:textId="77777777" w:rsidR="002661BA" w:rsidRDefault="002661BA">
      <w:pPr>
        <w:jc w:val="both"/>
      </w:pPr>
    </w:p>
    <w:p w14:paraId="22CFADD3" w14:textId="77777777" w:rsidR="002661BA" w:rsidRDefault="00D972BC">
      <w:pPr>
        <w:ind w:firstLine="540"/>
        <w:jc w:val="both"/>
      </w:pPr>
      <w:r>
        <w:rPr>
          <w:rFonts w:ascii="Arial" w:eastAsia="宋体" w:hAnsi="Arial" w:cs="Arial"/>
          <w:color w:val="000000"/>
          <w:sz w:val="20"/>
          <w:szCs w:val="20"/>
        </w:rPr>
        <w:t xml:space="preserve">We may enter into certain revenue contracts that include promises to transfer multiple goods or services including discounts on future services. We also may enter into arrangements to </w:t>
      </w:r>
      <w:r>
        <w:rPr>
          <w:rFonts w:ascii="Arial" w:eastAsia="宋体" w:hAnsi="Arial" w:cs="Arial"/>
          <w:color w:val="000000"/>
          <w:sz w:val="20"/>
          <w:szCs w:val="20"/>
        </w:rPr>
        <w:t>purchase services from certain customers. As a result, significant interpretation and judgment is sometimes required to determine the appropriate accounting for these transactions including: (1) whether services are considered distinct performance obligati</w:t>
      </w:r>
      <w:r>
        <w:rPr>
          <w:rFonts w:ascii="Arial" w:eastAsia="宋体" w:hAnsi="Arial" w:cs="Arial"/>
          <w:color w:val="000000"/>
          <w:sz w:val="20"/>
          <w:szCs w:val="20"/>
        </w:rPr>
        <w:t>ons that should be accounted for separately or combined; (2) developing an estimate of the stand-alone selling price of each distinct performance obligation; (3) whether revenue should be reported gross (as eBay is acting as a principal), or net (as eBay i</w:t>
      </w:r>
      <w:r>
        <w:rPr>
          <w:rFonts w:ascii="Arial" w:eastAsia="宋体" w:hAnsi="Arial" w:cs="Arial"/>
          <w:color w:val="000000"/>
          <w:sz w:val="20"/>
          <w:szCs w:val="20"/>
        </w:rPr>
        <w:t xml:space="preserve">s acting as an agent); (4) evaluating whether a promotion or incentive is a payment to a customer; and (5) whether the arrangement would be characterized as revenue or reimbursement of costs incurred. Changes in judgments with respect to these assumptions </w:t>
      </w:r>
      <w:r>
        <w:rPr>
          <w:rFonts w:ascii="Arial" w:eastAsia="宋体" w:hAnsi="Arial" w:cs="Arial"/>
          <w:color w:val="000000"/>
          <w:sz w:val="20"/>
          <w:szCs w:val="20"/>
        </w:rPr>
        <w:t>and estimates could impact the timing or amount of revenue recognition.</w:t>
      </w:r>
    </w:p>
    <w:p w14:paraId="22CFADD4" w14:textId="77777777" w:rsidR="002661BA" w:rsidRDefault="002661BA">
      <w:pPr>
        <w:jc w:val="both"/>
      </w:pPr>
    </w:p>
    <w:p w14:paraId="22CFADD5" w14:textId="77777777" w:rsidR="002661BA" w:rsidRDefault="00D972BC">
      <w:pPr>
        <w:jc w:val="both"/>
      </w:pPr>
      <w:r>
        <w:rPr>
          <w:rFonts w:ascii="Arial" w:eastAsia="宋体" w:hAnsi="Arial" w:cs="Arial"/>
          <w:i/>
          <w:iCs/>
          <w:color w:val="000000"/>
          <w:sz w:val="20"/>
          <w:szCs w:val="20"/>
        </w:rPr>
        <w:t>Income Taxes</w:t>
      </w:r>
    </w:p>
    <w:p w14:paraId="22CFADD6" w14:textId="77777777" w:rsidR="002661BA" w:rsidRDefault="002661BA">
      <w:pPr>
        <w:ind w:firstLine="540"/>
        <w:jc w:val="both"/>
      </w:pPr>
    </w:p>
    <w:p w14:paraId="22CFADD7" w14:textId="77777777" w:rsidR="002661BA" w:rsidRDefault="00D972BC">
      <w:pPr>
        <w:ind w:firstLine="540"/>
        <w:jc w:val="both"/>
      </w:pPr>
      <w:r>
        <w:rPr>
          <w:rFonts w:ascii="Arial" w:eastAsia="宋体" w:hAnsi="Arial" w:cs="Arial"/>
          <w:color w:val="000000"/>
          <w:sz w:val="20"/>
          <w:szCs w:val="20"/>
        </w:rPr>
        <w:t>Our annual tax rate is based on our income, statutory tax rates and tax planning opportunities available to us in the various jurisdictions in which we operate. Tax laws</w:t>
      </w:r>
      <w:r>
        <w:rPr>
          <w:rFonts w:ascii="Arial" w:eastAsia="宋体" w:hAnsi="Arial" w:cs="Arial"/>
          <w:color w:val="000000"/>
          <w:sz w:val="20"/>
          <w:szCs w:val="20"/>
        </w:rPr>
        <w:t xml:space="preserve"> are complex and subject to different interpretations by the taxpayer and respective government taxing authorities. Significant judgment is required in determining our tax expense and in evaluating our tax positions, including evaluating uncertainties and </w:t>
      </w:r>
      <w:r>
        <w:rPr>
          <w:rFonts w:ascii="Arial" w:eastAsia="宋体" w:hAnsi="Arial" w:cs="Arial"/>
          <w:color w:val="000000"/>
          <w:sz w:val="20"/>
          <w:szCs w:val="20"/>
        </w:rPr>
        <w:t>the complexity of taxes on foreign earnings. We review our tax positions quarterly and adjust the balances as new information becomes available. Tax positions are evaluated for potential reserves for uncertainty based on the estimated probability of sustai</w:t>
      </w:r>
      <w:r>
        <w:rPr>
          <w:rFonts w:ascii="Arial" w:eastAsia="宋体" w:hAnsi="Arial" w:cs="Arial"/>
          <w:color w:val="000000"/>
          <w:sz w:val="20"/>
          <w:szCs w:val="20"/>
        </w:rPr>
        <w:t>ning the position under examination. Our income tax rate is affected by the tax rates that apply to our foreign earnings including U.S. minimum taxes on foreign earnings. The deferred tax benefit derived from the amortization of our intellectual property i</w:t>
      </w:r>
      <w:r>
        <w:rPr>
          <w:rFonts w:ascii="Arial" w:eastAsia="宋体" w:hAnsi="Arial" w:cs="Arial"/>
          <w:color w:val="000000"/>
          <w:sz w:val="20"/>
          <w:szCs w:val="20"/>
        </w:rPr>
        <w:t xml:space="preserve">s based on the fair value, which has been agreed with foreign tax authorities. The deferred tax benefit may from time to time change based on changes in tax rates. Management has no specific plans to indefinitely reinvest the undistributed earnings of our </w:t>
      </w:r>
      <w:r>
        <w:rPr>
          <w:rFonts w:ascii="Arial" w:eastAsia="宋体" w:hAnsi="Arial" w:cs="Arial"/>
          <w:color w:val="000000"/>
          <w:sz w:val="20"/>
          <w:szCs w:val="20"/>
        </w:rPr>
        <w:t xml:space="preserve">foreign subsidiaries at the balance sheet date. </w:t>
      </w:r>
    </w:p>
    <w:p w14:paraId="22CFADD8" w14:textId="77777777" w:rsidR="002661BA" w:rsidRDefault="002661BA">
      <w:pPr>
        <w:ind w:firstLine="540"/>
        <w:jc w:val="both"/>
      </w:pPr>
    </w:p>
    <w:p w14:paraId="22CFADD9" w14:textId="77777777" w:rsidR="002661BA" w:rsidRDefault="00D972BC">
      <w:pPr>
        <w:ind w:firstLine="540"/>
        <w:jc w:val="both"/>
      </w:pPr>
      <w:r>
        <w:rPr>
          <w:rFonts w:ascii="Arial" w:eastAsia="宋体" w:hAnsi="Arial" w:cs="Arial"/>
          <w:color w:val="000000"/>
          <w:sz w:val="20"/>
          <w:szCs w:val="20"/>
        </w:rPr>
        <w:t>Deferred tax assets represent amounts available to reduce income taxes payable on taxable income in future years. Such assets arise because of temporary differences between the financial reporting and tax b</w:t>
      </w:r>
      <w:r>
        <w:rPr>
          <w:rFonts w:ascii="Arial" w:eastAsia="宋体" w:hAnsi="Arial" w:cs="Arial"/>
          <w:color w:val="000000"/>
          <w:sz w:val="20"/>
          <w:szCs w:val="20"/>
        </w:rPr>
        <w:t>ases of assets and liabilities, as well as from net operating loss and tax credit carryforwards. We evaluate the recoverability of these future tax deductions and credits by assessing the adequacy of future expected taxable income from all sources, includi</w:t>
      </w:r>
      <w:r>
        <w:rPr>
          <w:rFonts w:ascii="Arial" w:eastAsia="宋体" w:hAnsi="Arial" w:cs="Arial"/>
          <w:color w:val="000000"/>
          <w:sz w:val="20"/>
          <w:szCs w:val="20"/>
        </w:rPr>
        <w:t xml:space="preserve">ng reversal of taxable temporary differences, forecasted operating earnings and available tax planning strategies. These sources of income rely heavily on estimates that are based on a number of factors, including our historical experience and short-range </w:t>
      </w:r>
      <w:r>
        <w:rPr>
          <w:rFonts w:ascii="Arial" w:eastAsia="宋体" w:hAnsi="Arial" w:cs="Arial"/>
          <w:color w:val="000000"/>
          <w:sz w:val="20"/>
          <w:szCs w:val="20"/>
        </w:rPr>
        <w:t xml:space="preserve">and long-range business forecasts. As of December 31, 2021, we had a valuation allowance on certain net operating loss and tax credit carryforwards based on our assessment that it is more likely than not that the deferred tax asset will not be realized. </w:t>
      </w:r>
    </w:p>
    <w:p w14:paraId="22CFADDA" w14:textId="77777777" w:rsidR="002661BA" w:rsidRDefault="002661BA">
      <w:pPr>
        <w:ind w:firstLine="540"/>
        <w:jc w:val="both"/>
      </w:pPr>
    </w:p>
    <w:p w14:paraId="22CFADDB" w14:textId="77777777" w:rsidR="002661BA" w:rsidRDefault="00D972BC">
      <w:pPr>
        <w:jc w:val="center"/>
      </w:pPr>
      <w:r>
        <w:rPr>
          <w:rFonts w:ascii="Arial" w:eastAsia="宋体" w:hAnsi="Arial" w:cs="Arial"/>
          <w:color w:val="000000"/>
          <w:sz w:val="18"/>
          <w:szCs w:val="18"/>
        </w:rPr>
        <w:t>46</w:t>
      </w:r>
    </w:p>
    <w:p w14:paraId="22CFADDC" w14:textId="77777777" w:rsidR="002661BA" w:rsidRDefault="00D972BC">
      <w:r>
        <w:pict w14:anchorId="22CFE4DF">
          <v:rect id="_x0000_i1070" style="width:415.3pt;height:1.5pt" o:hralign="center" o:hrstd="t" o:hr="t" fillcolor="#a0a0a0" stroked="f"/>
        </w:pict>
      </w:r>
    </w:p>
    <w:p w14:paraId="22CFADDD" w14:textId="77777777" w:rsidR="002661BA" w:rsidRDefault="00D972BC">
      <w:hyperlink r:id="rId72" w:anchor="id0d7a71b05ce452ea9fdb54f3cb359c7_7" w:history="1">
        <w:r>
          <w:rPr>
            <w:rStyle w:val="a5"/>
            <w:rFonts w:ascii="Arial" w:eastAsia="宋体" w:hAnsi="Arial" w:cs="Arial"/>
            <w:sz w:val="18"/>
            <w:szCs w:val="18"/>
          </w:rPr>
          <w:t>Table of Contents</w:t>
        </w:r>
      </w:hyperlink>
    </w:p>
    <w:p w14:paraId="22CFADDE" w14:textId="77777777" w:rsidR="002661BA" w:rsidRDefault="00D972BC">
      <w:pPr>
        <w:ind w:firstLine="540"/>
        <w:jc w:val="both"/>
      </w:pPr>
      <w:r>
        <w:rPr>
          <w:rFonts w:ascii="Arial" w:eastAsia="宋体" w:hAnsi="Arial" w:cs="Arial"/>
          <w:color w:val="000000"/>
          <w:sz w:val="20"/>
          <w:szCs w:val="20"/>
        </w:rPr>
        <w:t>We recognize and measure uncertain tax positions in accordance with generally ac</w:t>
      </w:r>
      <w:r>
        <w:rPr>
          <w:rFonts w:ascii="Arial" w:eastAsia="宋体" w:hAnsi="Arial" w:cs="Arial"/>
          <w:color w:val="000000"/>
          <w:sz w:val="20"/>
          <w:szCs w:val="20"/>
        </w:rPr>
        <w:t>cepted accounting principles in the U.S., or GAAP, pursuant to which we only recognize the tax benefit from an uncertain tax position if it is more likely than not that the tax position will be sustained on examination by the taxing authorities, based on t</w:t>
      </w:r>
      <w:r>
        <w:rPr>
          <w:rFonts w:ascii="Arial" w:eastAsia="宋体" w:hAnsi="Arial" w:cs="Arial"/>
          <w:color w:val="000000"/>
          <w:sz w:val="20"/>
          <w:szCs w:val="20"/>
        </w:rPr>
        <w:t>he technical merits of the position. The tax benefits recognized in the financial statements from such positions are then measured based on the largest benefit that has a greater than 50 percent likelihood of being realized upon ultimate settlement. We rep</w:t>
      </w:r>
      <w:r>
        <w:rPr>
          <w:rFonts w:ascii="Arial" w:eastAsia="宋体" w:hAnsi="Arial" w:cs="Arial"/>
          <w:color w:val="000000"/>
          <w:sz w:val="20"/>
          <w:szCs w:val="20"/>
        </w:rPr>
        <w:t>ort a liability for unrecognized tax benefits resulting from uncertain tax positions taken or expected to be taken in a tax return. GAAP further requires that a change in judgment related to the expected ultimate resolution of uncertain tax positions be re</w:t>
      </w:r>
      <w:r>
        <w:rPr>
          <w:rFonts w:ascii="Arial" w:eastAsia="宋体" w:hAnsi="Arial" w:cs="Arial"/>
          <w:color w:val="000000"/>
          <w:sz w:val="20"/>
          <w:szCs w:val="20"/>
        </w:rPr>
        <w:t xml:space="preserve">cognized in earnings in the quarter in which such change occurs. We recognize interest and penalties, if any, related to unrecognized tax benefits in income tax expense. </w:t>
      </w:r>
    </w:p>
    <w:p w14:paraId="22CFADDF" w14:textId="77777777" w:rsidR="002661BA" w:rsidRDefault="002661BA">
      <w:pPr>
        <w:ind w:firstLine="540"/>
        <w:jc w:val="both"/>
      </w:pPr>
    </w:p>
    <w:p w14:paraId="22CFADE0" w14:textId="77777777" w:rsidR="002661BA" w:rsidRDefault="00D972BC">
      <w:pPr>
        <w:ind w:firstLine="540"/>
        <w:jc w:val="both"/>
      </w:pPr>
      <w:r>
        <w:rPr>
          <w:rFonts w:ascii="Arial" w:eastAsia="宋体" w:hAnsi="Arial" w:cs="Arial"/>
          <w:color w:val="000000"/>
          <w:sz w:val="20"/>
          <w:szCs w:val="20"/>
        </w:rPr>
        <w:t>We file annual income tax returns in multiple taxing jurisdictions around the world.</w:t>
      </w:r>
      <w:r>
        <w:rPr>
          <w:rFonts w:ascii="Arial" w:eastAsia="宋体" w:hAnsi="Arial" w:cs="Arial"/>
          <w:color w:val="000000"/>
          <w:sz w:val="20"/>
          <w:szCs w:val="20"/>
        </w:rPr>
        <w:t xml:space="preserve"> A number of years may elapse before an uncertain tax position is audited by the relevant tax authorities and finally resolved. While it is often difficult to predict the final outcome or the timing of resolution of any particular uncertain tax position, w</w:t>
      </w:r>
      <w:r>
        <w:rPr>
          <w:rFonts w:ascii="Arial" w:eastAsia="宋体" w:hAnsi="Arial" w:cs="Arial"/>
          <w:color w:val="000000"/>
          <w:sz w:val="20"/>
          <w:szCs w:val="20"/>
        </w:rPr>
        <w:t>e believe that our reserves for income taxes reflect the most likely outcome. We adjust these reserves, as well as the related interest, where appropriate in light of changing facts and circumstances. Settlement of any particular position could require the</w:t>
      </w:r>
      <w:r>
        <w:rPr>
          <w:rFonts w:ascii="Arial" w:eastAsia="宋体" w:hAnsi="Arial" w:cs="Arial"/>
          <w:color w:val="000000"/>
          <w:sz w:val="20"/>
          <w:szCs w:val="20"/>
        </w:rPr>
        <w:t xml:space="preserve"> use of cash. </w:t>
      </w:r>
    </w:p>
    <w:p w14:paraId="22CFADE1" w14:textId="77777777" w:rsidR="002661BA" w:rsidRDefault="002661BA">
      <w:pPr>
        <w:ind w:firstLine="540"/>
        <w:jc w:val="both"/>
      </w:pPr>
    </w:p>
    <w:p w14:paraId="22CFADE2" w14:textId="77777777" w:rsidR="002661BA" w:rsidRDefault="00D972BC">
      <w:pPr>
        <w:spacing w:after="120"/>
        <w:ind w:firstLine="540"/>
        <w:jc w:val="both"/>
      </w:pPr>
      <w:r>
        <w:rPr>
          <w:rFonts w:ascii="Arial" w:eastAsia="宋体" w:hAnsi="Arial" w:cs="Arial"/>
          <w:color w:val="000000"/>
          <w:sz w:val="20"/>
          <w:szCs w:val="20"/>
        </w:rPr>
        <w:t>The following table presents our effective tax rates for the periods indicated (in millions, except percentages):</w:t>
      </w:r>
    </w:p>
    <w:tbl>
      <w:tblPr>
        <w:tblW w:w="4971" w:type="pct"/>
        <w:tblCellMar>
          <w:top w:w="15" w:type="dxa"/>
          <w:left w:w="15" w:type="dxa"/>
          <w:bottom w:w="15" w:type="dxa"/>
          <w:right w:w="15" w:type="dxa"/>
        </w:tblCellMar>
        <w:tblLook w:val="04A0" w:firstRow="1" w:lastRow="0" w:firstColumn="1" w:lastColumn="0" w:noHBand="0" w:noVBand="1"/>
      </w:tblPr>
      <w:tblGrid>
        <w:gridCol w:w="37"/>
        <w:gridCol w:w="4655"/>
        <w:gridCol w:w="36"/>
        <w:gridCol w:w="121"/>
        <w:gridCol w:w="812"/>
        <w:gridCol w:w="181"/>
        <w:gridCol w:w="36"/>
        <w:gridCol w:w="36"/>
        <w:gridCol w:w="36"/>
        <w:gridCol w:w="121"/>
        <w:gridCol w:w="813"/>
        <w:gridCol w:w="181"/>
        <w:gridCol w:w="36"/>
        <w:gridCol w:w="36"/>
        <w:gridCol w:w="36"/>
        <w:gridCol w:w="121"/>
        <w:gridCol w:w="813"/>
        <w:gridCol w:w="181"/>
      </w:tblGrid>
      <w:tr w:rsidR="002661BA" w14:paraId="22CFADF5" w14:textId="77777777">
        <w:tc>
          <w:tcPr>
            <w:tcW w:w="50" w:type="pct"/>
            <w:shd w:val="clear" w:color="auto" w:fill="auto"/>
            <w:vAlign w:val="bottom"/>
          </w:tcPr>
          <w:p w14:paraId="22CFADE3" w14:textId="77777777" w:rsidR="002661BA" w:rsidRDefault="002661BA">
            <w:pPr>
              <w:rPr>
                <w:rFonts w:ascii="宋体"/>
              </w:rPr>
            </w:pPr>
          </w:p>
        </w:tc>
        <w:tc>
          <w:tcPr>
            <w:tcW w:w="2967" w:type="pct"/>
            <w:shd w:val="clear" w:color="auto" w:fill="auto"/>
            <w:vAlign w:val="bottom"/>
          </w:tcPr>
          <w:p w14:paraId="22CFADE4" w14:textId="77777777" w:rsidR="002661BA" w:rsidRDefault="002661BA">
            <w:pPr>
              <w:rPr>
                <w:rFonts w:ascii="宋体"/>
              </w:rPr>
            </w:pPr>
          </w:p>
        </w:tc>
        <w:tc>
          <w:tcPr>
            <w:tcW w:w="5" w:type="pct"/>
            <w:shd w:val="clear" w:color="auto" w:fill="auto"/>
            <w:vAlign w:val="bottom"/>
          </w:tcPr>
          <w:p w14:paraId="22CFADE5" w14:textId="77777777" w:rsidR="002661BA" w:rsidRDefault="002661BA">
            <w:pPr>
              <w:rPr>
                <w:rFonts w:ascii="宋体"/>
              </w:rPr>
            </w:pPr>
          </w:p>
        </w:tc>
        <w:tc>
          <w:tcPr>
            <w:tcW w:w="50" w:type="pct"/>
            <w:shd w:val="clear" w:color="auto" w:fill="auto"/>
            <w:vAlign w:val="bottom"/>
          </w:tcPr>
          <w:p w14:paraId="22CFADE6" w14:textId="77777777" w:rsidR="002661BA" w:rsidRDefault="002661BA">
            <w:pPr>
              <w:rPr>
                <w:rFonts w:ascii="宋体"/>
              </w:rPr>
            </w:pPr>
          </w:p>
        </w:tc>
        <w:tc>
          <w:tcPr>
            <w:tcW w:w="584" w:type="pct"/>
            <w:shd w:val="clear" w:color="auto" w:fill="auto"/>
            <w:vAlign w:val="bottom"/>
          </w:tcPr>
          <w:p w14:paraId="22CFADE7" w14:textId="77777777" w:rsidR="002661BA" w:rsidRDefault="002661BA">
            <w:pPr>
              <w:rPr>
                <w:rFonts w:ascii="宋体"/>
              </w:rPr>
            </w:pPr>
          </w:p>
        </w:tc>
        <w:tc>
          <w:tcPr>
            <w:tcW w:w="5" w:type="pct"/>
            <w:shd w:val="clear" w:color="auto" w:fill="auto"/>
            <w:vAlign w:val="bottom"/>
          </w:tcPr>
          <w:p w14:paraId="22CFADE8" w14:textId="77777777" w:rsidR="002661BA" w:rsidRDefault="002661BA">
            <w:pPr>
              <w:rPr>
                <w:rFonts w:ascii="宋体"/>
              </w:rPr>
            </w:pPr>
          </w:p>
        </w:tc>
        <w:tc>
          <w:tcPr>
            <w:tcW w:w="5" w:type="pct"/>
            <w:shd w:val="clear" w:color="auto" w:fill="auto"/>
            <w:vAlign w:val="bottom"/>
          </w:tcPr>
          <w:p w14:paraId="22CFADE9" w14:textId="77777777" w:rsidR="002661BA" w:rsidRDefault="002661BA">
            <w:pPr>
              <w:rPr>
                <w:rFonts w:ascii="宋体"/>
              </w:rPr>
            </w:pPr>
          </w:p>
        </w:tc>
        <w:tc>
          <w:tcPr>
            <w:tcW w:w="19" w:type="pct"/>
            <w:shd w:val="clear" w:color="auto" w:fill="auto"/>
            <w:vAlign w:val="bottom"/>
          </w:tcPr>
          <w:p w14:paraId="22CFADEA" w14:textId="77777777" w:rsidR="002661BA" w:rsidRDefault="002661BA">
            <w:pPr>
              <w:rPr>
                <w:rFonts w:ascii="宋体"/>
              </w:rPr>
            </w:pPr>
          </w:p>
        </w:tc>
        <w:tc>
          <w:tcPr>
            <w:tcW w:w="5" w:type="pct"/>
            <w:shd w:val="clear" w:color="auto" w:fill="auto"/>
            <w:vAlign w:val="bottom"/>
          </w:tcPr>
          <w:p w14:paraId="22CFADEB" w14:textId="77777777" w:rsidR="002661BA" w:rsidRDefault="002661BA">
            <w:pPr>
              <w:rPr>
                <w:rFonts w:ascii="宋体"/>
              </w:rPr>
            </w:pPr>
          </w:p>
        </w:tc>
        <w:tc>
          <w:tcPr>
            <w:tcW w:w="50" w:type="pct"/>
            <w:shd w:val="clear" w:color="auto" w:fill="auto"/>
            <w:vAlign w:val="bottom"/>
          </w:tcPr>
          <w:p w14:paraId="22CFADEC" w14:textId="77777777" w:rsidR="002661BA" w:rsidRDefault="002661BA">
            <w:pPr>
              <w:rPr>
                <w:rFonts w:ascii="宋体"/>
              </w:rPr>
            </w:pPr>
          </w:p>
        </w:tc>
        <w:tc>
          <w:tcPr>
            <w:tcW w:w="584" w:type="pct"/>
            <w:shd w:val="clear" w:color="auto" w:fill="auto"/>
            <w:vAlign w:val="bottom"/>
          </w:tcPr>
          <w:p w14:paraId="22CFADED" w14:textId="77777777" w:rsidR="002661BA" w:rsidRDefault="002661BA">
            <w:pPr>
              <w:rPr>
                <w:rFonts w:ascii="宋体"/>
              </w:rPr>
            </w:pPr>
          </w:p>
        </w:tc>
        <w:tc>
          <w:tcPr>
            <w:tcW w:w="5" w:type="pct"/>
            <w:shd w:val="clear" w:color="auto" w:fill="auto"/>
            <w:vAlign w:val="bottom"/>
          </w:tcPr>
          <w:p w14:paraId="22CFADEE" w14:textId="77777777" w:rsidR="002661BA" w:rsidRDefault="002661BA">
            <w:pPr>
              <w:rPr>
                <w:rFonts w:ascii="宋体"/>
              </w:rPr>
            </w:pPr>
          </w:p>
        </w:tc>
        <w:tc>
          <w:tcPr>
            <w:tcW w:w="5" w:type="pct"/>
            <w:shd w:val="clear" w:color="auto" w:fill="auto"/>
            <w:vAlign w:val="bottom"/>
          </w:tcPr>
          <w:p w14:paraId="22CFADEF" w14:textId="77777777" w:rsidR="002661BA" w:rsidRDefault="002661BA">
            <w:pPr>
              <w:rPr>
                <w:rFonts w:ascii="宋体"/>
              </w:rPr>
            </w:pPr>
          </w:p>
        </w:tc>
        <w:tc>
          <w:tcPr>
            <w:tcW w:w="19" w:type="pct"/>
            <w:shd w:val="clear" w:color="auto" w:fill="auto"/>
            <w:vAlign w:val="bottom"/>
          </w:tcPr>
          <w:p w14:paraId="22CFADF0" w14:textId="77777777" w:rsidR="002661BA" w:rsidRDefault="002661BA">
            <w:pPr>
              <w:rPr>
                <w:rFonts w:ascii="宋体"/>
              </w:rPr>
            </w:pPr>
          </w:p>
        </w:tc>
        <w:tc>
          <w:tcPr>
            <w:tcW w:w="5" w:type="pct"/>
            <w:shd w:val="clear" w:color="auto" w:fill="auto"/>
            <w:vAlign w:val="bottom"/>
          </w:tcPr>
          <w:p w14:paraId="22CFADF1" w14:textId="77777777" w:rsidR="002661BA" w:rsidRDefault="002661BA">
            <w:pPr>
              <w:rPr>
                <w:rFonts w:ascii="宋体"/>
              </w:rPr>
            </w:pPr>
          </w:p>
        </w:tc>
        <w:tc>
          <w:tcPr>
            <w:tcW w:w="50" w:type="pct"/>
            <w:shd w:val="clear" w:color="auto" w:fill="auto"/>
            <w:vAlign w:val="bottom"/>
          </w:tcPr>
          <w:p w14:paraId="22CFADF2" w14:textId="77777777" w:rsidR="002661BA" w:rsidRDefault="002661BA">
            <w:pPr>
              <w:rPr>
                <w:rFonts w:ascii="宋体"/>
              </w:rPr>
            </w:pPr>
          </w:p>
        </w:tc>
        <w:tc>
          <w:tcPr>
            <w:tcW w:w="584" w:type="pct"/>
            <w:shd w:val="clear" w:color="auto" w:fill="auto"/>
            <w:vAlign w:val="bottom"/>
          </w:tcPr>
          <w:p w14:paraId="22CFADF3" w14:textId="77777777" w:rsidR="002661BA" w:rsidRDefault="002661BA">
            <w:pPr>
              <w:rPr>
                <w:rFonts w:ascii="宋体"/>
              </w:rPr>
            </w:pPr>
          </w:p>
        </w:tc>
        <w:tc>
          <w:tcPr>
            <w:tcW w:w="5" w:type="pct"/>
            <w:shd w:val="clear" w:color="auto" w:fill="auto"/>
            <w:vAlign w:val="bottom"/>
          </w:tcPr>
          <w:p w14:paraId="22CFADF4" w14:textId="77777777" w:rsidR="002661BA" w:rsidRDefault="002661BA">
            <w:pPr>
              <w:rPr>
                <w:rFonts w:ascii="宋体"/>
              </w:rPr>
            </w:pPr>
          </w:p>
        </w:tc>
      </w:tr>
      <w:tr w:rsidR="002661BA" w14:paraId="22CFADF8" w14:textId="77777777">
        <w:tc>
          <w:tcPr>
            <w:tcW w:w="0" w:type="auto"/>
            <w:gridSpan w:val="3"/>
            <w:shd w:val="clear" w:color="auto" w:fill="auto"/>
            <w:tcMar>
              <w:top w:w="40" w:type="dxa"/>
              <w:left w:w="20" w:type="dxa"/>
              <w:bottom w:w="40" w:type="dxa"/>
              <w:right w:w="20" w:type="dxa"/>
            </w:tcMar>
            <w:vAlign w:val="bottom"/>
          </w:tcPr>
          <w:p w14:paraId="22CFADF6" w14:textId="77777777" w:rsidR="002661BA" w:rsidRDefault="00D972BC">
            <w:pPr>
              <w:textAlignment w:val="bottom"/>
            </w:pPr>
            <w:r>
              <w:rPr>
                <w:rFonts w:ascii="Arial" w:eastAsia="宋体" w:hAnsi="Arial" w:cs="Arial"/>
                <w:color w:val="000000"/>
                <w:sz w:val="17"/>
                <w:szCs w:val="17"/>
              </w:rPr>
              <w:t> </w:t>
            </w:r>
          </w:p>
        </w:tc>
        <w:tc>
          <w:tcPr>
            <w:tcW w:w="0" w:type="auto"/>
            <w:gridSpan w:val="15"/>
            <w:shd w:val="clear" w:color="auto" w:fill="auto"/>
            <w:tcMar>
              <w:top w:w="40" w:type="dxa"/>
              <w:left w:w="20" w:type="dxa"/>
              <w:bottom w:w="40" w:type="dxa"/>
              <w:right w:w="20" w:type="dxa"/>
            </w:tcMar>
            <w:vAlign w:val="bottom"/>
          </w:tcPr>
          <w:p w14:paraId="22CFADF7"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ADFF" w14:textId="77777777">
        <w:tc>
          <w:tcPr>
            <w:tcW w:w="0" w:type="auto"/>
            <w:gridSpan w:val="3"/>
            <w:shd w:val="clear" w:color="auto" w:fill="auto"/>
            <w:tcMar>
              <w:top w:w="40" w:type="dxa"/>
              <w:left w:w="20" w:type="dxa"/>
              <w:bottom w:w="40" w:type="dxa"/>
              <w:right w:w="20" w:type="dxa"/>
            </w:tcMar>
            <w:vAlign w:val="bottom"/>
          </w:tcPr>
          <w:p w14:paraId="22CFADF9"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DFA"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DFB" w14:textId="77777777" w:rsidR="002661BA" w:rsidRDefault="00D972BC">
            <w:pPr>
              <w:jc w:val="center"/>
              <w:textAlignment w:val="bottom"/>
            </w:pPr>
            <w:r>
              <w:rPr>
                <w:rFonts w:ascii="Arial" w:eastAsia="宋体" w:hAnsi="Arial" w:cs="Arial"/>
                <w:b/>
                <w:bCs/>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DFC"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DFD" w14:textId="77777777" w:rsidR="002661BA" w:rsidRDefault="00D972BC">
            <w:pPr>
              <w:jc w:val="center"/>
              <w:textAlignment w:val="bottom"/>
            </w:pPr>
            <w:r>
              <w:rPr>
                <w:rFonts w:ascii="Arial" w:eastAsia="宋体" w:hAnsi="Arial" w:cs="Arial"/>
                <w:b/>
                <w:bCs/>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ADFE"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AE0C" w14:textId="77777777">
        <w:tc>
          <w:tcPr>
            <w:tcW w:w="0" w:type="auto"/>
            <w:gridSpan w:val="3"/>
            <w:shd w:val="clear" w:color="auto" w:fill="E2E2E2"/>
            <w:tcMar>
              <w:top w:w="40" w:type="dxa"/>
              <w:left w:w="20" w:type="dxa"/>
              <w:bottom w:w="40" w:type="dxa"/>
              <w:right w:w="20" w:type="dxa"/>
            </w:tcMar>
            <w:vAlign w:val="bottom"/>
          </w:tcPr>
          <w:p w14:paraId="22CFAE00" w14:textId="77777777" w:rsidR="002661BA" w:rsidRDefault="00D972BC">
            <w:pPr>
              <w:textAlignment w:val="bottom"/>
            </w:pPr>
            <w:r>
              <w:rPr>
                <w:rFonts w:ascii="Arial" w:eastAsia="宋体" w:hAnsi="Arial" w:cs="Arial"/>
                <w:color w:val="000000"/>
                <w:sz w:val="18"/>
                <w:szCs w:val="18"/>
              </w:rPr>
              <w:t>Income tax provision (benefit)</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AE0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E02" w14:textId="77777777" w:rsidR="002661BA" w:rsidRDefault="00D972BC">
            <w:pPr>
              <w:jc w:val="right"/>
              <w:textAlignment w:val="bottom"/>
            </w:pPr>
            <w:r>
              <w:rPr>
                <w:rFonts w:ascii="Arial" w:eastAsia="宋体" w:hAnsi="Arial" w:cs="Arial"/>
                <w:color w:val="000000"/>
                <w:sz w:val="18"/>
                <w:szCs w:val="18"/>
              </w:rPr>
              <w:t>146 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E03"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AE04"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AE0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E06" w14:textId="77777777" w:rsidR="002661BA" w:rsidRDefault="00D972BC">
            <w:pPr>
              <w:jc w:val="right"/>
              <w:textAlignment w:val="bottom"/>
            </w:pPr>
            <w:r>
              <w:rPr>
                <w:rFonts w:ascii="Arial" w:eastAsia="宋体" w:hAnsi="Arial" w:cs="Arial"/>
                <w:color w:val="000000"/>
                <w:sz w:val="18"/>
                <w:szCs w:val="18"/>
              </w:rPr>
              <w:t>858 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E07"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AE08"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AE0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E0A" w14:textId="77777777" w:rsidR="002661BA" w:rsidRDefault="00D972BC">
            <w:pPr>
              <w:jc w:val="right"/>
              <w:textAlignment w:val="bottom"/>
            </w:pPr>
            <w:r>
              <w:rPr>
                <w:rFonts w:ascii="Arial" w:eastAsia="宋体" w:hAnsi="Arial" w:cs="Arial"/>
                <w:color w:val="000000"/>
                <w:sz w:val="18"/>
                <w:szCs w:val="18"/>
              </w:rPr>
              <w:t>219 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E0B" w14:textId="77777777" w:rsidR="002661BA" w:rsidRDefault="002661BA">
            <w:pPr>
              <w:jc w:val="right"/>
              <w:rPr>
                <w:rFonts w:ascii="宋体"/>
              </w:rPr>
            </w:pPr>
          </w:p>
        </w:tc>
      </w:tr>
      <w:tr w:rsidR="002661BA" w14:paraId="22CFAE16" w14:textId="77777777">
        <w:tc>
          <w:tcPr>
            <w:tcW w:w="0" w:type="auto"/>
            <w:gridSpan w:val="3"/>
            <w:shd w:val="clear" w:color="auto" w:fill="FFFFFF"/>
            <w:tcMar>
              <w:top w:w="40" w:type="dxa"/>
              <w:left w:w="20" w:type="dxa"/>
              <w:bottom w:w="40" w:type="dxa"/>
              <w:right w:w="20" w:type="dxa"/>
            </w:tcMar>
            <w:vAlign w:val="bottom"/>
          </w:tcPr>
          <w:p w14:paraId="22CFAE0D" w14:textId="77777777" w:rsidR="002661BA" w:rsidRDefault="00D972BC">
            <w:pPr>
              <w:textAlignment w:val="bottom"/>
            </w:pPr>
            <w:r>
              <w:rPr>
                <w:rFonts w:ascii="Arial" w:eastAsia="宋体" w:hAnsi="Arial" w:cs="Arial"/>
                <w:i/>
                <w:iCs/>
                <w:color w:val="000000"/>
                <w:sz w:val="18"/>
                <w:szCs w:val="18"/>
              </w:rPr>
              <w:t>Effective tax rate</w:t>
            </w:r>
          </w:p>
        </w:tc>
        <w:tc>
          <w:tcPr>
            <w:tcW w:w="0" w:type="auto"/>
            <w:gridSpan w:val="2"/>
            <w:shd w:val="clear" w:color="auto" w:fill="FFFFFF"/>
            <w:tcMar>
              <w:top w:w="40" w:type="dxa"/>
              <w:left w:w="20" w:type="dxa"/>
              <w:bottom w:w="40" w:type="dxa"/>
              <w:right w:w="0" w:type="dxa"/>
            </w:tcMar>
            <w:vAlign w:val="bottom"/>
          </w:tcPr>
          <w:p w14:paraId="22CFAE0E" w14:textId="77777777" w:rsidR="002661BA" w:rsidRDefault="00D972BC">
            <w:pPr>
              <w:jc w:val="right"/>
              <w:textAlignment w:val="bottom"/>
            </w:pPr>
            <w:r>
              <w:rPr>
                <w:rFonts w:ascii="Arial" w:eastAsia="宋体" w:hAnsi="Arial" w:cs="Arial"/>
                <w:color w:val="000000"/>
                <w:sz w:val="18"/>
                <w:szCs w:val="18"/>
              </w:rPr>
              <w:t>36.6 </w:t>
            </w:r>
          </w:p>
        </w:tc>
        <w:tc>
          <w:tcPr>
            <w:tcW w:w="0" w:type="auto"/>
            <w:shd w:val="clear" w:color="auto" w:fill="FFFFFF"/>
            <w:tcMar>
              <w:top w:w="40" w:type="dxa"/>
              <w:left w:w="0" w:type="dxa"/>
              <w:bottom w:w="40" w:type="dxa"/>
              <w:right w:w="20" w:type="dxa"/>
            </w:tcMar>
            <w:vAlign w:val="bottom"/>
          </w:tcPr>
          <w:p w14:paraId="22CFAE0F"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40" w:type="dxa"/>
              <w:left w:w="20" w:type="dxa"/>
              <w:bottom w:w="40" w:type="dxa"/>
              <w:right w:w="20" w:type="dxa"/>
            </w:tcMar>
            <w:vAlign w:val="bottom"/>
          </w:tcPr>
          <w:p w14:paraId="22CFAE10"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AE11" w14:textId="77777777" w:rsidR="002661BA" w:rsidRDefault="00D972BC">
            <w:pPr>
              <w:jc w:val="right"/>
              <w:textAlignment w:val="bottom"/>
            </w:pPr>
            <w:r>
              <w:rPr>
                <w:rFonts w:ascii="Arial" w:eastAsia="宋体" w:hAnsi="Arial" w:cs="Arial"/>
                <w:color w:val="000000"/>
                <w:sz w:val="18"/>
                <w:szCs w:val="18"/>
              </w:rPr>
              <w:t>25.6 </w:t>
            </w:r>
          </w:p>
        </w:tc>
        <w:tc>
          <w:tcPr>
            <w:tcW w:w="0" w:type="auto"/>
            <w:shd w:val="clear" w:color="auto" w:fill="FFFFFF"/>
            <w:tcMar>
              <w:top w:w="40" w:type="dxa"/>
              <w:left w:w="0" w:type="dxa"/>
              <w:bottom w:w="40" w:type="dxa"/>
              <w:right w:w="20" w:type="dxa"/>
            </w:tcMar>
            <w:vAlign w:val="bottom"/>
          </w:tcPr>
          <w:p w14:paraId="22CFAE12"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FFFFFF"/>
            <w:tcMar>
              <w:top w:w="40" w:type="dxa"/>
              <w:left w:w="20" w:type="dxa"/>
              <w:bottom w:w="40" w:type="dxa"/>
              <w:right w:w="20" w:type="dxa"/>
            </w:tcMar>
            <w:vAlign w:val="bottom"/>
          </w:tcPr>
          <w:p w14:paraId="22CFAE13"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AE14" w14:textId="77777777" w:rsidR="002661BA" w:rsidRDefault="00D972BC">
            <w:pPr>
              <w:jc w:val="right"/>
              <w:textAlignment w:val="bottom"/>
            </w:pPr>
            <w:r>
              <w:rPr>
                <w:rFonts w:ascii="Arial" w:eastAsia="宋体" w:hAnsi="Arial" w:cs="Arial"/>
                <w:color w:val="000000"/>
                <w:sz w:val="18"/>
                <w:szCs w:val="18"/>
              </w:rPr>
              <w:t>13.2 </w:t>
            </w:r>
          </w:p>
        </w:tc>
        <w:tc>
          <w:tcPr>
            <w:tcW w:w="0" w:type="auto"/>
            <w:shd w:val="clear" w:color="auto" w:fill="FFFFFF"/>
            <w:tcMar>
              <w:top w:w="40" w:type="dxa"/>
              <w:left w:w="0" w:type="dxa"/>
              <w:bottom w:w="40" w:type="dxa"/>
              <w:right w:w="20" w:type="dxa"/>
            </w:tcMar>
            <w:vAlign w:val="bottom"/>
          </w:tcPr>
          <w:p w14:paraId="22CFAE15" w14:textId="77777777" w:rsidR="002661BA" w:rsidRDefault="00D972BC">
            <w:pPr>
              <w:jc w:val="right"/>
              <w:textAlignment w:val="bottom"/>
            </w:pPr>
            <w:r>
              <w:rPr>
                <w:rFonts w:ascii="Arial" w:eastAsia="宋体" w:hAnsi="Arial" w:cs="Arial"/>
                <w:color w:val="000000"/>
                <w:sz w:val="18"/>
                <w:szCs w:val="18"/>
              </w:rPr>
              <w:t>%</w:t>
            </w:r>
          </w:p>
        </w:tc>
      </w:tr>
    </w:tbl>
    <w:p w14:paraId="22CFAE17" w14:textId="77777777" w:rsidR="002661BA" w:rsidRDefault="002661BA">
      <w:pPr>
        <w:ind w:firstLine="540"/>
        <w:jc w:val="both"/>
      </w:pPr>
    </w:p>
    <w:p w14:paraId="22CFAE18" w14:textId="77777777" w:rsidR="002661BA" w:rsidRDefault="00D972BC">
      <w:pPr>
        <w:ind w:firstLine="540"/>
        <w:jc w:val="both"/>
      </w:pPr>
      <w:r>
        <w:rPr>
          <w:rFonts w:ascii="Arial" w:eastAsia="宋体" w:hAnsi="Arial" w:cs="Arial"/>
          <w:color w:val="000000"/>
          <w:sz w:val="20"/>
          <w:szCs w:val="20"/>
        </w:rPr>
        <w:t xml:space="preserve">Our future effective tax rates could be adversely affected by earnings being lower than anticipated in countries where we have lower statutory rates and higher than anticipated in countries where we have higher statutory rates, by changes in the valuation </w:t>
      </w:r>
      <w:r>
        <w:rPr>
          <w:rFonts w:ascii="Arial" w:eastAsia="宋体" w:hAnsi="Arial" w:cs="Arial"/>
          <w:color w:val="000000"/>
          <w:sz w:val="20"/>
          <w:szCs w:val="20"/>
        </w:rPr>
        <w:t>of our deferred tax assets or liabilities, or by changes or interpretations in tax laws, regulations or accounting principles. In addition, we are subject to the continuous examination of our income tax returns by the Internal Revenue Service, as well as v</w:t>
      </w:r>
      <w:r>
        <w:rPr>
          <w:rFonts w:ascii="Arial" w:eastAsia="宋体" w:hAnsi="Arial" w:cs="Arial"/>
          <w:color w:val="000000"/>
          <w:sz w:val="20"/>
          <w:szCs w:val="20"/>
        </w:rPr>
        <w:t xml:space="preserve">arious state and foreign tax authorities. We regularly assess the likelihood of adverse outcomes resulting from these examinations to determine the adequacy of our provision for income taxes. </w:t>
      </w:r>
    </w:p>
    <w:p w14:paraId="22CFAE19" w14:textId="77777777" w:rsidR="002661BA" w:rsidRDefault="002661BA">
      <w:pPr>
        <w:ind w:firstLine="540"/>
        <w:jc w:val="both"/>
      </w:pPr>
    </w:p>
    <w:p w14:paraId="22CFAE1A" w14:textId="77777777" w:rsidR="002661BA" w:rsidRDefault="00D972BC">
      <w:pPr>
        <w:ind w:firstLine="540"/>
        <w:jc w:val="both"/>
      </w:pPr>
      <w:r>
        <w:rPr>
          <w:rFonts w:ascii="Arial" w:eastAsia="宋体" w:hAnsi="Arial" w:cs="Arial"/>
          <w:color w:val="000000"/>
          <w:sz w:val="20"/>
          <w:szCs w:val="20"/>
        </w:rPr>
        <w:t>Based on our results for the year ended December 31, 2021, a one-percentage point change in our provision for income taxes as a percentage of income before taxes would have resulted in an increase or decrease in the provision of approximately $4 million, r</w:t>
      </w:r>
      <w:r>
        <w:rPr>
          <w:rFonts w:ascii="Arial" w:eastAsia="宋体" w:hAnsi="Arial" w:cs="Arial"/>
          <w:color w:val="000000"/>
          <w:sz w:val="20"/>
          <w:szCs w:val="20"/>
        </w:rPr>
        <w:t xml:space="preserve">esulting in an approximate $0.01 change in diluted earnings per share. </w:t>
      </w:r>
    </w:p>
    <w:p w14:paraId="22CFAE1B" w14:textId="77777777" w:rsidR="002661BA" w:rsidRDefault="002661BA">
      <w:pPr>
        <w:jc w:val="both"/>
      </w:pPr>
    </w:p>
    <w:p w14:paraId="22CFAE1C" w14:textId="77777777" w:rsidR="002661BA" w:rsidRDefault="00D972BC">
      <w:pPr>
        <w:jc w:val="both"/>
      </w:pPr>
      <w:r>
        <w:rPr>
          <w:rFonts w:ascii="Arial" w:eastAsia="宋体" w:hAnsi="Arial" w:cs="Arial"/>
          <w:i/>
          <w:iCs/>
          <w:color w:val="000000"/>
          <w:sz w:val="20"/>
          <w:szCs w:val="20"/>
        </w:rPr>
        <w:t>Goodwill</w:t>
      </w:r>
    </w:p>
    <w:p w14:paraId="22CFAE1D" w14:textId="77777777" w:rsidR="002661BA" w:rsidRDefault="002661BA">
      <w:pPr>
        <w:jc w:val="both"/>
      </w:pPr>
    </w:p>
    <w:p w14:paraId="22CFAE1E" w14:textId="77777777" w:rsidR="002661BA" w:rsidRDefault="00D972BC">
      <w:pPr>
        <w:ind w:firstLine="540"/>
        <w:jc w:val="both"/>
      </w:pPr>
      <w:r>
        <w:rPr>
          <w:rFonts w:ascii="Arial" w:eastAsia="宋体" w:hAnsi="Arial" w:cs="Arial"/>
          <w:color w:val="000000"/>
          <w:sz w:val="20"/>
          <w:szCs w:val="20"/>
        </w:rPr>
        <w:t xml:space="preserve">The purchase price of an acquired company is allocated between intangible assets and the net tangible assets of the acquired business with the residual of the purchase price recorded as goodwill. </w:t>
      </w:r>
    </w:p>
    <w:p w14:paraId="22CFAE1F" w14:textId="77777777" w:rsidR="002661BA" w:rsidRDefault="002661BA">
      <w:pPr>
        <w:ind w:firstLine="540"/>
        <w:jc w:val="both"/>
      </w:pPr>
    </w:p>
    <w:p w14:paraId="22CFAE20" w14:textId="77777777" w:rsidR="002661BA" w:rsidRDefault="00D972BC">
      <w:pPr>
        <w:ind w:firstLine="540"/>
        <w:jc w:val="both"/>
      </w:pPr>
      <w:r>
        <w:rPr>
          <w:rFonts w:ascii="Arial" w:eastAsia="宋体" w:hAnsi="Arial" w:cs="Arial"/>
          <w:color w:val="000000"/>
          <w:sz w:val="20"/>
          <w:szCs w:val="20"/>
        </w:rPr>
        <w:t>As of December 31, 2021, our goodwill totaled $4.2 billion</w:t>
      </w:r>
      <w:r>
        <w:rPr>
          <w:rFonts w:ascii="Arial" w:eastAsia="宋体" w:hAnsi="Arial" w:cs="Arial"/>
          <w:color w:val="000000"/>
          <w:sz w:val="20"/>
          <w:szCs w:val="20"/>
        </w:rPr>
        <w:t>. We assess the impairment of goodwill of our reporting unit annually, or more often if events or changes in circumstances indicate that the carrying value may not be recoverable. Goodwill is tested for impairment at the reporting unit level by first perfo</w:t>
      </w:r>
      <w:r>
        <w:rPr>
          <w:rFonts w:ascii="Arial" w:eastAsia="宋体" w:hAnsi="Arial" w:cs="Arial"/>
          <w:color w:val="000000"/>
          <w:sz w:val="20"/>
          <w:szCs w:val="20"/>
        </w:rPr>
        <w:t>rming a qualitative assessment to determine whether it is more likely than not that the fair value of the reporting unit is less than its carrying value. If the reporting unit does not pass the qualitative assessment, then the reporting unit’s carrying val</w:t>
      </w:r>
      <w:r>
        <w:rPr>
          <w:rFonts w:ascii="Arial" w:eastAsia="宋体" w:hAnsi="Arial" w:cs="Arial"/>
          <w:color w:val="000000"/>
          <w:sz w:val="20"/>
          <w:szCs w:val="20"/>
        </w:rPr>
        <w:t>ue is compared to its fair value. The fair values of the reporting units are estimated using market and discounted cash flow approaches. Goodwill is considered impaired if the carrying value of the reporting unit exceeds its fair value. The discounted cash</w:t>
      </w:r>
      <w:r>
        <w:rPr>
          <w:rFonts w:ascii="Arial" w:eastAsia="宋体" w:hAnsi="Arial" w:cs="Arial"/>
          <w:color w:val="000000"/>
          <w:sz w:val="20"/>
          <w:szCs w:val="20"/>
        </w:rPr>
        <w:t xml:space="preserve"> flow approach uses expected future operating results. The market approach uses comparable company information to determine revenue and earnings multiples to value our reporting unit. Failure to achieve these expected results or market multiples may cause </w:t>
      </w:r>
      <w:r>
        <w:rPr>
          <w:rFonts w:ascii="Arial" w:eastAsia="宋体" w:hAnsi="Arial" w:cs="Arial"/>
          <w:color w:val="000000"/>
          <w:sz w:val="20"/>
          <w:szCs w:val="20"/>
        </w:rPr>
        <w:t>a future impairment of goodwill at the reporting unit. We conducted our annual impairment test of goodwill as of August 31, 2021 and 2020. As of December 31, 2021, we determined that no impairment of the carrying value of goodwill was required. See “Note 4</w:t>
      </w:r>
      <w:r>
        <w:rPr>
          <w:rFonts w:ascii="Arial" w:eastAsia="宋体" w:hAnsi="Arial" w:cs="Arial"/>
          <w:color w:val="000000"/>
          <w:sz w:val="20"/>
          <w:szCs w:val="20"/>
        </w:rPr>
        <w:t xml:space="preserve"> — Goodwill and Intangible Assets” to the consolidated financial statements included in this report. </w:t>
      </w:r>
    </w:p>
    <w:p w14:paraId="22CFAE21" w14:textId="77777777" w:rsidR="002661BA" w:rsidRDefault="002661BA">
      <w:pPr>
        <w:jc w:val="both"/>
      </w:pPr>
    </w:p>
    <w:p w14:paraId="22CFAE22" w14:textId="77777777" w:rsidR="002661BA" w:rsidRDefault="00D972BC">
      <w:pPr>
        <w:jc w:val="center"/>
      </w:pPr>
      <w:r>
        <w:rPr>
          <w:rFonts w:ascii="Arial" w:eastAsia="宋体" w:hAnsi="Arial" w:cs="Arial"/>
          <w:color w:val="000000"/>
          <w:sz w:val="18"/>
          <w:szCs w:val="18"/>
        </w:rPr>
        <w:t>47</w:t>
      </w:r>
    </w:p>
    <w:p w14:paraId="22CFAE23" w14:textId="77777777" w:rsidR="002661BA" w:rsidRDefault="00D972BC">
      <w:r>
        <w:pict w14:anchorId="22CFE4E0">
          <v:rect id="_x0000_i1071" style="width:415.3pt;height:1.5pt" o:hralign="center" o:hrstd="t" o:hr="t" fillcolor="#a0a0a0" stroked="f"/>
        </w:pict>
      </w:r>
    </w:p>
    <w:p w14:paraId="22CFAE24" w14:textId="77777777" w:rsidR="002661BA" w:rsidRDefault="00D972BC">
      <w:hyperlink r:id="rId73" w:anchor="id0d7a71b05ce452ea9fdb54f3cb359c7_7" w:history="1">
        <w:r>
          <w:rPr>
            <w:rStyle w:val="a5"/>
            <w:rFonts w:ascii="Arial" w:eastAsia="宋体" w:hAnsi="Arial" w:cs="Arial"/>
            <w:sz w:val="18"/>
            <w:szCs w:val="18"/>
          </w:rPr>
          <w:t>Table of Contents</w:t>
        </w:r>
      </w:hyperlink>
    </w:p>
    <w:p w14:paraId="22CFAE25" w14:textId="77777777" w:rsidR="002661BA" w:rsidRDefault="00D972BC">
      <w:pPr>
        <w:ind w:firstLine="270"/>
        <w:jc w:val="both"/>
      </w:pPr>
      <w:r>
        <w:rPr>
          <w:rFonts w:ascii="Arial" w:eastAsia="宋体" w:hAnsi="Arial" w:cs="Arial"/>
          <w:i/>
          <w:iCs/>
          <w:color w:val="000000"/>
          <w:sz w:val="20"/>
          <w:szCs w:val="20"/>
        </w:rPr>
        <w:t xml:space="preserve">Legal Contingencies </w:t>
      </w:r>
    </w:p>
    <w:p w14:paraId="22CFAE26" w14:textId="77777777" w:rsidR="002661BA" w:rsidRDefault="002661BA">
      <w:pPr>
        <w:ind w:firstLine="540"/>
        <w:jc w:val="both"/>
      </w:pPr>
    </w:p>
    <w:p w14:paraId="22CFAE27" w14:textId="77777777" w:rsidR="002661BA" w:rsidRDefault="00D972BC">
      <w:pPr>
        <w:ind w:firstLine="540"/>
        <w:jc w:val="both"/>
      </w:pPr>
      <w:r>
        <w:rPr>
          <w:rFonts w:ascii="Arial" w:eastAsia="宋体" w:hAnsi="Arial" w:cs="Arial"/>
          <w:color w:val="000000"/>
          <w:sz w:val="20"/>
          <w:szCs w:val="20"/>
        </w:rPr>
        <w:t>In connection with certain pending litigation and other claims, we have estimated the range of probable loss, net of expected recoveries, and provided for such losses through charges to our consolidated statemen</w:t>
      </w:r>
      <w:r>
        <w:rPr>
          <w:rFonts w:ascii="Arial" w:eastAsia="宋体" w:hAnsi="Arial" w:cs="Arial"/>
          <w:color w:val="000000"/>
          <w:sz w:val="20"/>
          <w:szCs w:val="20"/>
        </w:rPr>
        <w:t xml:space="preserve">t of income. These estimates have been based on our assessment of the facts and circumstances at each balance sheet date and are subject to change based upon new information and future events. </w:t>
      </w:r>
    </w:p>
    <w:p w14:paraId="22CFAE28" w14:textId="77777777" w:rsidR="002661BA" w:rsidRDefault="002661BA">
      <w:pPr>
        <w:ind w:firstLine="540"/>
        <w:jc w:val="both"/>
      </w:pPr>
    </w:p>
    <w:p w14:paraId="22CFAE29" w14:textId="77777777" w:rsidR="002661BA" w:rsidRDefault="00D972BC">
      <w:pPr>
        <w:ind w:firstLine="540"/>
        <w:jc w:val="both"/>
      </w:pPr>
      <w:r>
        <w:rPr>
          <w:rFonts w:ascii="Arial" w:eastAsia="宋体" w:hAnsi="Arial" w:cs="Arial"/>
          <w:color w:val="000000"/>
          <w:sz w:val="20"/>
          <w:szCs w:val="20"/>
        </w:rPr>
        <w:t>From time to time, we are involved in disputes and regulatory</w:t>
      </w:r>
      <w:r>
        <w:rPr>
          <w:rFonts w:ascii="Arial" w:eastAsia="宋体" w:hAnsi="Arial" w:cs="Arial"/>
          <w:color w:val="000000"/>
          <w:sz w:val="20"/>
          <w:szCs w:val="20"/>
        </w:rPr>
        <w:t xml:space="preserve"> inquiries that arise in the ordinary course of business. We are currently involved in legal proceedings, some of which are discussed in “Item 1A: Risk Factors,” “Item 3: Legal Proceedings” and “Note 12 — Commitments and Contingencies” to the consolidated </w:t>
      </w:r>
      <w:r>
        <w:rPr>
          <w:rFonts w:ascii="Arial" w:eastAsia="宋体" w:hAnsi="Arial" w:cs="Arial"/>
          <w:color w:val="000000"/>
          <w:sz w:val="20"/>
          <w:szCs w:val="20"/>
        </w:rPr>
        <w:t>financial statements included in this report. We believe that we have meritorious defenses to the claims against us, and we intend to defend ourselves vigorously. However, even if successful, our defense against certain actions will be costly and could req</w:t>
      </w:r>
      <w:r>
        <w:rPr>
          <w:rFonts w:ascii="Arial" w:eastAsia="宋体" w:hAnsi="Arial" w:cs="Arial"/>
          <w:color w:val="000000"/>
          <w:sz w:val="20"/>
          <w:szCs w:val="20"/>
        </w:rPr>
        <w:t>uire significant amounts of management’s time and result in the diversion of significant operational resources. If the plaintiffs were to prevail on certain claims, we might be forced to pay significant damages and licensing fees, modify our business pract</w:t>
      </w:r>
      <w:r>
        <w:rPr>
          <w:rFonts w:ascii="Arial" w:eastAsia="宋体" w:hAnsi="Arial" w:cs="Arial"/>
          <w:color w:val="000000"/>
          <w:sz w:val="20"/>
          <w:szCs w:val="20"/>
        </w:rPr>
        <w:t xml:space="preserve">ices or even be prohibited from conducting a significant part of our business. Any such results could materially harm our business and could result in a material adverse impact on the financial position, results of operations or cash flows. </w:t>
      </w:r>
    </w:p>
    <w:p w14:paraId="22CFAE2A" w14:textId="77777777" w:rsidR="002661BA" w:rsidRDefault="002661BA">
      <w:pPr>
        <w:ind w:firstLine="540"/>
        <w:jc w:val="both"/>
      </w:pPr>
    </w:p>
    <w:p w14:paraId="22CFAE2B" w14:textId="77777777" w:rsidR="002661BA" w:rsidRDefault="00D972BC">
      <w:pPr>
        <w:ind w:firstLine="540"/>
        <w:jc w:val="both"/>
      </w:pPr>
      <w:r>
        <w:rPr>
          <w:rFonts w:ascii="Arial" w:eastAsia="宋体" w:hAnsi="Arial" w:cs="Arial"/>
          <w:i/>
          <w:iCs/>
          <w:color w:val="000000"/>
          <w:sz w:val="20"/>
          <w:szCs w:val="20"/>
        </w:rPr>
        <w:t>Recent Accoun</w:t>
      </w:r>
      <w:r>
        <w:rPr>
          <w:rFonts w:ascii="Arial" w:eastAsia="宋体" w:hAnsi="Arial" w:cs="Arial"/>
          <w:i/>
          <w:iCs/>
          <w:color w:val="000000"/>
          <w:sz w:val="20"/>
          <w:szCs w:val="20"/>
        </w:rPr>
        <w:t>ting Pronouncements</w:t>
      </w:r>
    </w:p>
    <w:p w14:paraId="22CFAE2C" w14:textId="77777777" w:rsidR="002661BA" w:rsidRDefault="002661BA"/>
    <w:p w14:paraId="22CFAE2D" w14:textId="77777777" w:rsidR="002661BA" w:rsidRDefault="00D972BC">
      <w:pPr>
        <w:ind w:firstLine="540"/>
        <w:jc w:val="both"/>
      </w:pPr>
      <w:r>
        <w:rPr>
          <w:rFonts w:ascii="Arial" w:eastAsia="宋体" w:hAnsi="Arial" w:cs="Arial"/>
          <w:color w:val="000000"/>
          <w:sz w:val="20"/>
          <w:szCs w:val="20"/>
        </w:rPr>
        <w:t xml:space="preserve">See "Note 1 — The Company and Summary of Significant Accounting Policies" to the consolidated financial statements included in this report, regarding the impact of certain recent accounting pronouncements on our consolidated financial </w:t>
      </w:r>
      <w:r>
        <w:rPr>
          <w:rFonts w:ascii="Arial" w:eastAsia="宋体" w:hAnsi="Arial" w:cs="Arial"/>
          <w:color w:val="000000"/>
          <w:sz w:val="20"/>
          <w:szCs w:val="20"/>
        </w:rPr>
        <w:t>statements.</w:t>
      </w:r>
    </w:p>
    <w:p w14:paraId="22CFAE2E" w14:textId="77777777" w:rsidR="002661BA" w:rsidRDefault="002661BA">
      <w:pPr>
        <w:jc w:val="both"/>
      </w:pPr>
    </w:p>
    <w:p w14:paraId="22CFAE2F" w14:textId="77777777" w:rsidR="002661BA" w:rsidRDefault="00D972BC">
      <w:pPr>
        <w:jc w:val="center"/>
      </w:pPr>
      <w:r>
        <w:rPr>
          <w:rFonts w:ascii="Arial" w:eastAsia="宋体" w:hAnsi="Arial" w:cs="Arial"/>
          <w:color w:val="000000"/>
          <w:sz w:val="18"/>
          <w:szCs w:val="18"/>
        </w:rPr>
        <w:t>48</w:t>
      </w:r>
    </w:p>
    <w:p w14:paraId="22CFAE30" w14:textId="77777777" w:rsidR="002661BA" w:rsidRDefault="00D972BC">
      <w:r>
        <w:pict w14:anchorId="22CFE4E1">
          <v:rect id="_x0000_i1072" style="width:415.3pt;height:1.5pt" o:hralign="center" o:hrstd="t" o:hr="t" fillcolor="#a0a0a0" stroked="f"/>
        </w:pict>
      </w:r>
    </w:p>
    <w:p w14:paraId="22CFAE31" w14:textId="77777777" w:rsidR="002661BA" w:rsidRDefault="00D972BC">
      <w:hyperlink r:id="rId74" w:anchor="id0d7a71b05ce452ea9fdb54f3cb359c7_7" w:history="1">
        <w:r>
          <w:rPr>
            <w:rStyle w:val="a5"/>
            <w:rFonts w:ascii="Arial" w:eastAsia="宋体" w:hAnsi="Arial" w:cs="Arial"/>
            <w:sz w:val="18"/>
            <w:szCs w:val="18"/>
          </w:rPr>
          <w:t>Table of Contents</w:t>
        </w:r>
      </w:hyperlink>
    </w:p>
    <w:p w14:paraId="22CFAE32" w14:textId="77777777" w:rsidR="002661BA" w:rsidRDefault="00D972BC">
      <w:pPr>
        <w:jc w:val="both"/>
      </w:pPr>
      <w:r>
        <w:rPr>
          <w:rFonts w:ascii="Arial" w:eastAsia="宋体" w:hAnsi="Arial" w:cs="Arial"/>
          <w:b/>
          <w:bCs/>
          <w:color w:val="000000"/>
          <w:sz w:val="20"/>
          <w:szCs w:val="20"/>
        </w:rPr>
        <w:t>ITEM 7A:</w:t>
      </w:r>
      <w:r>
        <w:rPr>
          <w:rFonts w:ascii="Arial" w:eastAsia="宋体" w:hAnsi="Arial" w:cs="Arial"/>
          <w:b/>
          <w:bCs/>
          <w:i/>
          <w:iCs/>
          <w:color w:val="000000"/>
          <w:sz w:val="20"/>
          <w:szCs w:val="20"/>
        </w:rPr>
        <w:t xml:space="preserve"> QUANTITATIVE AND QUALITATIVE DISCLOSURES ABOUT MARKET RISK</w:t>
      </w:r>
    </w:p>
    <w:p w14:paraId="22CFAE33" w14:textId="77777777" w:rsidR="002661BA" w:rsidRDefault="002661BA">
      <w:pPr>
        <w:jc w:val="both"/>
      </w:pPr>
    </w:p>
    <w:p w14:paraId="22CFAE34" w14:textId="77777777" w:rsidR="002661BA" w:rsidRDefault="00D972BC">
      <w:pPr>
        <w:jc w:val="both"/>
      </w:pPr>
      <w:r>
        <w:rPr>
          <w:rFonts w:ascii="Arial" w:eastAsia="宋体" w:hAnsi="Arial" w:cs="Arial"/>
          <w:b/>
          <w:bCs/>
          <w:i/>
          <w:iCs/>
          <w:color w:val="000000"/>
          <w:sz w:val="20"/>
          <w:szCs w:val="20"/>
        </w:rPr>
        <w:t>Interest Rate Risk</w:t>
      </w:r>
    </w:p>
    <w:p w14:paraId="22CFAE35" w14:textId="77777777" w:rsidR="002661BA" w:rsidRDefault="002661BA">
      <w:pPr>
        <w:ind w:firstLine="540"/>
        <w:jc w:val="both"/>
      </w:pPr>
    </w:p>
    <w:p w14:paraId="22CFAE36" w14:textId="77777777" w:rsidR="002661BA" w:rsidRDefault="00D972BC">
      <w:pPr>
        <w:ind w:firstLine="540"/>
        <w:jc w:val="both"/>
      </w:pPr>
      <w:r>
        <w:rPr>
          <w:rFonts w:ascii="Arial" w:eastAsia="宋体" w:hAnsi="Arial" w:cs="Arial"/>
          <w:color w:val="000000"/>
          <w:sz w:val="20"/>
          <w:szCs w:val="20"/>
        </w:rPr>
        <w:t xml:space="preserve">We are exposed to interest rate risk relating to our investments and outstanding debt. In addition, adverse economic conditions and events (including volatility or distress in the equity and/or debt or credit markets) may impact </w:t>
      </w:r>
      <w:r>
        <w:rPr>
          <w:rFonts w:ascii="Arial" w:eastAsia="宋体" w:hAnsi="Arial" w:cs="Arial"/>
          <w:color w:val="000000"/>
          <w:sz w:val="20"/>
          <w:szCs w:val="20"/>
        </w:rPr>
        <w:t>regional and global financial markets. These events and conditions could cause us to write down our assets or investments. We seek to reduce earnings volatility that may result from adverse economic conditions and events or changes in interest rates.</w:t>
      </w:r>
    </w:p>
    <w:p w14:paraId="22CFAE37" w14:textId="77777777" w:rsidR="002661BA" w:rsidRDefault="002661BA">
      <w:pPr>
        <w:ind w:firstLine="450"/>
        <w:jc w:val="both"/>
      </w:pPr>
    </w:p>
    <w:p w14:paraId="22CFAE38" w14:textId="77777777" w:rsidR="002661BA" w:rsidRDefault="00D972BC">
      <w:pPr>
        <w:ind w:firstLine="540"/>
        <w:jc w:val="both"/>
      </w:pPr>
      <w:r>
        <w:rPr>
          <w:rFonts w:ascii="Arial" w:eastAsia="宋体" w:hAnsi="Arial" w:cs="Arial"/>
          <w:color w:val="000000"/>
          <w:sz w:val="20"/>
          <w:szCs w:val="20"/>
        </w:rPr>
        <w:t xml:space="preserve">The </w:t>
      </w:r>
      <w:r>
        <w:rPr>
          <w:rFonts w:ascii="Arial" w:eastAsia="宋体" w:hAnsi="Arial" w:cs="Arial"/>
          <w:color w:val="000000"/>
          <w:sz w:val="20"/>
          <w:szCs w:val="20"/>
        </w:rPr>
        <w:t>primary objective of our investment activities is to preserve principal while at the same time improving yields without significantly increasing risk. To achieve this objective, we maintain our cash equivalents and short-term and long-term investments in a</w:t>
      </w:r>
      <w:r>
        <w:rPr>
          <w:rFonts w:ascii="Arial" w:eastAsia="宋体" w:hAnsi="Arial" w:cs="Arial"/>
          <w:color w:val="000000"/>
          <w:sz w:val="20"/>
          <w:szCs w:val="20"/>
        </w:rPr>
        <w:t xml:space="preserve"> variety of asset types, including bank deposits, government bonds and corporate debt securities. As of December 31, 2021, approximately 9% of our total cash and investments was held in cash and cash equivalents. As such, changes in interest rates will imp</w:t>
      </w:r>
      <w:r>
        <w:rPr>
          <w:rFonts w:ascii="Arial" w:eastAsia="宋体" w:hAnsi="Arial" w:cs="Arial"/>
          <w:color w:val="000000"/>
          <w:sz w:val="20"/>
          <w:szCs w:val="20"/>
        </w:rPr>
        <w:t>act interest income. As discussed below, the fair market values of our fixed rate securities may be adversely affected due to a rise in interest rates, and we may suffer losses in principal if we are forced to sell securities that have declined in market v</w:t>
      </w:r>
      <w:r>
        <w:rPr>
          <w:rFonts w:ascii="Arial" w:eastAsia="宋体" w:hAnsi="Arial" w:cs="Arial"/>
          <w:color w:val="000000"/>
          <w:sz w:val="20"/>
          <w:szCs w:val="20"/>
        </w:rPr>
        <w:t xml:space="preserve">alue due to changes in interest rates. </w:t>
      </w:r>
    </w:p>
    <w:p w14:paraId="22CFAE39" w14:textId="77777777" w:rsidR="002661BA" w:rsidRDefault="00D972BC">
      <w:pPr>
        <w:jc w:val="both"/>
      </w:pPr>
      <w:r>
        <w:rPr>
          <w:rFonts w:ascii="Arial" w:eastAsia="宋体" w:hAnsi="Arial" w:cs="Arial"/>
          <w:color w:val="000000"/>
          <w:sz w:val="14"/>
          <w:szCs w:val="14"/>
        </w:rPr>
        <w:t> </w:t>
      </w:r>
    </w:p>
    <w:p w14:paraId="22CFAE3A" w14:textId="77777777" w:rsidR="002661BA" w:rsidRDefault="00D972BC">
      <w:pPr>
        <w:ind w:firstLine="540"/>
        <w:jc w:val="both"/>
      </w:pPr>
      <w:r>
        <w:rPr>
          <w:rFonts w:ascii="Arial" w:eastAsia="宋体" w:hAnsi="Arial" w:cs="Arial"/>
          <w:color w:val="000000"/>
          <w:sz w:val="20"/>
          <w:szCs w:val="20"/>
        </w:rPr>
        <w:t xml:space="preserve">As of December 31, 2021, the balance of our corporate debt and government bond securities was $5.9 billion, which represented approximately 39% of our total cash and investments. Investments in both fixed-rate and </w:t>
      </w:r>
      <w:r>
        <w:rPr>
          <w:rFonts w:ascii="Arial" w:eastAsia="宋体" w:hAnsi="Arial" w:cs="Arial"/>
          <w:color w:val="000000"/>
          <w:sz w:val="20"/>
          <w:szCs w:val="20"/>
        </w:rPr>
        <w:t>floating-rate interest-earning instruments carry varying degrees of interest rate risk. The fair market value of our fixed-rate investment securities may be adversely impacted due to a rise in interest rates. In general, fixed-rate securities with longer m</w:t>
      </w:r>
      <w:r>
        <w:rPr>
          <w:rFonts w:ascii="Arial" w:eastAsia="宋体" w:hAnsi="Arial" w:cs="Arial"/>
          <w:color w:val="000000"/>
          <w:sz w:val="20"/>
          <w:szCs w:val="20"/>
        </w:rPr>
        <w:t>aturities are subject to greater interest rate risk than those with shorter maturities. While floating rate securities generally are subject to less interest rate risk than fixed-rate securities, floating-rate securities may produce less income than expect</w:t>
      </w:r>
      <w:r>
        <w:rPr>
          <w:rFonts w:ascii="Arial" w:eastAsia="宋体" w:hAnsi="Arial" w:cs="Arial"/>
          <w:color w:val="000000"/>
          <w:sz w:val="20"/>
          <w:szCs w:val="20"/>
        </w:rPr>
        <w:t xml:space="preserve">ed if interest rates decrease and may also suffer a decline in market value if interest rates increase. Due in part to these factors, our investment income may fall short of expectations or we may suffer losses in principal if we sell securities that have </w:t>
      </w:r>
      <w:r>
        <w:rPr>
          <w:rFonts w:ascii="Arial" w:eastAsia="宋体" w:hAnsi="Arial" w:cs="Arial"/>
          <w:color w:val="000000"/>
          <w:sz w:val="20"/>
          <w:szCs w:val="20"/>
        </w:rPr>
        <w:t>declined in market value due to changes in interest rates. A hypothetical 100 basis point increase in interest rates would have resulted in a decrease in the fair value of our investments of $4 million and $5 million as of December 31, 2021 and 2020, respe</w:t>
      </w:r>
      <w:r>
        <w:rPr>
          <w:rFonts w:ascii="Arial" w:eastAsia="宋体" w:hAnsi="Arial" w:cs="Arial"/>
          <w:color w:val="000000"/>
          <w:sz w:val="20"/>
          <w:szCs w:val="20"/>
        </w:rPr>
        <w:t>ctively.</w:t>
      </w:r>
    </w:p>
    <w:p w14:paraId="22CFAE3B" w14:textId="77777777" w:rsidR="002661BA" w:rsidRDefault="002661BA">
      <w:pPr>
        <w:ind w:firstLine="540"/>
        <w:jc w:val="both"/>
      </w:pPr>
    </w:p>
    <w:p w14:paraId="22CFAE3C" w14:textId="77777777" w:rsidR="002661BA" w:rsidRDefault="00D972BC">
      <w:pPr>
        <w:ind w:firstLine="540"/>
        <w:jc w:val="both"/>
      </w:pPr>
      <w:r>
        <w:rPr>
          <w:rFonts w:ascii="Arial" w:eastAsia="宋体" w:hAnsi="Arial" w:cs="Arial"/>
          <w:color w:val="000000"/>
          <w:sz w:val="20"/>
          <w:szCs w:val="20"/>
        </w:rPr>
        <w:t>As of December 31, 2021, we had an aggregate principal amount of $9.1 billion of outstanding senior notes, of which 96% bore interest at fixed rates. During 2020, we began to hedge the variability of the cash flows in interest payments associated</w:t>
      </w:r>
      <w:r>
        <w:rPr>
          <w:rFonts w:ascii="Arial" w:eastAsia="宋体" w:hAnsi="Arial" w:cs="Arial"/>
          <w:color w:val="000000"/>
          <w:sz w:val="20"/>
          <w:szCs w:val="20"/>
        </w:rPr>
        <w:t xml:space="preserve"> with our floating-rate debt using interest rate swaps. These interest rate swap agreements effectively convert our LIBOR-based floating-rate debt to a fixed-rate basis, reducing the impact of interest-rate changes on future interest expense. The total not</w:t>
      </w:r>
      <w:r>
        <w:rPr>
          <w:rFonts w:ascii="Arial" w:eastAsia="宋体" w:hAnsi="Arial" w:cs="Arial"/>
          <w:color w:val="000000"/>
          <w:sz w:val="20"/>
          <w:szCs w:val="20"/>
        </w:rPr>
        <w:t>ional amount of these interest swaps was $400 million as of December 31, 2021 with terms calling for us to receive interest at a variable rate and to pay interest at a fixed rate. Our interest rate swap contracts have maturity dates in 2023. At December 31</w:t>
      </w:r>
      <w:r>
        <w:rPr>
          <w:rFonts w:ascii="Arial" w:eastAsia="宋体" w:hAnsi="Arial" w:cs="Arial"/>
          <w:color w:val="000000"/>
          <w:sz w:val="20"/>
          <w:szCs w:val="20"/>
        </w:rPr>
        <w:t>, 2021, we did not have an unhedged balance on our floating-rate debt. We considered the historical volatility of short-term interest rates and determined that it was reasonably possible that an adverse change of 100 basis points could be experienced in th</w:t>
      </w:r>
      <w:r>
        <w:rPr>
          <w:rFonts w:ascii="Arial" w:eastAsia="宋体" w:hAnsi="Arial" w:cs="Arial"/>
          <w:color w:val="000000"/>
          <w:sz w:val="20"/>
          <w:szCs w:val="20"/>
        </w:rPr>
        <w:t>e near term. A hypothetical 1% (100 basis points) decrease in interest rates would have resulted in a decrease in the fair values of our floating to fixed rate interest swaps of approximately $4 million at December 31, 2021.</w:t>
      </w:r>
    </w:p>
    <w:p w14:paraId="22CFAE3D" w14:textId="77777777" w:rsidR="002661BA" w:rsidRDefault="002661BA">
      <w:pPr>
        <w:ind w:firstLine="540"/>
        <w:jc w:val="both"/>
      </w:pPr>
    </w:p>
    <w:p w14:paraId="22CFAE3E" w14:textId="77777777" w:rsidR="002661BA" w:rsidRDefault="00D972BC">
      <w:pPr>
        <w:ind w:firstLine="540"/>
        <w:jc w:val="both"/>
      </w:pPr>
      <w:r>
        <w:rPr>
          <w:rFonts w:ascii="Arial" w:eastAsia="宋体" w:hAnsi="Arial" w:cs="Arial"/>
          <w:color w:val="000000"/>
          <w:sz w:val="20"/>
          <w:szCs w:val="20"/>
        </w:rPr>
        <w:t>Further changes in interest ra</w:t>
      </w:r>
      <w:r>
        <w:rPr>
          <w:rFonts w:ascii="Arial" w:eastAsia="宋体" w:hAnsi="Arial" w:cs="Arial"/>
          <w:color w:val="000000"/>
          <w:sz w:val="20"/>
          <w:szCs w:val="20"/>
        </w:rPr>
        <w:t>tes will impact interest expense on any borrowings under our revolving credit facility, which bear interest at floating rates, and the interest rate on any commercial paper borrowings we make and any debt securities we may issue in the future and, accordin</w:t>
      </w:r>
      <w:r>
        <w:rPr>
          <w:rFonts w:ascii="Arial" w:eastAsia="宋体" w:hAnsi="Arial" w:cs="Arial"/>
          <w:color w:val="000000"/>
          <w:sz w:val="20"/>
          <w:szCs w:val="20"/>
        </w:rPr>
        <w:t xml:space="preserve">gly, will impact interest expense. For additional details related to our debt, see “Note 10 — Debt” to the consolidated financial statements included in this report. </w:t>
      </w:r>
    </w:p>
    <w:p w14:paraId="22CFAE3F" w14:textId="77777777" w:rsidR="002661BA" w:rsidRDefault="00D972BC">
      <w:pPr>
        <w:jc w:val="both"/>
      </w:pPr>
      <w:r>
        <w:rPr>
          <w:rFonts w:ascii="Arial" w:eastAsia="宋体" w:hAnsi="Arial" w:cs="Arial"/>
          <w:color w:val="000000"/>
          <w:sz w:val="20"/>
          <w:szCs w:val="20"/>
        </w:rPr>
        <w:t> </w:t>
      </w:r>
    </w:p>
    <w:p w14:paraId="22CFAE40" w14:textId="77777777" w:rsidR="002661BA" w:rsidRDefault="00D972BC">
      <w:pPr>
        <w:jc w:val="both"/>
      </w:pPr>
      <w:r>
        <w:rPr>
          <w:rFonts w:ascii="Arial" w:eastAsia="宋体" w:hAnsi="Arial" w:cs="Arial"/>
          <w:b/>
          <w:bCs/>
          <w:i/>
          <w:iCs/>
          <w:color w:val="000000"/>
          <w:sz w:val="20"/>
          <w:szCs w:val="20"/>
        </w:rPr>
        <w:t>Equity Price Risk</w:t>
      </w:r>
    </w:p>
    <w:p w14:paraId="22CFAE41" w14:textId="77777777" w:rsidR="002661BA" w:rsidRDefault="002661BA">
      <w:pPr>
        <w:jc w:val="both"/>
      </w:pPr>
    </w:p>
    <w:p w14:paraId="22CFAE42" w14:textId="77777777" w:rsidR="002661BA" w:rsidRDefault="00D972BC">
      <w:pPr>
        <w:ind w:firstLine="540"/>
        <w:jc w:val="both"/>
      </w:pPr>
      <w:r>
        <w:rPr>
          <w:rFonts w:ascii="Arial" w:eastAsia="宋体" w:hAnsi="Arial" w:cs="Arial"/>
          <w:i/>
          <w:iCs/>
          <w:color w:val="000000"/>
          <w:sz w:val="20"/>
          <w:szCs w:val="20"/>
        </w:rPr>
        <w:t>Equity Investments</w:t>
      </w:r>
    </w:p>
    <w:p w14:paraId="22CFAE43" w14:textId="77777777" w:rsidR="002661BA" w:rsidRDefault="002661BA">
      <w:pPr>
        <w:jc w:val="both"/>
      </w:pPr>
    </w:p>
    <w:p w14:paraId="22CFAE44" w14:textId="77777777" w:rsidR="002661BA" w:rsidRDefault="00D972BC">
      <w:pPr>
        <w:ind w:firstLine="540"/>
        <w:jc w:val="both"/>
      </w:pPr>
      <w:r>
        <w:rPr>
          <w:rFonts w:ascii="Arial" w:eastAsia="宋体" w:hAnsi="Arial" w:cs="Arial"/>
          <w:color w:val="000000"/>
          <w:sz w:val="20"/>
          <w:szCs w:val="20"/>
        </w:rPr>
        <w:t>On June 24, 2021, we completed the transfer of o</w:t>
      </w:r>
      <w:r>
        <w:rPr>
          <w:rFonts w:ascii="Arial" w:eastAsia="宋体" w:hAnsi="Arial" w:cs="Arial"/>
          <w:color w:val="000000"/>
          <w:sz w:val="20"/>
          <w:szCs w:val="20"/>
        </w:rPr>
        <w:t>ur Classifieds business to Adevinta. Upon completion of the transfer we received an equity interest in Adevinta. The equity investment is accounted for under the fair value option and changes in Adevinta’s stock price and equity volatility may have a signi</w:t>
      </w:r>
      <w:r>
        <w:rPr>
          <w:rFonts w:ascii="Arial" w:eastAsia="宋体" w:hAnsi="Arial" w:cs="Arial"/>
          <w:color w:val="000000"/>
          <w:sz w:val="20"/>
          <w:szCs w:val="20"/>
        </w:rPr>
        <w:t>ficant impact on the value of our equity investment in Adevinta. As of December 31, 2021, a one dollar change in Adevinta’s common stock, holding other factors constant, would increase or decrease the fair value of the investment by approximately $405 mill</w:t>
      </w:r>
      <w:r>
        <w:rPr>
          <w:rFonts w:ascii="Arial" w:eastAsia="宋体" w:hAnsi="Arial" w:cs="Arial"/>
          <w:color w:val="000000"/>
          <w:sz w:val="20"/>
          <w:szCs w:val="20"/>
        </w:rPr>
        <w:t xml:space="preserve">ion. </w:t>
      </w:r>
    </w:p>
    <w:p w14:paraId="22CFAE45" w14:textId="77777777" w:rsidR="002661BA" w:rsidRDefault="002661BA">
      <w:pPr>
        <w:ind w:firstLine="540"/>
        <w:jc w:val="both"/>
      </w:pPr>
    </w:p>
    <w:p w14:paraId="22CFAE46" w14:textId="77777777" w:rsidR="002661BA" w:rsidRDefault="00D972BC">
      <w:pPr>
        <w:jc w:val="center"/>
      </w:pPr>
      <w:r>
        <w:rPr>
          <w:rFonts w:ascii="Arial" w:eastAsia="宋体" w:hAnsi="Arial" w:cs="Arial"/>
          <w:color w:val="000000"/>
          <w:sz w:val="18"/>
          <w:szCs w:val="18"/>
        </w:rPr>
        <w:t>49</w:t>
      </w:r>
    </w:p>
    <w:p w14:paraId="22CFAE47" w14:textId="77777777" w:rsidR="002661BA" w:rsidRDefault="00D972BC">
      <w:r>
        <w:pict w14:anchorId="22CFE4E2">
          <v:rect id="_x0000_i1073" style="width:415.3pt;height:1.5pt" o:hralign="center" o:hrstd="t" o:hr="t" fillcolor="#a0a0a0" stroked="f"/>
        </w:pict>
      </w:r>
    </w:p>
    <w:p w14:paraId="22CFAE48" w14:textId="77777777" w:rsidR="002661BA" w:rsidRDefault="00D972BC">
      <w:hyperlink r:id="rId75" w:anchor="id0d7a71b05ce452ea9fdb54f3cb359c7_7" w:history="1">
        <w:r>
          <w:rPr>
            <w:rStyle w:val="a5"/>
            <w:rFonts w:ascii="Arial" w:eastAsia="宋体" w:hAnsi="Arial" w:cs="Arial"/>
            <w:sz w:val="18"/>
            <w:szCs w:val="18"/>
          </w:rPr>
          <w:t>Table of Contents</w:t>
        </w:r>
      </w:hyperlink>
    </w:p>
    <w:p w14:paraId="22CFAE49" w14:textId="77777777" w:rsidR="002661BA" w:rsidRDefault="00D972BC">
      <w:pPr>
        <w:ind w:firstLine="540"/>
        <w:jc w:val="both"/>
      </w:pPr>
      <w:r>
        <w:rPr>
          <w:rFonts w:ascii="Arial" w:eastAsia="宋体" w:hAnsi="Arial" w:cs="Arial"/>
          <w:color w:val="000000"/>
          <w:sz w:val="20"/>
          <w:szCs w:val="20"/>
        </w:rPr>
        <w:t xml:space="preserve">In August 2021 KakaoBank completed its initial public offering, </w:t>
      </w:r>
      <w:r>
        <w:rPr>
          <w:rFonts w:ascii="Arial" w:eastAsia="宋体" w:hAnsi="Arial" w:cs="Arial"/>
          <w:color w:val="000000"/>
          <w:sz w:val="20"/>
          <w:szCs w:val="20"/>
        </w:rPr>
        <w:t>which resulted in this investment having a readily determinable fair value. Previously this investment was accounted for as an equity investment without a readily determinable fair value. Valuation of equity investments with readily determinable fair value</w:t>
      </w:r>
      <w:r>
        <w:rPr>
          <w:rFonts w:ascii="Arial" w:eastAsia="宋体" w:hAnsi="Arial" w:cs="Arial"/>
          <w:color w:val="000000"/>
          <w:sz w:val="20"/>
          <w:szCs w:val="20"/>
        </w:rPr>
        <w:t>s can be obtained from real time quotes in active markets. Changes in KakaoBank’s stock price and equity volatility may have a significant impact on the value of our equity investment in KakaoBank. As of December 31, 2021, a one dollar change in KakaoBank’</w:t>
      </w:r>
      <w:r>
        <w:rPr>
          <w:rFonts w:ascii="Arial" w:eastAsia="宋体" w:hAnsi="Arial" w:cs="Arial"/>
          <w:color w:val="000000"/>
          <w:sz w:val="20"/>
          <w:szCs w:val="20"/>
        </w:rPr>
        <w:t>s common stock, holding other factors constant, would increase or decrease the fair value of the investment by approximately $14 million.</w:t>
      </w:r>
    </w:p>
    <w:p w14:paraId="22CFAE4A" w14:textId="77777777" w:rsidR="002661BA" w:rsidRDefault="002661BA">
      <w:pPr>
        <w:ind w:firstLine="540"/>
        <w:jc w:val="both"/>
      </w:pPr>
    </w:p>
    <w:p w14:paraId="22CFAE4B" w14:textId="77777777" w:rsidR="002661BA" w:rsidRDefault="00D972BC">
      <w:pPr>
        <w:ind w:firstLine="540"/>
        <w:jc w:val="both"/>
      </w:pPr>
      <w:r>
        <w:rPr>
          <w:rFonts w:ascii="Arial" w:eastAsia="宋体" w:hAnsi="Arial" w:cs="Arial"/>
          <w:color w:val="000000"/>
          <w:sz w:val="20"/>
          <w:szCs w:val="20"/>
        </w:rPr>
        <w:t>As further described in the “Warrant” section below, we entered into a warrant agreement in conjunction with a commer</w:t>
      </w:r>
      <w:r>
        <w:rPr>
          <w:rFonts w:ascii="Arial" w:eastAsia="宋体" w:hAnsi="Arial" w:cs="Arial"/>
          <w:color w:val="000000"/>
          <w:sz w:val="20"/>
          <w:szCs w:val="20"/>
        </w:rPr>
        <w:t>cial agreement with Adyen that, subject to meeting certain conditions, entitles us to acquire a fixed number of shares up to 5% of Adyen’s fully diluted issued and outstanding share capital at a specific date. In 2021, we met the processing volume mileston</w:t>
      </w:r>
      <w:r>
        <w:rPr>
          <w:rFonts w:ascii="Arial" w:eastAsia="宋体" w:hAnsi="Arial" w:cs="Arial"/>
          <w:color w:val="000000"/>
          <w:sz w:val="20"/>
          <w:szCs w:val="20"/>
        </w:rPr>
        <w:t xml:space="preserve">e target to vest the first tranche of the warrant. Upon vesting of the first tranche, we exercised the option to purchase shares of Adyen valued at $1.1 billion in exchange for approximately $110 million. Our equity investment in Adyen is accounted for as </w:t>
      </w:r>
      <w:r>
        <w:rPr>
          <w:rFonts w:ascii="Arial" w:eastAsia="宋体" w:hAnsi="Arial" w:cs="Arial"/>
          <w:color w:val="000000"/>
          <w:sz w:val="20"/>
          <w:szCs w:val="20"/>
        </w:rPr>
        <w:t>an equity investment with a readily determinable fair value. Changes in Adyen’s common stock price and equity volatility may have a significant impact on the value of the investment. As of December 31, 2021, a one dollar change in Adyen’s common stock, hol</w:t>
      </w:r>
      <w:r>
        <w:rPr>
          <w:rFonts w:ascii="Arial" w:eastAsia="宋体" w:hAnsi="Arial" w:cs="Arial"/>
          <w:color w:val="000000"/>
          <w:sz w:val="20"/>
          <w:szCs w:val="20"/>
        </w:rPr>
        <w:t>ding other factors constant, would increase or decrease the fair value of the investment by approximately $0.4 million.</w:t>
      </w:r>
    </w:p>
    <w:p w14:paraId="22CFAE4C" w14:textId="77777777" w:rsidR="002661BA" w:rsidRDefault="002661BA">
      <w:pPr>
        <w:ind w:firstLine="540"/>
        <w:jc w:val="both"/>
      </w:pPr>
    </w:p>
    <w:p w14:paraId="22CFAE4D" w14:textId="77777777" w:rsidR="002661BA" w:rsidRDefault="00D972BC">
      <w:pPr>
        <w:ind w:firstLine="540"/>
        <w:jc w:val="both"/>
      </w:pPr>
      <w:r>
        <w:rPr>
          <w:rFonts w:ascii="Arial" w:eastAsia="宋体" w:hAnsi="Arial" w:cs="Arial"/>
          <w:color w:val="000000"/>
          <w:sz w:val="20"/>
          <w:szCs w:val="20"/>
        </w:rPr>
        <w:t xml:space="preserve">Our remaining equity investments are primarily investments in privately-held companies. Our consolidated results of operations include, as a component of gain (loss) on equity investments and warrant, net, our share of the net income or loss of the equity </w:t>
      </w:r>
      <w:r>
        <w:rPr>
          <w:rFonts w:ascii="Arial" w:eastAsia="宋体" w:hAnsi="Arial" w:cs="Arial"/>
          <w:color w:val="000000"/>
          <w:sz w:val="20"/>
          <w:szCs w:val="20"/>
        </w:rPr>
        <w:t xml:space="preserve">investments accounted for under the equity method of accounting, or the change in fair value of the equity method investments accounted for under the fair value option. Equity investments without readily determinable fair values are accounted for at cost, </w:t>
      </w:r>
      <w:r>
        <w:rPr>
          <w:rFonts w:ascii="Arial" w:eastAsia="宋体" w:hAnsi="Arial" w:cs="Arial"/>
          <w:color w:val="000000"/>
          <w:sz w:val="20"/>
          <w:szCs w:val="20"/>
        </w:rPr>
        <w:t>less impairment and adjusted for subsequent observable price changes obtained from orderly transactions for identical or similar investments issued by the same investee. Such changes in the basis of the equity investment are recognized in gain (loss) on eq</w:t>
      </w:r>
      <w:r>
        <w:rPr>
          <w:rFonts w:ascii="Arial" w:eastAsia="宋体" w:hAnsi="Arial" w:cs="Arial"/>
          <w:color w:val="000000"/>
          <w:sz w:val="20"/>
          <w:szCs w:val="20"/>
        </w:rPr>
        <w:t xml:space="preserve">uity investments and warrant, net. </w:t>
      </w:r>
      <w:r>
        <w:rPr>
          <w:rFonts w:ascii="Arial" w:eastAsia="宋体" w:hAnsi="Arial" w:cs="Arial"/>
          <w:color w:val="222222"/>
          <w:sz w:val="20"/>
          <w:szCs w:val="20"/>
        </w:rPr>
        <w:t>Equity investments under the fair value option are measured at fair value based on a quarterly valuation analysis and</w:t>
      </w:r>
      <w:r>
        <w:rPr>
          <w:rFonts w:ascii="Arial" w:eastAsia="宋体" w:hAnsi="Arial" w:cs="Arial"/>
          <w:color w:val="000000"/>
          <w:sz w:val="20"/>
          <w:szCs w:val="20"/>
        </w:rPr>
        <w:t xml:space="preserve"> are classified within Level 3 in the fair value hierarchy as the valuation reflects management’s estima</w:t>
      </w:r>
      <w:r>
        <w:rPr>
          <w:rFonts w:ascii="Arial" w:eastAsia="宋体" w:hAnsi="Arial" w:cs="Arial"/>
          <w:color w:val="000000"/>
          <w:sz w:val="20"/>
          <w:szCs w:val="20"/>
        </w:rPr>
        <w:t xml:space="preserve">te of assumptions that market participants would use in pricing the equity investment. </w:t>
      </w:r>
      <w:r>
        <w:rPr>
          <w:rFonts w:ascii="Arial" w:eastAsia="宋体" w:hAnsi="Arial" w:cs="Arial"/>
          <w:color w:val="222222"/>
          <w:sz w:val="20"/>
          <w:szCs w:val="20"/>
        </w:rPr>
        <w:t>S</w:t>
      </w:r>
      <w:r>
        <w:rPr>
          <w:rFonts w:ascii="Arial" w:eastAsia="宋体" w:hAnsi="Arial" w:cs="Arial"/>
          <w:color w:val="000000"/>
          <w:sz w:val="20"/>
          <w:szCs w:val="20"/>
        </w:rPr>
        <w:t>ubsequent changes in fair value are recognized in gain (loss) on equity investments and warrant, net.</w:t>
      </w:r>
    </w:p>
    <w:p w14:paraId="22CFAE4E" w14:textId="77777777" w:rsidR="002661BA" w:rsidRDefault="002661BA">
      <w:pPr>
        <w:ind w:firstLine="540"/>
        <w:jc w:val="both"/>
      </w:pPr>
    </w:p>
    <w:p w14:paraId="22CFAE4F" w14:textId="77777777" w:rsidR="002661BA" w:rsidRDefault="00D972BC">
      <w:pPr>
        <w:ind w:firstLine="540"/>
        <w:jc w:val="both"/>
      </w:pPr>
      <w:r>
        <w:rPr>
          <w:rFonts w:ascii="Arial" w:eastAsia="宋体" w:hAnsi="Arial" w:cs="Arial"/>
          <w:color w:val="000000"/>
          <w:sz w:val="20"/>
          <w:szCs w:val="20"/>
        </w:rPr>
        <w:t>As of December 31, 2021, our equity investments totaled $8.0 bill</w:t>
      </w:r>
      <w:r>
        <w:rPr>
          <w:rFonts w:ascii="Arial" w:eastAsia="宋体" w:hAnsi="Arial" w:cs="Arial"/>
          <w:color w:val="000000"/>
          <w:sz w:val="20"/>
          <w:szCs w:val="20"/>
        </w:rPr>
        <w:t xml:space="preserve">ion, which represented approximately 52% of our total cash and investments, and primarily related to our equity investment in Adevinta. </w:t>
      </w:r>
    </w:p>
    <w:p w14:paraId="22CFAE50" w14:textId="77777777" w:rsidR="002661BA" w:rsidRDefault="002661BA">
      <w:pPr>
        <w:ind w:firstLine="540"/>
        <w:jc w:val="both"/>
      </w:pPr>
    </w:p>
    <w:p w14:paraId="22CFAE51" w14:textId="77777777" w:rsidR="002661BA" w:rsidRDefault="00D972BC">
      <w:pPr>
        <w:ind w:firstLine="540"/>
        <w:jc w:val="both"/>
      </w:pPr>
      <w:r>
        <w:rPr>
          <w:rFonts w:ascii="Arial" w:eastAsia="宋体" w:hAnsi="Arial" w:cs="Arial"/>
          <w:color w:val="000000"/>
          <w:sz w:val="20"/>
          <w:szCs w:val="20"/>
        </w:rPr>
        <w:t>For additional details related to our investments, please see “Note 6 — Investments” to our consolidated financial sta</w:t>
      </w:r>
      <w:r>
        <w:rPr>
          <w:rFonts w:ascii="Arial" w:eastAsia="宋体" w:hAnsi="Arial" w:cs="Arial"/>
          <w:color w:val="000000"/>
          <w:sz w:val="20"/>
          <w:szCs w:val="20"/>
        </w:rPr>
        <w:t>tements included in this report.</w:t>
      </w:r>
    </w:p>
    <w:p w14:paraId="22CFAE52" w14:textId="77777777" w:rsidR="002661BA" w:rsidRDefault="002661BA">
      <w:pPr>
        <w:ind w:firstLine="540"/>
        <w:jc w:val="both"/>
      </w:pPr>
    </w:p>
    <w:p w14:paraId="22CFAE53" w14:textId="77777777" w:rsidR="002661BA" w:rsidRDefault="00D972BC">
      <w:pPr>
        <w:ind w:firstLine="540"/>
        <w:jc w:val="both"/>
      </w:pPr>
      <w:r>
        <w:rPr>
          <w:rFonts w:ascii="Arial" w:eastAsia="宋体" w:hAnsi="Arial" w:cs="Arial"/>
          <w:i/>
          <w:iCs/>
          <w:color w:val="000000"/>
          <w:sz w:val="20"/>
          <w:szCs w:val="20"/>
        </w:rPr>
        <w:t>Warrant</w:t>
      </w:r>
    </w:p>
    <w:p w14:paraId="22CFAE54" w14:textId="77777777" w:rsidR="002661BA" w:rsidRDefault="002661BA">
      <w:pPr>
        <w:ind w:firstLine="540"/>
        <w:jc w:val="both"/>
      </w:pPr>
    </w:p>
    <w:p w14:paraId="22CFAE55" w14:textId="77777777" w:rsidR="002661BA" w:rsidRDefault="00D972BC">
      <w:pPr>
        <w:ind w:firstLine="540"/>
        <w:jc w:val="both"/>
      </w:pPr>
      <w:r>
        <w:rPr>
          <w:rFonts w:ascii="Arial" w:eastAsia="宋体" w:hAnsi="Arial" w:cs="Arial"/>
          <w:color w:val="000000"/>
          <w:sz w:val="20"/>
          <w:szCs w:val="20"/>
        </w:rPr>
        <w:t>We entered into a warrant agreement in conjunction with a commercial agreement with Adyen that, subject to meeting certain conditions, entitles us to acquire a fixed number of shares up to 5% of Adyen’s fully dilu</w:t>
      </w:r>
      <w:r>
        <w:rPr>
          <w:rFonts w:ascii="Arial" w:eastAsia="宋体" w:hAnsi="Arial" w:cs="Arial"/>
          <w:color w:val="000000"/>
          <w:sz w:val="20"/>
          <w:szCs w:val="20"/>
        </w:rPr>
        <w:t xml:space="preserve">ted issued and outstanding share capital at a specific date. As discussed above, in 2021 we met the processing volume milestone target to vest the first tranche of the warrant, and we exercised the option to purchase shares of Adyen valued at $1.1 billion </w:t>
      </w:r>
      <w:r>
        <w:rPr>
          <w:rFonts w:ascii="Arial" w:eastAsia="宋体" w:hAnsi="Arial" w:cs="Arial"/>
          <w:color w:val="000000"/>
          <w:sz w:val="20"/>
          <w:szCs w:val="20"/>
        </w:rPr>
        <w:t xml:space="preserve">in exchange for approximately $110 million. The remaining tranches of the warrant are accounted for as a derivative instrument under ASC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xml:space="preserve">. Changes in Adyen’s common stock price and equity volatility may have a significant </w:t>
      </w:r>
      <w:r>
        <w:rPr>
          <w:rFonts w:ascii="Arial" w:eastAsia="宋体" w:hAnsi="Arial" w:cs="Arial"/>
          <w:color w:val="000000"/>
          <w:sz w:val="20"/>
          <w:szCs w:val="20"/>
        </w:rPr>
        <w:t>impact on the value of the warrant. As of December 31, 2021, a one dollar change in Adyen’s common stock, holding other factors constant, would increase or decrease the fair value of the warrant by $0.2 million. For additional details related to the warran</w:t>
      </w:r>
      <w:r>
        <w:rPr>
          <w:rFonts w:ascii="Arial" w:eastAsia="宋体" w:hAnsi="Arial" w:cs="Arial"/>
          <w:color w:val="000000"/>
          <w:sz w:val="20"/>
          <w:szCs w:val="20"/>
        </w:rPr>
        <w:t>t, please see “Note 7 — Derivative Instruments” to our consolidated financial statements included in this report.</w:t>
      </w:r>
    </w:p>
    <w:p w14:paraId="22CFAE56" w14:textId="77777777" w:rsidR="002661BA" w:rsidRDefault="002661BA">
      <w:pPr>
        <w:ind w:firstLine="495"/>
        <w:jc w:val="both"/>
      </w:pPr>
    </w:p>
    <w:p w14:paraId="22CFAE57" w14:textId="77777777" w:rsidR="002661BA" w:rsidRDefault="00D972BC">
      <w:pPr>
        <w:jc w:val="both"/>
      </w:pPr>
      <w:r>
        <w:rPr>
          <w:rFonts w:ascii="Arial" w:eastAsia="宋体" w:hAnsi="Arial" w:cs="Arial"/>
          <w:b/>
          <w:bCs/>
          <w:i/>
          <w:iCs/>
          <w:color w:val="000000"/>
          <w:sz w:val="20"/>
          <w:szCs w:val="20"/>
        </w:rPr>
        <w:t>Foreign Currency Risk</w:t>
      </w:r>
    </w:p>
    <w:p w14:paraId="22CFAE58" w14:textId="77777777" w:rsidR="002661BA" w:rsidRDefault="002661BA">
      <w:pPr>
        <w:jc w:val="both"/>
      </w:pPr>
    </w:p>
    <w:p w14:paraId="22CFAE59" w14:textId="77777777" w:rsidR="002661BA" w:rsidRDefault="00D972BC">
      <w:pPr>
        <w:ind w:firstLine="540"/>
        <w:jc w:val="both"/>
      </w:pPr>
      <w:r>
        <w:rPr>
          <w:rFonts w:ascii="Arial" w:eastAsia="宋体" w:hAnsi="Arial" w:cs="Arial"/>
          <w:color w:val="000000"/>
          <w:sz w:val="20"/>
          <w:szCs w:val="20"/>
        </w:rPr>
        <w:t>Our commerce platforms operate globally, resulting in certain revenues and costs that are denominated in foreign curre</w:t>
      </w:r>
      <w:r>
        <w:rPr>
          <w:rFonts w:ascii="Arial" w:eastAsia="宋体" w:hAnsi="Arial" w:cs="Arial"/>
          <w:color w:val="000000"/>
          <w:sz w:val="20"/>
          <w:szCs w:val="20"/>
        </w:rPr>
        <w:t>ncies, primarily the British pound and euro, subjecting us to foreign currency risk, which may adversely impact our financial results. We transact business in various foreign currencies and have significant international revenues as well as costs. In addit</w:t>
      </w:r>
      <w:r>
        <w:rPr>
          <w:rFonts w:ascii="Arial" w:eastAsia="宋体" w:hAnsi="Arial" w:cs="Arial"/>
          <w:color w:val="000000"/>
          <w:sz w:val="20"/>
          <w:szCs w:val="20"/>
        </w:rPr>
        <w:t>ion, we charge our international subsidiaries for their use of intellectual property and technology and for certain corporate services we provide. Our cash flow, results of operations that are exposed to foreign exchange rate fluctuations may differ materi</w:t>
      </w:r>
      <w:r>
        <w:rPr>
          <w:rFonts w:ascii="Arial" w:eastAsia="宋体" w:hAnsi="Arial" w:cs="Arial"/>
          <w:color w:val="000000"/>
          <w:sz w:val="20"/>
          <w:szCs w:val="20"/>
        </w:rPr>
        <w:t>ally from expectations and we may record significant gains or losses due to foreign currency fluctuations and related hedging activities.</w:t>
      </w:r>
    </w:p>
    <w:p w14:paraId="22CFAE5A" w14:textId="77777777" w:rsidR="002661BA" w:rsidRDefault="002661BA">
      <w:pPr>
        <w:jc w:val="both"/>
      </w:pPr>
    </w:p>
    <w:p w14:paraId="22CFAE5B" w14:textId="77777777" w:rsidR="002661BA" w:rsidRDefault="00D972BC">
      <w:pPr>
        <w:jc w:val="center"/>
      </w:pPr>
      <w:r>
        <w:rPr>
          <w:rFonts w:ascii="Arial" w:eastAsia="宋体" w:hAnsi="Arial" w:cs="Arial"/>
          <w:color w:val="000000"/>
          <w:sz w:val="18"/>
          <w:szCs w:val="18"/>
        </w:rPr>
        <w:t>50</w:t>
      </w:r>
    </w:p>
    <w:p w14:paraId="22CFAE5C" w14:textId="77777777" w:rsidR="002661BA" w:rsidRDefault="00D972BC">
      <w:r>
        <w:pict w14:anchorId="22CFE4E3">
          <v:rect id="_x0000_i1074" style="width:415.3pt;height:1.5pt" o:hralign="center" o:hrstd="t" o:hr="t" fillcolor="#a0a0a0" stroked="f"/>
        </w:pict>
      </w:r>
    </w:p>
    <w:p w14:paraId="22CFAE5D" w14:textId="77777777" w:rsidR="002661BA" w:rsidRDefault="00D972BC">
      <w:hyperlink r:id="rId76" w:anchor="id0d7a71b05ce452ea9fdb54f3cb359c7_7" w:history="1">
        <w:r>
          <w:rPr>
            <w:rStyle w:val="a5"/>
            <w:rFonts w:ascii="Arial" w:eastAsia="宋体" w:hAnsi="Arial" w:cs="Arial"/>
            <w:sz w:val="18"/>
            <w:szCs w:val="18"/>
          </w:rPr>
          <w:t>Table of Contents</w:t>
        </w:r>
      </w:hyperlink>
    </w:p>
    <w:p w14:paraId="22CFAE5E" w14:textId="77777777" w:rsidR="002661BA" w:rsidRDefault="00D972BC">
      <w:pPr>
        <w:ind w:firstLine="540"/>
        <w:jc w:val="both"/>
      </w:pPr>
      <w:r>
        <w:rPr>
          <w:rFonts w:ascii="Arial" w:eastAsia="宋体" w:hAnsi="Arial" w:cs="Arial"/>
          <w:color w:val="000000"/>
          <w:sz w:val="20"/>
          <w:szCs w:val="20"/>
        </w:rPr>
        <w:t>We have a foreign exchange exposure management program designed to identify material foreign currency exposures, manage these exposures and reduce the potential effects of currency fluctuations on our reported consolidated cash flows and results of operati</w:t>
      </w:r>
      <w:r>
        <w:rPr>
          <w:rFonts w:ascii="Arial" w:eastAsia="宋体" w:hAnsi="Arial" w:cs="Arial"/>
          <w:color w:val="000000"/>
          <w:sz w:val="20"/>
          <w:szCs w:val="20"/>
        </w:rPr>
        <w:t xml:space="preserve">ons through the purchase of foreign currency exchange contracts. The effectiveness of the program and resulting usage of foreign exchange derivative contracts is at times limited by our ability to achieve cash flow hedge accounting. For additional details </w:t>
      </w:r>
      <w:r>
        <w:rPr>
          <w:rFonts w:ascii="Arial" w:eastAsia="宋体" w:hAnsi="Arial" w:cs="Arial"/>
          <w:color w:val="000000"/>
          <w:sz w:val="20"/>
          <w:szCs w:val="20"/>
        </w:rPr>
        <w:t xml:space="preserve">related to our derivative instruments, please see “Note 7 — Derivative Instruments” to our consolidated financial statements included in this report. </w:t>
      </w:r>
    </w:p>
    <w:p w14:paraId="22CFAE5F" w14:textId="77777777" w:rsidR="002661BA" w:rsidRDefault="002661BA">
      <w:pPr>
        <w:ind w:firstLine="540"/>
        <w:jc w:val="both"/>
      </w:pPr>
    </w:p>
    <w:p w14:paraId="22CFAE60" w14:textId="77777777" w:rsidR="002661BA" w:rsidRDefault="00D972BC">
      <w:pPr>
        <w:ind w:firstLine="540"/>
        <w:jc w:val="both"/>
      </w:pPr>
      <w:r>
        <w:rPr>
          <w:rFonts w:ascii="Arial" w:eastAsia="宋体" w:hAnsi="Arial" w:cs="Arial"/>
          <w:color w:val="000000"/>
          <w:sz w:val="20"/>
          <w:szCs w:val="20"/>
        </w:rPr>
        <w:t>We use foreign exchange derivative contracts to help protect our forecasted U.S. dollar-equivalent earni</w:t>
      </w:r>
      <w:r>
        <w:rPr>
          <w:rFonts w:ascii="Arial" w:eastAsia="宋体" w:hAnsi="Arial" w:cs="Arial"/>
          <w:color w:val="000000"/>
          <w:sz w:val="20"/>
          <w:szCs w:val="20"/>
        </w:rPr>
        <w:t>ngs from adverse changes in foreign currency exchange rates. These hedging contracts reduce, but do not entirely eliminate, the impact of adverse currency exchange rate movements. Most of these contracts are designated as cash flow hedges for accounting pu</w:t>
      </w:r>
      <w:r>
        <w:rPr>
          <w:rFonts w:ascii="Arial" w:eastAsia="宋体" w:hAnsi="Arial" w:cs="Arial"/>
          <w:color w:val="000000"/>
          <w:sz w:val="20"/>
          <w:szCs w:val="20"/>
        </w:rPr>
        <w:t>rposes. For qualifying cash flow hedges, the derivative’s gain or loss is initially reported as a component of accumulated other comprehensive income (“AOCI”) and subsequently reclassified into earnings in the same period the forecasted transaction affects</w:t>
      </w:r>
      <w:r>
        <w:rPr>
          <w:rFonts w:ascii="Arial" w:eastAsia="宋体" w:hAnsi="Arial" w:cs="Arial"/>
          <w:color w:val="000000"/>
          <w:sz w:val="20"/>
          <w:szCs w:val="20"/>
        </w:rPr>
        <w:t xml:space="preserve"> earnings. For contracts not designated as cash flow hedges for accounting purposes, the derivative’s gain or loss is recognized immediately in earnings in our consolidated statement of income. However, only certain revenue and costs are eligible for cash </w:t>
      </w:r>
      <w:r>
        <w:rPr>
          <w:rFonts w:ascii="Arial" w:eastAsia="宋体" w:hAnsi="Arial" w:cs="Arial"/>
          <w:color w:val="000000"/>
          <w:sz w:val="20"/>
          <w:szCs w:val="20"/>
        </w:rPr>
        <w:t xml:space="preserve">flow hedge accounting. </w:t>
      </w:r>
    </w:p>
    <w:p w14:paraId="22CFAE61" w14:textId="77777777" w:rsidR="002661BA" w:rsidRDefault="002661BA">
      <w:pPr>
        <w:jc w:val="both"/>
      </w:pPr>
    </w:p>
    <w:p w14:paraId="22CFAE62" w14:textId="77777777" w:rsidR="002661BA" w:rsidRDefault="00D972BC">
      <w:pPr>
        <w:spacing w:after="120"/>
        <w:ind w:firstLine="540"/>
        <w:jc w:val="both"/>
      </w:pPr>
      <w:r>
        <w:rPr>
          <w:rFonts w:ascii="Arial" w:eastAsia="宋体" w:hAnsi="Arial" w:cs="Arial"/>
          <w:color w:val="000000"/>
          <w:sz w:val="20"/>
          <w:szCs w:val="20"/>
        </w:rPr>
        <w:t>The following table illustrates the fair values of outstanding foreign exchange contracts designated as cash flow hedges and the before-tax effect on fair values of a hypothetical adverse change in the foreign exchange rates that e</w:t>
      </w:r>
      <w:r>
        <w:rPr>
          <w:rFonts w:ascii="Arial" w:eastAsia="宋体" w:hAnsi="Arial" w:cs="Arial"/>
          <w:color w:val="000000"/>
          <w:sz w:val="20"/>
          <w:szCs w:val="20"/>
        </w:rPr>
        <w:t>xisted as of December 31, 2021. The sensitivity for foreign currency contracts is based on a 20% adverse change in foreign exchange rates, against relevant functional currencies.</w:t>
      </w:r>
    </w:p>
    <w:tbl>
      <w:tblPr>
        <w:tblW w:w="5000" w:type="pct"/>
        <w:tblCellMar>
          <w:top w:w="15" w:type="dxa"/>
          <w:left w:w="15" w:type="dxa"/>
          <w:bottom w:w="15" w:type="dxa"/>
          <w:right w:w="15" w:type="dxa"/>
        </w:tblCellMar>
        <w:tblLook w:val="04A0" w:firstRow="1" w:lastRow="0" w:firstColumn="1" w:lastColumn="0" w:noHBand="0" w:noVBand="1"/>
      </w:tblPr>
      <w:tblGrid>
        <w:gridCol w:w="37"/>
        <w:gridCol w:w="5724"/>
        <w:gridCol w:w="36"/>
        <w:gridCol w:w="122"/>
        <w:gridCol w:w="1200"/>
        <w:gridCol w:w="36"/>
        <w:gridCol w:w="36"/>
        <w:gridCol w:w="36"/>
        <w:gridCol w:w="36"/>
        <w:gridCol w:w="122"/>
        <w:gridCol w:w="915"/>
        <w:gridCol w:w="36"/>
      </w:tblGrid>
      <w:tr w:rsidR="002661BA" w14:paraId="22CFAE6F" w14:textId="77777777">
        <w:tc>
          <w:tcPr>
            <w:tcW w:w="50" w:type="pct"/>
            <w:shd w:val="clear" w:color="auto" w:fill="auto"/>
            <w:vAlign w:val="bottom"/>
          </w:tcPr>
          <w:p w14:paraId="22CFAE63" w14:textId="77777777" w:rsidR="002661BA" w:rsidRDefault="002661BA">
            <w:pPr>
              <w:rPr>
                <w:rFonts w:ascii="宋体"/>
              </w:rPr>
            </w:pPr>
          </w:p>
        </w:tc>
        <w:tc>
          <w:tcPr>
            <w:tcW w:w="3556" w:type="pct"/>
            <w:shd w:val="clear" w:color="auto" w:fill="auto"/>
            <w:vAlign w:val="bottom"/>
          </w:tcPr>
          <w:p w14:paraId="22CFAE64" w14:textId="77777777" w:rsidR="002661BA" w:rsidRDefault="002661BA">
            <w:pPr>
              <w:rPr>
                <w:rFonts w:ascii="宋体"/>
              </w:rPr>
            </w:pPr>
          </w:p>
        </w:tc>
        <w:tc>
          <w:tcPr>
            <w:tcW w:w="5" w:type="pct"/>
            <w:shd w:val="clear" w:color="auto" w:fill="auto"/>
            <w:vAlign w:val="bottom"/>
          </w:tcPr>
          <w:p w14:paraId="22CFAE65" w14:textId="77777777" w:rsidR="002661BA" w:rsidRDefault="002661BA">
            <w:pPr>
              <w:rPr>
                <w:rFonts w:ascii="宋体"/>
              </w:rPr>
            </w:pPr>
          </w:p>
        </w:tc>
        <w:tc>
          <w:tcPr>
            <w:tcW w:w="50" w:type="pct"/>
            <w:shd w:val="clear" w:color="auto" w:fill="auto"/>
            <w:vAlign w:val="bottom"/>
          </w:tcPr>
          <w:p w14:paraId="22CFAE66" w14:textId="77777777" w:rsidR="002661BA" w:rsidRDefault="002661BA">
            <w:pPr>
              <w:rPr>
                <w:rFonts w:ascii="宋体"/>
              </w:rPr>
            </w:pPr>
          </w:p>
        </w:tc>
        <w:tc>
          <w:tcPr>
            <w:tcW w:w="624" w:type="pct"/>
            <w:shd w:val="clear" w:color="auto" w:fill="auto"/>
            <w:vAlign w:val="bottom"/>
          </w:tcPr>
          <w:p w14:paraId="22CFAE67" w14:textId="77777777" w:rsidR="002661BA" w:rsidRDefault="002661BA">
            <w:pPr>
              <w:rPr>
                <w:rFonts w:ascii="宋体"/>
              </w:rPr>
            </w:pPr>
          </w:p>
        </w:tc>
        <w:tc>
          <w:tcPr>
            <w:tcW w:w="5" w:type="pct"/>
            <w:shd w:val="clear" w:color="auto" w:fill="auto"/>
            <w:vAlign w:val="bottom"/>
          </w:tcPr>
          <w:p w14:paraId="22CFAE68" w14:textId="77777777" w:rsidR="002661BA" w:rsidRDefault="002661BA">
            <w:pPr>
              <w:rPr>
                <w:rFonts w:ascii="宋体"/>
              </w:rPr>
            </w:pPr>
          </w:p>
        </w:tc>
        <w:tc>
          <w:tcPr>
            <w:tcW w:w="5" w:type="pct"/>
            <w:shd w:val="clear" w:color="auto" w:fill="auto"/>
            <w:vAlign w:val="bottom"/>
          </w:tcPr>
          <w:p w14:paraId="22CFAE69" w14:textId="77777777" w:rsidR="002661BA" w:rsidRDefault="002661BA">
            <w:pPr>
              <w:rPr>
                <w:rFonts w:ascii="宋体"/>
              </w:rPr>
            </w:pPr>
          </w:p>
        </w:tc>
        <w:tc>
          <w:tcPr>
            <w:tcW w:w="19" w:type="pct"/>
            <w:shd w:val="clear" w:color="auto" w:fill="auto"/>
            <w:vAlign w:val="bottom"/>
          </w:tcPr>
          <w:p w14:paraId="22CFAE6A" w14:textId="77777777" w:rsidR="002661BA" w:rsidRDefault="002661BA">
            <w:pPr>
              <w:rPr>
                <w:rFonts w:ascii="宋体"/>
              </w:rPr>
            </w:pPr>
          </w:p>
        </w:tc>
        <w:tc>
          <w:tcPr>
            <w:tcW w:w="5" w:type="pct"/>
            <w:shd w:val="clear" w:color="auto" w:fill="auto"/>
            <w:vAlign w:val="bottom"/>
          </w:tcPr>
          <w:p w14:paraId="22CFAE6B" w14:textId="77777777" w:rsidR="002661BA" w:rsidRDefault="002661BA">
            <w:pPr>
              <w:rPr>
                <w:rFonts w:ascii="宋体"/>
              </w:rPr>
            </w:pPr>
          </w:p>
        </w:tc>
        <w:tc>
          <w:tcPr>
            <w:tcW w:w="50" w:type="pct"/>
            <w:shd w:val="clear" w:color="auto" w:fill="auto"/>
            <w:vAlign w:val="bottom"/>
          </w:tcPr>
          <w:p w14:paraId="22CFAE6C" w14:textId="77777777" w:rsidR="002661BA" w:rsidRDefault="002661BA">
            <w:pPr>
              <w:rPr>
                <w:rFonts w:ascii="宋体"/>
              </w:rPr>
            </w:pPr>
          </w:p>
        </w:tc>
        <w:tc>
          <w:tcPr>
            <w:tcW w:w="624" w:type="pct"/>
            <w:shd w:val="clear" w:color="auto" w:fill="auto"/>
            <w:vAlign w:val="bottom"/>
          </w:tcPr>
          <w:p w14:paraId="22CFAE6D" w14:textId="77777777" w:rsidR="002661BA" w:rsidRDefault="002661BA">
            <w:pPr>
              <w:rPr>
                <w:rFonts w:ascii="宋体"/>
              </w:rPr>
            </w:pPr>
          </w:p>
        </w:tc>
        <w:tc>
          <w:tcPr>
            <w:tcW w:w="5" w:type="pct"/>
            <w:shd w:val="clear" w:color="auto" w:fill="auto"/>
            <w:vAlign w:val="bottom"/>
          </w:tcPr>
          <w:p w14:paraId="22CFAE6E" w14:textId="77777777" w:rsidR="002661BA" w:rsidRDefault="002661BA">
            <w:pPr>
              <w:rPr>
                <w:rFonts w:ascii="宋体"/>
              </w:rPr>
            </w:pPr>
          </w:p>
        </w:tc>
      </w:tr>
      <w:tr w:rsidR="002661BA" w14:paraId="22CFAE74" w14:textId="77777777">
        <w:tc>
          <w:tcPr>
            <w:tcW w:w="0" w:type="auto"/>
            <w:gridSpan w:val="3"/>
            <w:shd w:val="clear" w:color="auto" w:fill="auto"/>
            <w:tcMar>
              <w:top w:w="40" w:type="dxa"/>
              <w:left w:w="20" w:type="dxa"/>
              <w:bottom w:w="40" w:type="dxa"/>
              <w:right w:w="20" w:type="dxa"/>
            </w:tcMar>
            <w:vAlign w:val="bottom"/>
          </w:tcPr>
          <w:p w14:paraId="22CFAE70" w14:textId="77777777" w:rsidR="002661BA" w:rsidRDefault="00D972BC">
            <w:pPr>
              <w:textAlignment w:val="bottom"/>
            </w:pPr>
            <w:r>
              <w:rPr>
                <w:rFonts w:ascii="Arial" w:eastAsia="宋体" w:hAnsi="Arial" w:cs="Arial"/>
                <w:color w:val="000000"/>
                <w:sz w:val="14"/>
                <w:szCs w:val="14"/>
              </w:rPr>
              <w:t> </w:t>
            </w:r>
          </w:p>
        </w:tc>
        <w:tc>
          <w:tcPr>
            <w:tcW w:w="0" w:type="auto"/>
            <w:gridSpan w:val="3"/>
            <w:shd w:val="clear" w:color="auto" w:fill="auto"/>
            <w:tcMar>
              <w:top w:w="40" w:type="dxa"/>
              <w:left w:w="20" w:type="dxa"/>
              <w:bottom w:w="40" w:type="dxa"/>
              <w:right w:w="20" w:type="dxa"/>
            </w:tcMar>
            <w:vAlign w:val="bottom"/>
          </w:tcPr>
          <w:p w14:paraId="22CFAE71" w14:textId="77777777" w:rsidR="002661BA" w:rsidRDefault="00D972BC">
            <w:pPr>
              <w:jc w:val="center"/>
              <w:textAlignment w:val="bottom"/>
            </w:pPr>
            <w:r>
              <w:rPr>
                <w:rFonts w:ascii="Arial" w:eastAsia="宋体" w:hAnsi="Arial" w:cs="Arial"/>
                <w:b/>
                <w:bCs/>
                <w:color w:val="000000"/>
                <w:sz w:val="17"/>
                <w:szCs w:val="17"/>
              </w:rPr>
              <w:t>Fair Value Asset/(Liability)</w:t>
            </w:r>
          </w:p>
        </w:tc>
        <w:tc>
          <w:tcPr>
            <w:tcW w:w="0" w:type="auto"/>
            <w:gridSpan w:val="3"/>
            <w:shd w:val="clear" w:color="auto" w:fill="auto"/>
            <w:tcMar>
              <w:top w:w="0" w:type="dxa"/>
              <w:left w:w="20" w:type="dxa"/>
              <w:bottom w:w="0" w:type="dxa"/>
              <w:right w:w="20" w:type="dxa"/>
            </w:tcMar>
            <w:vAlign w:val="bottom"/>
          </w:tcPr>
          <w:p w14:paraId="22CFAE72" w14:textId="77777777" w:rsidR="002661BA" w:rsidRDefault="002661B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2CFAE73" w14:textId="77777777" w:rsidR="002661BA" w:rsidRDefault="00D972BC">
            <w:pPr>
              <w:jc w:val="center"/>
              <w:textAlignment w:val="bottom"/>
            </w:pPr>
            <w:r>
              <w:rPr>
                <w:rFonts w:ascii="Arial" w:eastAsia="宋体" w:hAnsi="Arial" w:cs="Arial"/>
                <w:b/>
                <w:bCs/>
                <w:color w:val="000000"/>
                <w:sz w:val="17"/>
                <w:szCs w:val="17"/>
              </w:rPr>
              <w:t xml:space="preserve">Fair Value </w:t>
            </w:r>
            <w:r>
              <w:rPr>
                <w:rFonts w:ascii="Arial" w:eastAsia="宋体" w:hAnsi="Arial" w:cs="Arial"/>
                <w:b/>
                <w:bCs/>
                <w:color w:val="000000"/>
                <w:sz w:val="17"/>
                <w:szCs w:val="17"/>
              </w:rPr>
              <w:t>Sensitivity</w:t>
            </w:r>
          </w:p>
        </w:tc>
      </w:tr>
      <w:tr w:rsidR="002661BA" w14:paraId="22CFAE77" w14:textId="77777777">
        <w:tc>
          <w:tcPr>
            <w:tcW w:w="0" w:type="auto"/>
            <w:gridSpan w:val="3"/>
            <w:shd w:val="clear" w:color="auto" w:fill="auto"/>
            <w:tcMar>
              <w:top w:w="0" w:type="dxa"/>
              <w:left w:w="20" w:type="dxa"/>
              <w:bottom w:w="0" w:type="dxa"/>
              <w:right w:w="20" w:type="dxa"/>
            </w:tcMar>
            <w:vAlign w:val="bottom"/>
          </w:tcPr>
          <w:p w14:paraId="22CFAE75" w14:textId="77777777" w:rsidR="002661BA" w:rsidRDefault="002661B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2CFAE76" w14:textId="77777777" w:rsidR="002661BA" w:rsidRDefault="00D972BC">
            <w:pPr>
              <w:jc w:val="center"/>
              <w:textAlignment w:val="bottom"/>
            </w:pPr>
            <w:r>
              <w:rPr>
                <w:rFonts w:ascii="Arial" w:eastAsia="宋体" w:hAnsi="Arial" w:cs="Arial"/>
                <w:b/>
                <w:bCs/>
                <w:color w:val="000000"/>
                <w:sz w:val="17"/>
                <w:szCs w:val="17"/>
              </w:rPr>
              <w:t>(In millions)</w:t>
            </w:r>
          </w:p>
        </w:tc>
      </w:tr>
      <w:tr w:rsidR="002661BA" w14:paraId="22CFAE80" w14:textId="77777777">
        <w:tc>
          <w:tcPr>
            <w:tcW w:w="0" w:type="auto"/>
            <w:gridSpan w:val="3"/>
            <w:shd w:val="clear" w:color="auto" w:fill="E2E2E2"/>
            <w:tcMar>
              <w:top w:w="40" w:type="dxa"/>
              <w:left w:w="20" w:type="dxa"/>
              <w:bottom w:w="40" w:type="dxa"/>
              <w:right w:w="20" w:type="dxa"/>
            </w:tcMar>
            <w:vAlign w:val="bottom"/>
          </w:tcPr>
          <w:p w14:paraId="22CFAE78" w14:textId="77777777" w:rsidR="002661BA" w:rsidRDefault="00D972BC">
            <w:pPr>
              <w:textAlignment w:val="bottom"/>
            </w:pPr>
            <w:r>
              <w:rPr>
                <w:rFonts w:ascii="Arial" w:eastAsia="宋体" w:hAnsi="Arial" w:cs="Arial"/>
                <w:color w:val="000000"/>
                <w:sz w:val="18"/>
                <w:szCs w:val="18"/>
              </w:rPr>
              <w:t>Foreign exchange contracts - Cash flow hedges</w:t>
            </w:r>
          </w:p>
        </w:tc>
        <w:tc>
          <w:tcPr>
            <w:tcW w:w="0" w:type="auto"/>
            <w:shd w:val="clear" w:color="auto" w:fill="E2E2E2"/>
            <w:tcMar>
              <w:top w:w="40" w:type="dxa"/>
              <w:left w:w="20" w:type="dxa"/>
              <w:bottom w:w="40" w:type="dxa"/>
              <w:right w:w="0" w:type="dxa"/>
            </w:tcMar>
            <w:vAlign w:val="bottom"/>
          </w:tcPr>
          <w:p w14:paraId="22CFAE7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AE7A" w14:textId="77777777" w:rsidR="002661BA" w:rsidRDefault="00D972BC">
            <w:pPr>
              <w:jc w:val="right"/>
              <w:textAlignment w:val="bottom"/>
            </w:pPr>
            <w:r>
              <w:rPr>
                <w:rFonts w:ascii="Arial" w:eastAsia="宋体" w:hAnsi="Arial" w:cs="Arial"/>
                <w:color w:val="000000"/>
                <w:sz w:val="18"/>
                <w:szCs w:val="18"/>
              </w:rPr>
              <w:t>87 </w:t>
            </w:r>
          </w:p>
        </w:tc>
        <w:tc>
          <w:tcPr>
            <w:tcW w:w="0" w:type="auto"/>
            <w:shd w:val="clear" w:color="auto" w:fill="E2E2E2"/>
            <w:tcMar>
              <w:top w:w="40" w:type="dxa"/>
              <w:left w:w="0" w:type="dxa"/>
              <w:bottom w:w="40" w:type="dxa"/>
              <w:right w:w="20" w:type="dxa"/>
            </w:tcMar>
            <w:vAlign w:val="bottom"/>
          </w:tcPr>
          <w:p w14:paraId="22CFAE7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E7C"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AE7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AE7E" w14:textId="77777777" w:rsidR="002661BA" w:rsidRDefault="00D972BC">
            <w:pPr>
              <w:jc w:val="right"/>
              <w:textAlignment w:val="bottom"/>
            </w:pPr>
            <w:r>
              <w:rPr>
                <w:rFonts w:ascii="Arial" w:eastAsia="宋体" w:hAnsi="Arial" w:cs="Arial"/>
                <w:color w:val="000000"/>
                <w:sz w:val="18"/>
                <w:szCs w:val="18"/>
              </w:rPr>
              <w:t>(113)</w:t>
            </w:r>
          </w:p>
        </w:tc>
        <w:tc>
          <w:tcPr>
            <w:tcW w:w="0" w:type="auto"/>
            <w:shd w:val="clear" w:color="auto" w:fill="E2E2E2"/>
            <w:tcMar>
              <w:top w:w="40" w:type="dxa"/>
              <w:left w:w="0" w:type="dxa"/>
              <w:bottom w:w="40" w:type="dxa"/>
              <w:right w:w="20" w:type="dxa"/>
            </w:tcMar>
            <w:vAlign w:val="bottom"/>
          </w:tcPr>
          <w:p w14:paraId="22CFAE7F" w14:textId="77777777" w:rsidR="002661BA" w:rsidRDefault="002661BA">
            <w:pPr>
              <w:jc w:val="right"/>
              <w:rPr>
                <w:rFonts w:ascii="宋体"/>
              </w:rPr>
            </w:pPr>
          </w:p>
        </w:tc>
      </w:tr>
      <w:tr w:rsidR="002661BA" w14:paraId="22CFAE85" w14:textId="77777777">
        <w:trPr>
          <w:hidden/>
        </w:trPr>
        <w:tc>
          <w:tcPr>
            <w:tcW w:w="0" w:type="auto"/>
            <w:gridSpan w:val="3"/>
            <w:shd w:val="clear" w:color="auto" w:fill="auto"/>
            <w:vAlign w:val="bottom"/>
          </w:tcPr>
          <w:p w14:paraId="22CFAE81" w14:textId="77777777" w:rsidR="002661BA" w:rsidRDefault="002661BA">
            <w:pPr>
              <w:rPr>
                <w:rFonts w:ascii="宋体"/>
                <w:vanish/>
              </w:rPr>
            </w:pPr>
          </w:p>
        </w:tc>
        <w:tc>
          <w:tcPr>
            <w:tcW w:w="0" w:type="auto"/>
            <w:gridSpan w:val="3"/>
            <w:shd w:val="clear" w:color="auto" w:fill="auto"/>
            <w:vAlign w:val="bottom"/>
          </w:tcPr>
          <w:p w14:paraId="22CFAE82" w14:textId="77777777" w:rsidR="002661BA" w:rsidRDefault="002661BA">
            <w:pPr>
              <w:rPr>
                <w:rFonts w:ascii="宋体"/>
                <w:vanish/>
              </w:rPr>
            </w:pPr>
          </w:p>
        </w:tc>
        <w:tc>
          <w:tcPr>
            <w:tcW w:w="0" w:type="auto"/>
            <w:gridSpan w:val="3"/>
            <w:shd w:val="clear" w:color="auto" w:fill="auto"/>
            <w:vAlign w:val="bottom"/>
          </w:tcPr>
          <w:p w14:paraId="22CFAE83" w14:textId="77777777" w:rsidR="002661BA" w:rsidRDefault="002661BA">
            <w:pPr>
              <w:rPr>
                <w:rFonts w:ascii="宋体"/>
                <w:vanish/>
              </w:rPr>
            </w:pPr>
          </w:p>
        </w:tc>
        <w:tc>
          <w:tcPr>
            <w:tcW w:w="0" w:type="auto"/>
            <w:gridSpan w:val="3"/>
            <w:shd w:val="clear" w:color="auto" w:fill="auto"/>
            <w:vAlign w:val="bottom"/>
          </w:tcPr>
          <w:p w14:paraId="22CFAE84" w14:textId="77777777" w:rsidR="002661BA" w:rsidRDefault="002661BA">
            <w:pPr>
              <w:rPr>
                <w:rFonts w:ascii="宋体"/>
                <w:vanish/>
              </w:rPr>
            </w:pPr>
          </w:p>
        </w:tc>
      </w:tr>
      <w:tr w:rsidR="002661BA" w14:paraId="22CFAE8A" w14:textId="77777777">
        <w:trPr>
          <w:hidden/>
        </w:trPr>
        <w:tc>
          <w:tcPr>
            <w:tcW w:w="0" w:type="auto"/>
            <w:gridSpan w:val="3"/>
            <w:shd w:val="clear" w:color="auto" w:fill="auto"/>
            <w:vAlign w:val="bottom"/>
          </w:tcPr>
          <w:p w14:paraId="22CFAE86" w14:textId="77777777" w:rsidR="002661BA" w:rsidRDefault="002661BA">
            <w:pPr>
              <w:rPr>
                <w:rFonts w:ascii="宋体"/>
                <w:vanish/>
              </w:rPr>
            </w:pPr>
          </w:p>
        </w:tc>
        <w:tc>
          <w:tcPr>
            <w:tcW w:w="0" w:type="auto"/>
            <w:gridSpan w:val="3"/>
            <w:shd w:val="clear" w:color="auto" w:fill="auto"/>
            <w:vAlign w:val="bottom"/>
          </w:tcPr>
          <w:p w14:paraId="22CFAE87" w14:textId="77777777" w:rsidR="002661BA" w:rsidRDefault="002661BA">
            <w:pPr>
              <w:rPr>
                <w:rFonts w:ascii="宋体"/>
                <w:vanish/>
              </w:rPr>
            </w:pPr>
          </w:p>
        </w:tc>
        <w:tc>
          <w:tcPr>
            <w:tcW w:w="0" w:type="auto"/>
            <w:gridSpan w:val="3"/>
            <w:shd w:val="clear" w:color="auto" w:fill="auto"/>
            <w:vAlign w:val="bottom"/>
          </w:tcPr>
          <w:p w14:paraId="22CFAE88" w14:textId="77777777" w:rsidR="002661BA" w:rsidRDefault="002661BA">
            <w:pPr>
              <w:rPr>
                <w:rFonts w:ascii="宋体"/>
                <w:vanish/>
              </w:rPr>
            </w:pPr>
          </w:p>
        </w:tc>
        <w:tc>
          <w:tcPr>
            <w:tcW w:w="0" w:type="auto"/>
            <w:gridSpan w:val="3"/>
            <w:shd w:val="clear" w:color="auto" w:fill="auto"/>
            <w:vAlign w:val="bottom"/>
          </w:tcPr>
          <w:p w14:paraId="22CFAE89" w14:textId="77777777" w:rsidR="002661BA" w:rsidRDefault="002661BA">
            <w:pPr>
              <w:rPr>
                <w:rFonts w:ascii="宋体"/>
                <w:vanish/>
              </w:rPr>
            </w:pPr>
          </w:p>
        </w:tc>
      </w:tr>
    </w:tbl>
    <w:p w14:paraId="22CFAE8B" w14:textId="77777777" w:rsidR="002661BA" w:rsidRDefault="002661BA">
      <w:pPr>
        <w:ind w:firstLine="540"/>
        <w:jc w:val="both"/>
      </w:pPr>
    </w:p>
    <w:p w14:paraId="22CFAE8C" w14:textId="77777777" w:rsidR="002661BA" w:rsidRDefault="00D972BC">
      <w:pPr>
        <w:ind w:firstLine="540"/>
        <w:jc w:val="both"/>
      </w:pPr>
      <w:r>
        <w:rPr>
          <w:rFonts w:ascii="Arial" w:eastAsia="宋体" w:hAnsi="Arial" w:cs="Arial"/>
          <w:color w:val="000000"/>
          <w:sz w:val="20"/>
          <w:szCs w:val="20"/>
        </w:rPr>
        <w:t xml:space="preserve">Since our risk management programs are highly effective, the potential loss in value described above would be largely offset by changes in the </w:t>
      </w:r>
      <w:r>
        <w:rPr>
          <w:rFonts w:ascii="Arial" w:eastAsia="宋体" w:hAnsi="Arial" w:cs="Arial"/>
          <w:color w:val="000000"/>
          <w:sz w:val="20"/>
          <w:szCs w:val="20"/>
        </w:rPr>
        <w:t>value of the underlying exposure.</w:t>
      </w:r>
    </w:p>
    <w:p w14:paraId="22CFAE8D" w14:textId="77777777" w:rsidR="002661BA" w:rsidRDefault="002661BA">
      <w:pPr>
        <w:ind w:firstLine="540"/>
        <w:jc w:val="both"/>
      </w:pPr>
    </w:p>
    <w:p w14:paraId="22CFAE8E" w14:textId="77777777" w:rsidR="002661BA" w:rsidRDefault="00D972BC">
      <w:pPr>
        <w:ind w:firstLine="540"/>
        <w:jc w:val="both"/>
      </w:pPr>
      <w:r>
        <w:rPr>
          <w:rFonts w:ascii="Arial" w:eastAsia="宋体" w:hAnsi="Arial" w:cs="Arial"/>
          <w:color w:val="000000"/>
          <w:sz w:val="20"/>
          <w:szCs w:val="20"/>
        </w:rPr>
        <w:t>We also use foreign exchange contracts to offset the foreign exchange risk on our assets and liabilities denominated in currencies other than the functional currency of our subsidiaries. These contracts reduce, but do not</w:t>
      </w:r>
      <w:r>
        <w:rPr>
          <w:rFonts w:ascii="Arial" w:eastAsia="宋体" w:hAnsi="Arial" w:cs="Arial"/>
          <w:color w:val="000000"/>
          <w:sz w:val="20"/>
          <w:szCs w:val="20"/>
        </w:rPr>
        <w:t xml:space="preserve"> entirely eliminate, the impact of currency exchange rate movements on our assets and liabilities. The foreign currency gains and losses on the assets and liabilities are recorded in interest and other, net, which are offset by the gains and losses on the </w:t>
      </w:r>
      <w:r>
        <w:rPr>
          <w:rFonts w:ascii="Arial" w:eastAsia="宋体" w:hAnsi="Arial" w:cs="Arial"/>
          <w:color w:val="000000"/>
          <w:sz w:val="20"/>
          <w:szCs w:val="20"/>
        </w:rPr>
        <w:t>foreign exchange contracts.</w:t>
      </w:r>
    </w:p>
    <w:p w14:paraId="22CFAE8F" w14:textId="77777777" w:rsidR="002661BA" w:rsidRDefault="002661BA">
      <w:pPr>
        <w:jc w:val="both"/>
      </w:pPr>
    </w:p>
    <w:p w14:paraId="22CFAE90" w14:textId="77777777" w:rsidR="002661BA" w:rsidRDefault="00D972BC">
      <w:pPr>
        <w:ind w:firstLine="540"/>
        <w:jc w:val="both"/>
      </w:pPr>
      <w:r>
        <w:rPr>
          <w:rFonts w:ascii="Arial" w:eastAsia="宋体" w:hAnsi="Arial" w:cs="Arial"/>
          <w:color w:val="000000"/>
          <w:sz w:val="20"/>
          <w:szCs w:val="20"/>
        </w:rPr>
        <w:t>We considered the historical trends in currency exchange rates and determined that it was reasonably possible that adverse changes in exchange rates of 20% for all currencies could be experienced in the near term. These changes</w:t>
      </w:r>
      <w:r>
        <w:rPr>
          <w:rFonts w:ascii="Arial" w:eastAsia="宋体" w:hAnsi="Arial" w:cs="Arial"/>
          <w:color w:val="000000"/>
          <w:sz w:val="20"/>
          <w:szCs w:val="20"/>
        </w:rPr>
        <w:t xml:space="preserve"> would have resulted in an adverse impact on income before income taxes of approximately $13 million as of December 31, 2021 taking into consideration the offsetting effect of foreign exchange forwards in place as of December 31, 2021.</w:t>
      </w:r>
    </w:p>
    <w:p w14:paraId="22CFAE91" w14:textId="77777777" w:rsidR="002661BA" w:rsidRDefault="002661BA">
      <w:pPr>
        <w:ind w:firstLine="540"/>
        <w:jc w:val="both"/>
      </w:pPr>
    </w:p>
    <w:p w14:paraId="22CFAE92" w14:textId="77777777" w:rsidR="002661BA" w:rsidRDefault="00D972BC">
      <w:pPr>
        <w:jc w:val="center"/>
      </w:pPr>
      <w:r>
        <w:rPr>
          <w:rFonts w:ascii="Arial" w:eastAsia="宋体" w:hAnsi="Arial" w:cs="Arial"/>
          <w:color w:val="000000"/>
          <w:sz w:val="18"/>
          <w:szCs w:val="18"/>
        </w:rPr>
        <w:t>51</w:t>
      </w:r>
    </w:p>
    <w:p w14:paraId="22CFAE93" w14:textId="77777777" w:rsidR="002661BA" w:rsidRDefault="00D972BC">
      <w:r>
        <w:pict w14:anchorId="22CFE4E4">
          <v:rect id="_x0000_i1075" style="width:415.3pt;height:1.5pt" o:hralign="center" o:hrstd="t" o:hr="t" fillcolor="#a0a0a0" stroked="f"/>
        </w:pict>
      </w:r>
    </w:p>
    <w:p w14:paraId="22CFAE94" w14:textId="77777777" w:rsidR="002661BA" w:rsidRDefault="00D972BC">
      <w:hyperlink r:id="rId77" w:anchor="id0d7a71b05ce452ea9fdb54f3cb359c7_7" w:history="1">
        <w:r>
          <w:rPr>
            <w:rStyle w:val="a5"/>
            <w:rFonts w:ascii="Arial" w:eastAsia="宋体" w:hAnsi="Arial" w:cs="Arial"/>
            <w:sz w:val="18"/>
            <w:szCs w:val="18"/>
          </w:rPr>
          <w:t>Table of Contents</w:t>
        </w:r>
      </w:hyperlink>
    </w:p>
    <w:p w14:paraId="22CFAE95" w14:textId="77777777" w:rsidR="002661BA" w:rsidRDefault="00D972BC">
      <w:pPr>
        <w:ind w:hanging="1440"/>
        <w:jc w:val="both"/>
      </w:pPr>
      <w:r>
        <w:rPr>
          <w:rFonts w:ascii="Arial" w:eastAsia="宋体" w:hAnsi="Arial" w:cs="Arial"/>
          <w:b/>
          <w:bCs/>
          <w:color w:val="000000"/>
          <w:sz w:val="20"/>
          <w:szCs w:val="20"/>
        </w:rPr>
        <w:t xml:space="preserve">ITEM 8: </w:t>
      </w:r>
      <w:r>
        <w:rPr>
          <w:rFonts w:ascii="Arial" w:eastAsia="宋体" w:hAnsi="Arial" w:cs="Arial"/>
          <w:b/>
          <w:bCs/>
          <w:i/>
          <w:iCs/>
          <w:color w:val="000000"/>
          <w:sz w:val="20"/>
          <w:szCs w:val="20"/>
        </w:rPr>
        <w:t>FINANCIAL STATEMENTS AND SUPPLEMENTARY DATA</w:t>
      </w:r>
    </w:p>
    <w:p w14:paraId="22CFAE96" w14:textId="77777777" w:rsidR="002661BA" w:rsidRDefault="002661BA">
      <w:pPr>
        <w:ind w:firstLine="540"/>
        <w:jc w:val="both"/>
      </w:pPr>
    </w:p>
    <w:p w14:paraId="22CFAE97" w14:textId="77777777" w:rsidR="002661BA" w:rsidRDefault="00D972BC">
      <w:pPr>
        <w:ind w:firstLine="540"/>
        <w:jc w:val="both"/>
      </w:pPr>
      <w:r>
        <w:rPr>
          <w:rFonts w:ascii="Arial" w:eastAsia="宋体" w:hAnsi="Arial" w:cs="Arial"/>
          <w:color w:val="000000"/>
          <w:sz w:val="20"/>
          <w:szCs w:val="20"/>
        </w:rPr>
        <w:t xml:space="preserve">The consolidated financial statements and accompanying notes listed in Part IV, Item 15(a)(1) of this Annual Report on Form 10-K are included elsewhere in this Annual Report on Form 10-K. </w:t>
      </w:r>
    </w:p>
    <w:p w14:paraId="22CFAE98" w14:textId="77777777" w:rsidR="002661BA" w:rsidRDefault="002661BA">
      <w:pPr>
        <w:ind w:firstLine="495"/>
        <w:jc w:val="both"/>
      </w:pPr>
    </w:p>
    <w:p w14:paraId="22CFAE99" w14:textId="77777777" w:rsidR="002661BA" w:rsidRDefault="00D972BC">
      <w:pPr>
        <w:ind w:hanging="810"/>
        <w:jc w:val="both"/>
      </w:pPr>
      <w:r>
        <w:rPr>
          <w:rFonts w:ascii="Arial" w:eastAsia="宋体" w:hAnsi="Arial" w:cs="Arial"/>
          <w:b/>
          <w:bCs/>
          <w:color w:val="000000"/>
          <w:sz w:val="20"/>
          <w:szCs w:val="20"/>
        </w:rPr>
        <w:t xml:space="preserve">ITEM 9: </w:t>
      </w:r>
      <w:r>
        <w:rPr>
          <w:rFonts w:ascii="Arial" w:eastAsia="宋体" w:hAnsi="Arial" w:cs="Arial"/>
          <w:b/>
          <w:bCs/>
          <w:i/>
          <w:iCs/>
          <w:color w:val="000000"/>
          <w:sz w:val="20"/>
          <w:szCs w:val="20"/>
        </w:rPr>
        <w:t>CHANGES IN AND DISAGREEMENTS WITH ACCOUNTANTS ON ACCOUNTIN</w:t>
      </w:r>
      <w:r>
        <w:rPr>
          <w:rFonts w:ascii="Arial" w:eastAsia="宋体" w:hAnsi="Arial" w:cs="Arial"/>
          <w:b/>
          <w:bCs/>
          <w:i/>
          <w:iCs/>
          <w:color w:val="000000"/>
          <w:sz w:val="20"/>
          <w:szCs w:val="20"/>
        </w:rPr>
        <w:t>G AND FINANCIAL DISCLOSURE</w:t>
      </w:r>
    </w:p>
    <w:p w14:paraId="22CFAE9A" w14:textId="77777777" w:rsidR="002661BA" w:rsidRDefault="002661BA">
      <w:pPr>
        <w:ind w:firstLine="540"/>
        <w:jc w:val="both"/>
      </w:pPr>
    </w:p>
    <w:p w14:paraId="22CFAE9B" w14:textId="77777777" w:rsidR="002661BA" w:rsidRDefault="00D972BC">
      <w:pPr>
        <w:ind w:firstLine="540"/>
        <w:jc w:val="both"/>
      </w:pPr>
      <w:r>
        <w:rPr>
          <w:rFonts w:ascii="Arial" w:eastAsia="宋体" w:hAnsi="Arial" w:cs="Arial"/>
          <w:color w:val="000000"/>
          <w:sz w:val="20"/>
          <w:szCs w:val="20"/>
        </w:rPr>
        <w:t xml:space="preserve">None. </w:t>
      </w:r>
    </w:p>
    <w:p w14:paraId="22CFAE9C" w14:textId="77777777" w:rsidR="002661BA" w:rsidRDefault="002661BA">
      <w:pPr>
        <w:jc w:val="both"/>
      </w:pPr>
    </w:p>
    <w:p w14:paraId="22CFAE9D" w14:textId="77777777" w:rsidR="002661BA" w:rsidRDefault="00D972BC">
      <w:pPr>
        <w:ind w:hanging="1440"/>
        <w:jc w:val="both"/>
      </w:pPr>
      <w:r>
        <w:rPr>
          <w:rFonts w:ascii="Arial" w:eastAsia="宋体" w:hAnsi="Arial" w:cs="Arial"/>
          <w:b/>
          <w:bCs/>
          <w:color w:val="000000"/>
          <w:sz w:val="20"/>
          <w:szCs w:val="20"/>
        </w:rPr>
        <w:t xml:space="preserve">ITEM 9A: </w:t>
      </w:r>
      <w:r>
        <w:rPr>
          <w:rFonts w:ascii="Arial" w:eastAsia="宋体" w:hAnsi="Arial" w:cs="Arial"/>
          <w:b/>
          <w:bCs/>
          <w:i/>
          <w:iCs/>
          <w:color w:val="000000"/>
          <w:sz w:val="20"/>
          <w:szCs w:val="20"/>
        </w:rPr>
        <w:t>CONTROLS AND PROCEDURES</w:t>
      </w:r>
    </w:p>
    <w:p w14:paraId="22CFAE9E" w14:textId="77777777" w:rsidR="002661BA" w:rsidRDefault="002661BA">
      <w:pPr>
        <w:ind w:hanging="1440"/>
        <w:jc w:val="both"/>
      </w:pPr>
    </w:p>
    <w:p w14:paraId="22CFAE9F" w14:textId="77777777" w:rsidR="002661BA" w:rsidRDefault="00D972BC">
      <w:pPr>
        <w:ind w:firstLine="540"/>
        <w:jc w:val="both"/>
      </w:pPr>
      <w:r>
        <w:rPr>
          <w:rFonts w:ascii="Arial" w:eastAsia="宋体" w:hAnsi="Arial" w:cs="Arial"/>
          <w:i/>
          <w:iCs/>
          <w:color w:val="000000"/>
          <w:sz w:val="20"/>
          <w:szCs w:val="20"/>
        </w:rPr>
        <w:t>Evaluation of disclosure controls and procedures:</w:t>
      </w:r>
      <w:r>
        <w:rPr>
          <w:rFonts w:ascii="Arial" w:eastAsia="宋体" w:hAnsi="Arial" w:cs="Arial"/>
          <w:color w:val="000000"/>
          <w:sz w:val="20"/>
          <w:szCs w:val="20"/>
        </w:rPr>
        <w:t xml:space="preserve"> Based on the evaluation of our disclosure controls and procedures (as defined in the Rules 13a-15(e) and 15d-15(e) under the Securities </w:t>
      </w:r>
      <w:r>
        <w:rPr>
          <w:rFonts w:ascii="Arial" w:eastAsia="宋体" w:hAnsi="Arial" w:cs="Arial"/>
          <w:color w:val="000000"/>
          <w:sz w:val="20"/>
          <w:szCs w:val="20"/>
        </w:rPr>
        <w:t>Exchange Act of 1934, as amended, or the Exchange Act) required by Exchange Act Rules 13a-15(b) or 15d-15(b), our principal executive officer and our principal financial officer have concluded that our disclosure controls and procedures were effective as o</w:t>
      </w:r>
      <w:r>
        <w:rPr>
          <w:rFonts w:ascii="Arial" w:eastAsia="宋体" w:hAnsi="Arial" w:cs="Arial"/>
          <w:color w:val="000000"/>
          <w:sz w:val="20"/>
          <w:szCs w:val="20"/>
        </w:rPr>
        <w:t xml:space="preserve">f December 31, 2021. </w:t>
      </w:r>
    </w:p>
    <w:p w14:paraId="22CFAEA0" w14:textId="77777777" w:rsidR="002661BA" w:rsidRDefault="002661BA">
      <w:pPr>
        <w:ind w:firstLine="540"/>
        <w:jc w:val="both"/>
      </w:pPr>
    </w:p>
    <w:p w14:paraId="22CFAEA1" w14:textId="77777777" w:rsidR="002661BA" w:rsidRDefault="00D972BC">
      <w:pPr>
        <w:ind w:firstLine="540"/>
        <w:jc w:val="both"/>
      </w:pPr>
      <w:r>
        <w:rPr>
          <w:rFonts w:ascii="Arial" w:eastAsia="宋体" w:hAnsi="Arial" w:cs="Arial"/>
          <w:i/>
          <w:iCs/>
          <w:color w:val="000000"/>
          <w:sz w:val="20"/>
          <w:szCs w:val="20"/>
        </w:rPr>
        <w:t>Changes in internal controls:</w:t>
      </w:r>
      <w:r>
        <w:rPr>
          <w:rFonts w:ascii="Arial" w:eastAsia="宋体" w:hAnsi="Arial" w:cs="Arial"/>
          <w:color w:val="000000"/>
          <w:sz w:val="20"/>
          <w:szCs w:val="20"/>
        </w:rPr>
        <w:t xml:space="preserve"> There were no changes in our internal control over financial reporting as defined in Exchange Act Rule 13a-15(f) that occurred during our most recently completed fiscal quarter that have </w:t>
      </w:r>
      <w:r>
        <w:rPr>
          <w:rFonts w:ascii="Arial" w:eastAsia="宋体" w:hAnsi="Arial" w:cs="Arial"/>
          <w:color w:val="000000"/>
          <w:sz w:val="20"/>
          <w:szCs w:val="20"/>
        </w:rPr>
        <w:t>materially affected, or are reasonably likely to materially affect, our internal control over financial reporting.</w:t>
      </w:r>
    </w:p>
    <w:p w14:paraId="22CFAEA2" w14:textId="77777777" w:rsidR="002661BA" w:rsidRDefault="002661BA">
      <w:pPr>
        <w:ind w:firstLine="540"/>
        <w:jc w:val="both"/>
      </w:pPr>
    </w:p>
    <w:p w14:paraId="22CFAEA3" w14:textId="77777777" w:rsidR="002661BA" w:rsidRDefault="00D972BC">
      <w:pPr>
        <w:ind w:firstLine="540"/>
        <w:jc w:val="both"/>
      </w:pPr>
      <w:r>
        <w:rPr>
          <w:rFonts w:ascii="Arial" w:eastAsia="宋体" w:hAnsi="Arial" w:cs="Arial"/>
          <w:i/>
          <w:iCs/>
          <w:color w:val="000000"/>
          <w:sz w:val="20"/>
          <w:szCs w:val="20"/>
        </w:rPr>
        <w:t>Management’s annual report on internal control over financial reporting:</w:t>
      </w:r>
      <w:r>
        <w:rPr>
          <w:rFonts w:ascii="Arial" w:eastAsia="宋体" w:hAnsi="Arial" w:cs="Arial"/>
          <w:color w:val="000000"/>
          <w:sz w:val="20"/>
          <w:szCs w:val="20"/>
        </w:rPr>
        <w:t> Our management is responsible for establishing and maintaining adeq</w:t>
      </w:r>
      <w:r>
        <w:rPr>
          <w:rFonts w:ascii="Arial" w:eastAsia="宋体" w:hAnsi="Arial" w:cs="Arial"/>
          <w:color w:val="000000"/>
          <w:sz w:val="20"/>
          <w:szCs w:val="20"/>
        </w:rPr>
        <w:t xml:space="preserve">uate internal control over financial reporting. Our management, including our principal executive officer and principal financial officer, conducted an evaluation of the effectiveness of our internal control over financial reporting based on the framework </w:t>
      </w:r>
      <w:r>
        <w:rPr>
          <w:rFonts w:ascii="Arial" w:eastAsia="宋体" w:hAnsi="Arial" w:cs="Arial"/>
          <w:color w:val="000000"/>
          <w:sz w:val="20"/>
          <w:szCs w:val="20"/>
        </w:rPr>
        <w:t xml:space="preserve">in </w:t>
      </w:r>
      <w:r>
        <w:rPr>
          <w:rFonts w:ascii="Arial" w:eastAsia="宋体" w:hAnsi="Arial" w:cs="Arial"/>
          <w:i/>
          <w:iCs/>
          <w:color w:val="000000"/>
          <w:sz w:val="20"/>
          <w:szCs w:val="20"/>
        </w:rPr>
        <w:t>Internal Control - Integrated Framework (2013)</w:t>
      </w:r>
      <w:r>
        <w:rPr>
          <w:rFonts w:ascii="Arial" w:eastAsia="宋体" w:hAnsi="Arial" w:cs="Arial"/>
          <w:color w:val="000000"/>
          <w:sz w:val="20"/>
          <w:szCs w:val="20"/>
        </w:rPr>
        <w:t xml:space="preserve"> issued by the Committee of Sponsoring Organizations of the Treadway Commission. Based on its evaluation under the framework in </w:t>
      </w:r>
      <w:r>
        <w:rPr>
          <w:rFonts w:ascii="Arial" w:eastAsia="宋体" w:hAnsi="Arial" w:cs="Arial"/>
          <w:i/>
          <w:iCs/>
          <w:color w:val="000000"/>
          <w:sz w:val="20"/>
          <w:szCs w:val="20"/>
        </w:rPr>
        <w:t>Internal Control - Integrated Framework</w:t>
      </w:r>
      <w:r>
        <w:rPr>
          <w:rFonts w:ascii="Arial" w:eastAsia="宋体" w:hAnsi="Arial" w:cs="Arial"/>
          <w:color w:val="000000"/>
          <w:sz w:val="20"/>
          <w:szCs w:val="20"/>
        </w:rPr>
        <w:t>, our management concluded that our inte</w:t>
      </w:r>
      <w:r>
        <w:rPr>
          <w:rFonts w:ascii="Arial" w:eastAsia="宋体" w:hAnsi="Arial" w:cs="Arial"/>
          <w:color w:val="000000"/>
          <w:sz w:val="20"/>
          <w:szCs w:val="20"/>
        </w:rPr>
        <w:t>rnal control over financial reporting was effective as of December 31, 2021.</w:t>
      </w:r>
    </w:p>
    <w:p w14:paraId="22CFAEA4" w14:textId="77777777" w:rsidR="002661BA" w:rsidRDefault="002661BA">
      <w:pPr>
        <w:ind w:firstLine="540"/>
        <w:jc w:val="both"/>
      </w:pPr>
    </w:p>
    <w:p w14:paraId="22CFAEA5" w14:textId="77777777" w:rsidR="002661BA" w:rsidRDefault="00D972BC">
      <w:pPr>
        <w:ind w:firstLine="540"/>
        <w:jc w:val="both"/>
      </w:pPr>
      <w:r>
        <w:rPr>
          <w:rFonts w:ascii="Arial" w:eastAsia="宋体" w:hAnsi="Arial" w:cs="Arial"/>
          <w:color w:val="000000"/>
          <w:sz w:val="20"/>
          <w:szCs w:val="20"/>
        </w:rPr>
        <w:t>The effectiveness of our internal control over financial reporting as of December 31, 2021 has been audited by PricewaterhouseCoopers LLP, an independent registered public accoun</w:t>
      </w:r>
      <w:r>
        <w:rPr>
          <w:rFonts w:ascii="Arial" w:eastAsia="宋体" w:hAnsi="Arial" w:cs="Arial"/>
          <w:color w:val="000000"/>
          <w:sz w:val="20"/>
          <w:szCs w:val="20"/>
        </w:rPr>
        <w:t>ting firm, as stated in their report which appears in Item 15(a)1 of this Annual Report on Form 10-K.</w:t>
      </w:r>
    </w:p>
    <w:p w14:paraId="22CFAEA6" w14:textId="77777777" w:rsidR="002661BA" w:rsidRDefault="002661BA">
      <w:pPr>
        <w:jc w:val="both"/>
      </w:pPr>
    </w:p>
    <w:p w14:paraId="22CFAEA7" w14:textId="77777777" w:rsidR="002661BA" w:rsidRDefault="00D972BC">
      <w:pPr>
        <w:ind w:hanging="1440"/>
      </w:pPr>
      <w:r>
        <w:rPr>
          <w:rFonts w:ascii="Arial" w:eastAsia="宋体" w:hAnsi="Arial" w:cs="Arial"/>
          <w:b/>
          <w:bCs/>
          <w:color w:val="000000"/>
          <w:sz w:val="20"/>
          <w:szCs w:val="20"/>
        </w:rPr>
        <w:t xml:space="preserve">ITEM 9B: </w:t>
      </w:r>
      <w:r>
        <w:rPr>
          <w:rFonts w:ascii="Arial" w:eastAsia="宋体" w:hAnsi="Arial" w:cs="Arial"/>
          <w:b/>
          <w:bCs/>
          <w:i/>
          <w:iCs/>
          <w:color w:val="000000"/>
          <w:sz w:val="20"/>
          <w:szCs w:val="20"/>
        </w:rPr>
        <w:t>OTHER INFORMATION</w:t>
      </w:r>
    </w:p>
    <w:p w14:paraId="22CFAEA8" w14:textId="77777777" w:rsidR="002661BA" w:rsidRDefault="002661BA">
      <w:pPr>
        <w:ind w:firstLine="540"/>
      </w:pPr>
    </w:p>
    <w:p w14:paraId="22CFAEA9" w14:textId="77777777" w:rsidR="002661BA" w:rsidRDefault="00D972BC">
      <w:pPr>
        <w:ind w:firstLine="540"/>
      </w:pPr>
      <w:r>
        <w:rPr>
          <w:rFonts w:ascii="Arial" w:eastAsia="宋体" w:hAnsi="Arial" w:cs="Arial"/>
          <w:color w:val="000000"/>
          <w:sz w:val="20"/>
          <w:szCs w:val="20"/>
        </w:rPr>
        <w:t xml:space="preserve">Not applicable. </w:t>
      </w:r>
    </w:p>
    <w:p w14:paraId="22CFAEAA" w14:textId="77777777" w:rsidR="002661BA" w:rsidRDefault="002661BA"/>
    <w:p w14:paraId="22CFAEAB" w14:textId="77777777" w:rsidR="002661BA" w:rsidRDefault="00D972BC">
      <w:pPr>
        <w:ind w:hanging="1440"/>
      </w:pPr>
      <w:r>
        <w:rPr>
          <w:rFonts w:ascii="Arial" w:eastAsia="宋体" w:hAnsi="Arial" w:cs="Arial"/>
          <w:b/>
          <w:bCs/>
          <w:color w:val="000000"/>
          <w:sz w:val="20"/>
          <w:szCs w:val="20"/>
        </w:rPr>
        <w:t xml:space="preserve">ITEM 9C: </w:t>
      </w:r>
      <w:r>
        <w:rPr>
          <w:rFonts w:ascii="Arial" w:eastAsia="宋体" w:hAnsi="Arial" w:cs="Arial"/>
          <w:b/>
          <w:bCs/>
          <w:i/>
          <w:iCs/>
          <w:color w:val="000000"/>
          <w:sz w:val="20"/>
          <w:szCs w:val="20"/>
        </w:rPr>
        <w:t>DISCLOSURE REGARDING FOREIGN JURISDICTIONS THAT PREVENT INSPECTIONS</w:t>
      </w:r>
    </w:p>
    <w:p w14:paraId="22CFAEAC" w14:textId="77777777" w:rsidR="002661BA" w:rsidRDefault="002661BA">
      <w:pPr>
        <w:ind w:hanging="1440"/>
      </w:pPr>
    </w:p>
    <w:p w14:paraId="22CFAEAD" w14:textId="77777777" w:rsidR="002661BA" w:rsidRDefault="00D972BC">
      <w:pPr>
        <w:ind w:firstLine="540"/>
      </w:pPr>
      <w:r>
        <w:rPr>
          <w:rFonts w:ascii="Arial" w:eastAsia="宋体" w:hAnsi="Arial" w:cs="Arial"/>
          <w:color w:val="000000"/>
          <w:sz w:val="20"/>
          <w:szCs w:val="20"/>
        </w:rPr>
        <w:t xml:space="preserve">Not applicable. </w:t>
      </w:r>
    </w:p>
    <w:p w14:paraId="22CFAEAE" w14:textId="77777777" w:rsidR="002661BA" w:rsidRDefault="00D972BC">
      <w:pPr>
        <w:jc w:val="center"/>
      </w:pPr>
      <w:r>
        <w:rPr>
          <w:rFonts w:ascii="Arial" w:eastAsia="宋体" w:hAnsi="Arial" w:cs="Arial"/>
          <w:color w:val="000000"/>
          <w:sz w:val="18"/>
          <w:szCs w:val="18"/>
        </w:rPr>
        <w:t>52</w:t>
      </w:r>
    </w:p>
    <w:p w14:paraId="22CFAEAF" w14:textId="77777777" w:rsidR="002661BA" w:rsidRDefault="00D972BC">
      <w:r>
        <w:pict w14:anchorId="22CFE4E5">
          <v:rect id="_x0000_i1076" style="width:415.3pt;height:1.5pt" o:hralign="center" o:hrstd="t" o:hr="t" fillcolor="#a0a0a0" stroked="f"/>
        </w:pict>
      </w:r>
    </w:p>
    <w:p w14:paraId="22CFAEB0" w14:textId="77777777" w:rsidR="002661BA" w:rsidRDefault="00D972BC">
      <w:hyperlink r:id="rId78" w:anchor="id0d7a71b05ce452ea9fdb54f3cb359c7_7" w:history="1">
        <w:r>
          <w:rPr>
            <w:rStyle w:val="a5"/>
            <w:rFonts w:ascii="Arial" w:eastAsia="宋体" w:hAnsi="Arial" w:cs="Arial"/>
            <w:sz w:val="18"/>
            <w:szCs w:val="18"/>
          </w:rPr>
          <w:t>Table of Contents</w:t>
        </w:r>
      </w:hyperlink>
    </w:p>
    <w:p w14:paraId="22CFAEB1" w14:textId="77777777" w:rsidR="002661BA" w:rsidRDefault="00D972BC">
      <w:pPr>
        <w:jc w:val="center"/>
      </w:pPr>
      <w:r>
        <w:rPr>
          <w:rFonts w:ascii="Arial" w:eastAsia="宋体" w:hAnsi="Arial" w:cs="Arial"/>
          <w:b/>
          <w:bCs/>
          <w:color w:val="000000"/>
          <w:sz w:val="20"/>
          <w:szCs w:val="20"/>
        </w:rPr>
        <w:t xml:space="preserve">PART III </w:t>
      </w:r>
    </w:p>
    <w:p w14:paraId="22CFAEB2" w14:textId="77777777" w:rsidR="002661BA" w:rsidRDefault="002661BA"/>
    <w:p w14:paraId="22CFAEB3" w14:textId="77777777" w:rsidR="002661BA" w:rsidRDefault="00D972BC">
      <w:pPr>
        <w:ind w:hanging="1440"/>
      </w:pPr>
      <w:r>
        <w:rPr>
          <w:rFonts w:ascii="Arial" w:eastAsia="宋体" w:hAnsi="Arial" w:cs="Arial"/>
          <w:b/>
          <w:bCs/>
          <w:color w:val="000000"/>
          <w:sz w:val="20"/>
          <w:szCs w:val="20"/>
        </w:rPr>
        <w:t xml:space="preserve">ITEM 10: </w:t>
      </w:r>
      <w:r>
        <w:rPr>
          <w:rFonts w:ascii="Arial" w:eastAsia="宋体" w:hAnsi="Arial" w:cs="Arial"/>
          <w:b/>
          <w:bCs/>
          <w:i/>
          <w:iCs/>
          <w:color w:val="000000"/>
          <w:sz w:val="20"/>
          <w:szCs w:val="20"/>
        </w:rPr>
        <w:t xml:space="preserve">DIRECTORS, EXECUTIVE OFFICERS AND </w:t>
      </w:r>
      <w:r>
        <w:rPr>
          <w:rFonts w:ascii="Arial" w:eastAsia="宋体" w:hAnsi="Arial" w:cs="Arial"/>
          <w:b/>
          <w:bCs/>
          <w:i/>
          <w:iCs/>
          <w:color w:val="000000"/>
          <w:sz w:val="20"/>
          <w:szCs w:val="20"/>
        </w:rPr>
        <w:t>CORPORATE GOVERNANCE</w:t>
      </w:r>
    </w:p>
    <w:p w14:paraId="22CFAEB4" w14:textId="77777777" w:rsidR="002661BA" w:rsidRDefault="002661BA">
      <w:pPr>
        <w:ind w:firstLine="540"/>
      </w:pPr>
    </w:p>
    <w:p w14:paraId="22CFAEB5" w14:textId="77777777" w:rsidR="002661BA" w:rsidRDefault="00D972BC">
      <w:pPr>
        <w:ind w:firstLine="450"/>
        <w:jc w:val="both"/>
      </w:pPr>
      <w:r>
        <w:rPr>
          <w:rFonts w:ascii="Arial" w:eastAsia="宋体" w:hAnsi="Arial" w:cs="Arial"/>
          <w:color w:val="000000"/>
          <w:sz w:val="20"/>
          <w:szCs w:val="20"/>
        </w:rPr>
        <w:t xml:space="preserve">Incorporated by reference from our Proxy Statement for our 2022 Annual Meeting of Stockholders to be filed with the SEC within 120 days after the end of the year ended December 31, 2021. </w:t>
      </w:r>
    </w:p>
    <w:p w14:paraId="22CFAEB6" w14:textId="77777777" w:rsidR="002661BA" w:rsidRDefault="002661BA">
      <w:pPr>
        <w:ind w:firstLine="450"/>
      </w:pPr>
    </w:p>
    <w:p w14:paraId="22CFAEB7" w14:textId="77777777" w:rsidR="002661BA" w:rsidRDefault="00D972BC">
      <w:pPr>
        <w:ind w:firstLine="450"/>
      </w:pPr>
      <w:r>
        <w:rPr>
          <w:rFonts w:ascii="Arial" w:eastAsia="宋体" w:hAnsi="Arial" w:cs="Arial"/>
          <w:b/>
          <w:bCs/>
          <w:i/>
          <w:iCs/>
          <w:color w:val="000000"/>
          <w:sz w:val="20"/>
          <w:szCs w:val="20"/>
        </w:rPr>
        <w:t>Code of Ethics, Governance Guidelines and Com</w:t>
      </w:r>
      <w:r>
        <w:rPr>
          <w:rFonts w:ascii="Arial" w:eastAsia="宋体" w:hAnsi="Arial" w:cs="Arial"/>
          <w:b/>
          <w:bCs/>
          <w:i/>
          <w:iCs/>
          <w:color w:val="000000"/>
          <w:sz w:val="20"/>
          <w:szCs w:val="20"/>
        </w:rPr>
        <w:t xml:space="preserve">mittee Charters </w:t>
      </w:r>
    </w:p>
    <w:p w14:paraId="22CFAEB8" w14:textId="77777777" w:rsidR="002661BA" w:rsidRDefault="002661BA">
      <w:pPr>
        <w:ind w:firstLine="450"/>
      </w:pPr>
    </w:p>
    <w:p w14:paraId="22CFAEB9" w14:textId="77777777" w:rsidR="002661BA" w:rsidRDefault="00D972BC">
      <w:pPr>
        <w:ind w:firstLine="450"/>
        <w:jc w:val="both"/>
      </w:pPr>
      <w:r>
        <w:rPr>
          <w:rFonts w:ascii="Arial" w:eastAsia="宋体" w:hAnsi="Arial" w:cs="Arial"/>
          <w:color w:val="000000"/>
          <w:sz w:val="20"/>
          <w:szCs w:val="20"/>
        </w:rPr>
        <w:t xml:space="preserve">We have adopted a </w:t>
      </w:r>
      <w:r>
        <w:rPr>
          <w:rFonts w:ascii="Arial" w:eastAsia="宋体" w:hAnsi="Arial" w:cs="Arial"/>
          <w:i/>
          <w:iCs/>
          <w:color w:val="000000"/>
          <w:sz w:val="20"/>
          <w:szCs w:val="20"/>
        </w:rPr>
        <w:t xml:space="preserve">Code of Business Conduct and Ethics </w:t>
      </w:r>
      <w:r>
        <w:rPr>
          <w:rFonts w:ascii="Arial" w:eastAsia="宋体" w:hAnsi="Arial" w:cs="Arial"/>
          <w:color w:val="000000"/>
          <w:sz w:val="20"/>
          <w:szCs w:val="20"/>
        </w:rPr>
        <w:t xml:space="preserve">that applies to all eBay employees and directors. The </w:t>
      </w:r>
      <w:r>
        <w:rPr>
          <w:rFonts w:ascii="Arial" w:eastAsia="宋体" w:hAnsi="Arial" w:cs="Arial"/>
          <w:i/>
          <w:iCs/>
          <w:color w:val="000000"/>
          <w:sz w:val="20"/>
          <w:szCs w:val="20"/>
        </w:rPr>
        <w:t xml:space="preserve">Code of Business Conduct and Ethics </w:t>
      </w:r>
      <w:r>
        <w:rPr>
          <w:rFonts w:ascii="Arial" w:eastAsia="宋体" w:hAnsi="Arial" w:cs="Arial"/>
          <w:color w:val="000000"/>
          <w:sz w:val="20"/>
          <w:szCs w:val="20"/>
        </w:rPr>
        <w:t xml:space="preserve">is posted on our website at </w:t>
      </w:r>
      <w:r>
        <w:rPr>
          <w:rFonts w:ascii="Arial" w:eastAsia="宋体" w:hAnsi="Arial" w:cs="Arial"/>
          <w:i/>
          <w:iCs/>
          <w:color w:val="000000"/>
          <w:sz w:val="20"/>
          <w:szCs w:val="20"/>
        </w:rPr>
        <w:t>https://investors.ebayinc.com/corporate-governance/governance-docu</w:t>
      </w:r>
      <w:r>
        <w:rPr>
          <w:rFonts w:ascii="Arial" w:eastAsia="宋体" w:hAnsi="Arial" w:cs="Arial"/>
          <w:i/>
          <w:iCs/>
          <w:color w:val="000000"/>
          <w:sz w:val="20"/>
          <w:szCs w:val="20"/>
        </w:rPr>
        <w:t xml:space="preserve">ments/. </w:t>
      </w:r>
      <w:r>
        <w:rPr>
          <w:rFonts w:ascii="Arial" w:eastAsia="宋体" w:hAnsi="Arial" w:cs="Arial"/>
          <w:color w:val="000000"/>
          <w:sz w:val="20"/>
          <w:szCs w:val="20"/>
        </w:rPr>
        <w:t xml:space="preserve">We will post any amendments to or waivers from the </w:t>
      </w:r>
      <w:r>
        <w:rPr>
          <w:rFonts w:ascii="Arial" w:eastAsia="宋体" w:hAnsi="Arial" w:cs="Arial"/>
          <w:i/>
          <w:iCs/>
          <w:color w:val="000000"/>
          <w:sz w:val="20"/>
          <w:szCs w:val="20"/>
        </w:rPr>
        <w:t xml:space="preserve">Code of Business Conduct and Ethics </w:t>
      </w:r>
      <w:r>
        <w:rPr>
          <w:rFonts w:ascii="Arial" w:eastAsia="宋体" w:hAnsi="Arial" w:cs="Arial"/>
          <w:color w:val="000000"/>
          <w:sz w:val="20"/>
          <w:szCs w:val="20"/>
        </w:rPr>
        <w:t xml:space="preserve">at that location. </w:t>
      </w:r>
    </w:p>
    <w:p w14:paraId="22CFAEBA" w14:textId="77777777" w:rsidR="002661BA" w:rsidRDefault="002661BA">
      <w:pPr>
        <w:ind w:firstLine="450"/>
        <w:jc w:val="both"/>
      </w:pPr>
    </w:p>
    <w:p w14:paraId="22CFAEBB" w14:textId="77777777" w:rsidR="002661BA" w:rsidRDefault="00D972BC">
      <w:pPr>
        <w:ind w:firstLine="450"/>
        <w:jc w:val="both"/>
      </w:pPr>
      <w:r>
        <w:rPr>
          <w:rFonts w:ascii="Arial" w:eastAsia="宋体" w:hAnsi="Arial" w:cs="Arial"/>
          <w:color w:val="000000"/>
          <w:sz w:val="20"/>
          <w:szCs w:val="20"/>
        </w:rPr>
        <w:t xml:space="preserve">We have also adopted </w:t>
      </w:r>
      <w:r>
        <w:rPr>
          <w:rFonts w:ascii="Arial" w:eastAsia="宋体" w:hAnsi="Arial" w:cs="Arial"/>
          <w:i/>
          <w:iCs/>
          <w:color w:val="000000"/>
          <w:sz w:val="20"/>
          <w:szCs w:val="20"/>
        </w:rPr>
        <w:t xml:space="preserve">Governance Guidelines for the Board of Directors </w:t>
      </w:r>
      <w:r>
        <w:rPr>
          <w:rFonts w:ascii="Arial" w:eastAsia="宋体" w:hAnsi="Arial" w:cs="Arial"/>
          <w:color w:val="000000"/>
          <w:sz w:val="20"/>
          <w:szCs w:val="20"/>
        </w:rPr>
        <w:t>and a written committee charter for each of our Audit Committee, Compen</w:t>
      </w:r>
      <w:r>
        <w:rPr>
          <w:rFonts w:ascii="Arial" w:eastAsia="宋体" w:hAnsi="Arial" w:cs="Arial"/>
          <w:color w:val="000000"/>
          <w:sz w:val="20"/>
          <w:szCs w:val="20"/>
        </w:rPr>
        <w:t xml:space="preserve">sation and Human Capital Committee and Corporate Governance and Nominating Committee. Each of these documents is available on our website at </w:t>
      </w:r>
      <w:r>
        <w:rPr>
          <w:rFonts w:ascii="Arial" w:eastAsia="宋体" w:hAnsi="Arial" w:cs="Arial"/>
          <w:i/>
          <w:iCs/>
          <w:color w:val="000000"/>
          <w:sz w:val="20"/>
          <w:szCs w:val="20"/>
        </w:rPr>
        <w:t>https://investors.ebayinc.com/corporate-governance/governance-documents/.</w:t>
      </w:r>
      <w:r>
        <w:rPr>
          <w:rFonts w:ascii="Arial" w:eastAsia="宋体" w:hAnsi="Arial" w:cs="Arial"/>
          <w:color w:val="000000"/>
          <w:sz w:val="20"/>
          <w:szCs w:val="20"/>
        </w:rPr>
        <w:t xml:space="preserve"> </w:t>
      </w:r>
    </w:p>
    <w:p w14:paraId="22CFAEBC" w14:textId="77777777" w:rsidR="002661BA" w:rsidRDefault="002661BA"/>
    <w:p w14:paraId="22CFAEBD" w14:textId="77777777" w:rsidR="002661BA" w:rsidRDefault="00D972BC">
      <w:pPr>
        <w:ind w:hanging="1440"/>
        <w:jc w:val="both"/>
      </w:pPr>
      <w:r>
        <w:rPr>
          <w:rFonts w:ascii="Arial" w:eastAsia="宋体" w:hAnsi="Arial" w:cs="Arial"/>
          <w:b/>
          <w:bCs/>
          <w:color w:val="000000"/>
          <w:sz w:val="20"/>
          <w:szCs w:val="20"/>
        </w:rPr>
        <w:t xml:space="preserve">ITEM 11: </w:t>
      </w:r>
      <w:r>
        <w:rPr>
          <w:rFonts w:ascii="Arial" w:eastAsia="宋体" w:hAnsi="Arial" w:cs="Arial"/>
          <w:b/>
          <w:bCs/>
          <w:i/>
          <w:iCs/>
          <w:color w:val="000000"/>
          <w:sz w:val="20"/>
          <w:szCs w:val="20"/>
        </w:rPr>
        <w:t>EXECUTIVE COMPENSATION</w:t>
      </w:r>
    </w:p>
    <w:p w14:paraId="22CFAEBE" w14:textId="77777777" w:rsidR="002661BA" w:rsidRDefault="002661BA">
      <w:pPr>
        <w:ind w:firstLine="540"/>
        <w:jc w:val="both"/>
      </w:pPr>
    </w:p>
    <w:p w14:paraId="22CFAEBF" w14:textId="77777777" w:rsidR="002661BA" w:rsidRDefault="00D972BC">
      <w:pPr>
        <w:ind w:firstLine="450"/>
        <w:jc w:val="both"/>
      </w:pPr>
      <w:r>
        <w:rPr>
          <w:rFonts w:ascii="Arial" w:eastAsia="宋体" w:hAnsi="Arial" w:cs="Arial"/>
          <w:color w:val="000000"/>
          <w:sz w:val="20"/>
          <w:szCs w:val="20"/>
        </w:rPr>
        <w:t>Incorp</w:t>
      </w:r>
      <w:r>
        <w:rPr>
          <w:rFonts w:ascii="Arial" w:eastAsia="宋体" w:hAnsi="Arial" w:cs="Arial"/>
          <w:color w:val="000000"/>
          <w:sz w:val="20"/>
          <w:szCs w:val="20"/>
        </w:rPr>
        <w:t xml:space="preserve">orated by reference from our Proxy Statement for our 2022 Annual Meeting of Stockholders to be filed with the SEC within 120 days after the end of the year ended December 31, 2021. </w:t>
      </w:r>
    </w:p>
    <w:p w14:paraId="22CFAEC0" w14:textId="77777777" w:rsidR="002661BA" w:rsidRDefault="002661BA">
      <w:pPr>
        <w:jc w:val="both"/>
      </w:pPr>
    </w:p>
    <w:p w14:paraId="22CFAEC1" w14:textId="77777777" w:rsidR="002661BA" w:rsidRDefault="00D972BC">
      <w:pPr>
        <w:ind w:hanging="900"/>
        <w:jc w:val="both"/>
      </w:pPr>
      <w:r>
        <w:rPr>
          <w:rFonts w:ascii="Arial" w:eastAsia="宋体" w:hAnsi="Arial" w:cs="Arial"/>
          <w:b/>
          <w:bCs/>
          <w:color w:val="000000"/>
          <w:sz w:val="20"/>
          <w:szCs w:val="20"/>
        </w:rPr>
        <w:t xml:space="preserve">ITEM 12: </w:t>
      </w:r>
      <w:r>
        <w:rPr>
          <w:rFonts w:ascii="Arial" w:eastAsia="宋体" w:hAnsi="Arial" w:cs="Arial"/>
          <w:b/>
          <w:bCs/>
          <w:i/>
          <w:iCs/>
          <w:color w:val="000000"/>
          <w:sz w:val="20"/>
          <w:szCs w:val="20"/>
        </w:rPr>
        <w:t>SECURITY OWNERSHIP OF CERTAIN BENEFICIAL OWNERS AND MANAGEMENT A</w:t>
      </w:r>
      <w:r>
        <w:rPr>
          <w:rFonts w:ascii="Arial" w:eastAsia="宋体" w:hAnsi="Arial" w:cs="Arial"/>
          <w:b/>
          <w:bCs/>
          <w:i/>
          <w:iCs/>
          <w:color w:val="000000"/>
          <w:sz w:val="20"/>
          <w:szCs w:val="20"/>
        </w:rPr>
        <w:t>ND RELATED STOCKHOLDER MATTERS</w:t>
      </w:r>
    </w:p>
    <w:p w14:paraId="22CFAEC2" w14:textId="77777777" w:rsidR="002661BA" w:rsidRDefault="002661BA">
      <w:pPr>
        <w:ind w:firstLine="540"/>
        <w:jc w:val="both"/>
      </w:pPr>
    </w:p>
    <w:p w14:paraId="22CFAEC3" w14:textId="77777777" w:rsidR="002661BA" w:rsidRDefault="00D972BC">
      <w:pPr>
        <w:ind w:firstLine="450"/>
        <w:jc w:val="both"/>
      </w:pPr>
      <w:r>
        <w:rPr>
          <w:rFonts w:ascii="Arial" w:eastAsia="宋体" w:hAnsi="Arial" w:cs="Arial"/>
          <w:color w:val="000000"/>
          <w:sz w:val="20"/>
          <w:szCs w:val="20"/>
        </w:rPr>
        <w:t xml:space="preserve">Incorporated by reference from our Proxy Statement for our 2022 Annual Meeting of Stockholders to be filed with the SEC within 120 days after the end of the year ended December 31, 2021. </w:t>
      </w:r>
    </w:p>
    <w:p w14:paraId="22CFAEC4" w14:textId="77777777" w:rsidR="002661BA" w:rsidRDefault="002661BA">
      <w:pPr>
        <w:jc w:val="both"/>
      </w:pPr>
    </w:p>
    <w:p w14:paraId="22CFAEC5" w14:textId="77777777" w:rsidR="002661BA" w:rsidRDefault="00D972BC">
      <w:pPr>
        <w:ind w:hanging="1440"/>
        <w:jc w:val="both"/>
      </w:pPr>
      <w:r>
        <w:rPr>
          <w:rFonts w:ascii="Arial" w:eastAsia="宋体" w:hAnsi="Arial" w:cs="Arial"/>
          <w:b/>
          <w:bCs/>
          <w:color w:val="000000"/>
          <w:sz w:val="20"/>
          <w:szCs w:val="20"/>
        </w:rPr>
        <w:t xml:space="preserve">ITEM 13: </w:t>
      </w:r>
      <w:r>
        <w:rPr>
          <w:rFonts w:ascii="Arial" w:eastAsia="宋体" w:hAnsi="Arial" w:cs="Arial"/>
          <w:b/>
          <w:bCs/>
          <w:i/>
          <w:iCs/>
          <w:color w:val="000000"/>
          <w:sz w:val="20"/>
          <w:szCs w:val="20"/>
        </w:rPr>
        <w:t>CERTAIN RELATIONSHIPS AND RELATED TRANSACTIONS, AND DIRECT</w:t>
      </w:r>
      <w:r>
        <w:rPr>
          <w:rFonts w:ascii="Arial" w:eastAsia="宋体" w:hAnsi="Arial" w:cs="Arial"/>
          <w:b/>
          <w:bCs/>
          <w:i/>
          <w:iCs/>
          <w:color w:val="000000"/>
          <w:sz w:val="20"/>
          <w:szCs w:val="20"/>
        </w:rPr>
        <w:t>OR INDEPENDENCE</w:t>
      </w:r>
    </w:p>
    <w:p w14:paraId="22CFAEC6" w14:textId="77777777" w:rsidR="002661BA" w:rsidRDefault="002661BA">
      <w:pPr>
        <w:ind w:firstLine="540"/>
        <w:jc w:val="both"/>
      </w:pPr>
    </w:p>
    <w:p w14:paraId="22CFAEC7" w14:textId="77777777" w:rsidR="002661BA" w:rsidRDefault="00D972BC">
      <w:pPr>
        <w:ind w:firstLine="450"/>
        <w:jc w:val="both"/>
      </w:pPr>
      <w:r>
        <w:rPr>
          <w:rFonts w:ascii="Arial" w:eastAsia="宋体" w:hAnsi="Arial" w:cs="Arial"/>
          <w:color w:val="000000"/>
          <w:sz w:val="20"/>
          <w:szCs w:val="20"/>
        </w:rPr>
        <w:t xml:space="preserve">Incorporated by reference from our Proxy Statement for our 2022 Annual Meeting of Stockholders to be filed with the SEC within 120 days after the end of the year ended December 31, 2021. </w:t>
      </w:r>
    </w:p>
    <w:p w14:paraId="22CFAEC8" w14:textId="77777777" w:rsidR="002661BA" w:rsidRDefault="002661BA">
      <w:pPr>
        <w:jc w:val="both"/>
      </w:pPr>
    </w:p>
    <w:p w14:paraId="22CFAEC9" w14:textId="77777777" w:rsidR="002661BA" w:rsidRDefault="00D972BC">
      <w:pPr>
        <w:ind w:hanging="1440"/>
        <w:jc w:val="both"/>
      </w:pPr>
      <w:r>
        <w:rPr>
          <w:rFonts w:ascii="Arial" w:eastAsia="宋体" w:hAnsi="Arial" w:cs="Arial"/>
          <w:b/>
          <w:bCs/>
          <w:color w:val="000000"/>
          <w:sz w:val="20"/>
          <w:szCs w:val="20"/>
        </w:rPr>
        <w:t xml:space="preserve">ITEM 14: </w:t>
      </w:r>
      <w:r>
        <w:rPr>
          <w:rFonts w:ascii="Arial" w:eastAsia="宋体" w:hAnsi="Arial" w:cs="Arial"/>
          <w:b/>
          <w:bCs/>
          <w:i/>
          <w:iCs/>
          <w:color w:val="000000"/>
          <w:sz w:val="20"/>
          <w:szCs w:val="20"/>
        </w:rPr>
        <w:t>PRINCIPAL ACCOUNTANT FEES AND SERVICES</w:t>
      </w:r>
    </w:p>
    <w:p w14:paraId="22CFAECA" w14:textId="77777777" w:rsidR="002661BA" w:rsidRDefault="002661BA">
      <w:pPr>
        <w:ind w:firstLine="540"/>
        <w:jc w:val="both"/>
      </w:pPr>
    </w:p>
    <w:p w14:paraId="22CFAECB" w14:textId="77777777" w:rsidR="002661BA" w:rsidRDefault="00D972BC">
      <w:pPr>
        <w:ind w:firstLine="450"/>
        <w:jc w:val="both"/>
      </w:pPr>
      <w:r>
        <w:rPr>
          <w:rFonts w:ascii="Arial" w:eastAsia="宋体" w:hAnsi="Arial" w:cs="Arial"/>
          <w:color w:val="000000"/>
          <w:sz w:val="20"/>
          <w:szCs w:val="20"/>
        </w:rPr>
        <w:t>I</w:t>
      </w:r>
      <w:r>
        <w:rPr>
          <w:rFonts w:ascii="Arial" w:eastAsia="宋体" w:hAnsi="Arial" w:cs="Arial"/>
          <w:color w:val="000000"/>
          <w:sz w:val="20"/>
          <w:szCs w:val="20"/>
        </w:rPr>
        <w:t xml:space="preserve">ncorporated by reference from our Proxy Statement for our 2022 Annual Meeting of Stockholders to be filed with the SEC within 120 days after the end of the year ended December 31, 2021. </w:t>
      </w:r>
    </w:p>
    <w:p w14:paraId="22CFAECC" w14:textId="77777777" w:rsidR="002661BA" w:rsidRDefault="002661BA">
      <w:pPr>
        <w:ind w:firstLine="495"/>
        <w:jc w:val="both"/>
      </w:pPr>
    </w:p>
    <w:p w14:paraId="22CFAECD" w14:textId="77777777" w:rsidR="002661BA" w:rsidRDefault="00D972BC">
      <w:pPr>
        <w:jc w:val="center"/>
      </w:pPr>
      <w:r>
        <w:rPr>
          <w:rFonts w:ascii="Arial" w:eastAsia="宋体" w:hAnsi="Arial" w:cs="Arial"/>
          <w:color w:val="000000"/>
          <w:sz w:val="18"/>
          <w:szCs w:val="18"/>
        </w:rPr>
        <w:t>53</w:t>
      </w:r>
    </w:p>
    <w:p w14:paraId="22CFAECE" w14:textId="77777777" w:rsidR="002661BA" w:rsidRDefault="00D972BC">
      <w:r>
        <w:pict w14:anchorId="22CFE4E6">
          <v:rect id="_x0000_i1077" style="width:415.3pt;height:1.5pt" o:hralign="center" o:hrstd="t" o:hr="t" fillcolor="#a0a0a0" stroked="f"/>
        </w:pict>
      </w:r>
    </w:p>
    <w:p w14:paraId="22CFAECF" w14:textId="77777777" w:rsidR="002661BA" w:rsidRDefault="00D972BC">
      <w:hyperlink r:id="rId79" w:anchor="id0d7a71b05ce452ea9fdb54f3cb359c7_7" w:history="1">
        <w:r>
          <w:rPr>
            <w:rStyle w:val="a5"/>
            <w:rFonts w:ascii="Arial" w:eastAsia="宋体" w:hAnsi="Arial" w:cs="Arial"/>
            <w:sz w:val="18"/>
            <w:szCs w:val="18"/>
          </w:rPr>
          <w:t>Table of Contents</w:t>
        </w:r>
      </w:hyperlink>
    </w:p>
    <w:p w14:paraId="22CFAED0" w14:textId="77777777" w:rsidR="002661BA" w:rsidRDefault="00D972BC">
      <w:pPr>
        <w:jc w:val="center"/>
      </w:pPr>
      <w:r>
        <w:rPr>
          <w:rFonts w:ascii="Arial" w:eastAsia="宋体" w:hAnsi="Arial" w:cs="Arial"/>
          <w:b/>
          <w:bCs/>
          <w:color w:val="000000"/>
          <w:sz w:val="20"/>
          <w:szCs w:val="20"/>
        </w:rPr>
        <w:t xml:space="preserve">PART IV </w:t>
      </w:r>
    </w:p>
    <w:p w14:paraId="22CFAED1" w14:textId="77777777" w:rsidR="002661BA" w:rsidRDefault="002661BA">
      <w:pPr>
        <w:ind w:hanging="1440"/>
      </w:pPr>
    </w:p>
    <w:p w14:paraId="22CFAED2" w14:textId="77777777" w:rsidR="002661BA" w:rsidRDefault="00D972BC">
      <w:pPr>
        <w:ind w:hanging="1440"/>
      </w:pPr>
      <w:r>
        <w:rPr>
          <w:rFonts w:ascii="Arial" w:eastAsia="宋体" w:hAnsi="Arial" w:cs="Arial"/>
          <w:b/>
          <w:bCs/>
          <w:color w:val="000000"/>
          <w:sz w:val="20"/>
          <w:szCs w:val="20"/>
        </w:rPr>
        <w:t>ITEM 15:</w:t>
      </w:r>
      <w:r>
        <w:rPr>
          <w:rFonts w:ascii="Arial" w:eastAsia="宋体" w:hAnsi="Arial" w:cs="Arial"/>
          <w:b/>
          <w:bCs/>
          <w:i/>
          <w:iCs/>
          <w:color w:val="000000"/>
          <w:sz w:val="20"/>
          <w:szCs w:val="20"/>
        </w:rPr>
        <w:t xml:space="preserve"> EXHIBITS AND FINANCIAL STATEMENT SCHEDULE</w:t>
      </w:r>
      <w:r>
        <w:rPr>
          <w:rFonts w:ascii="Arial" w:eastAsia="宋体" w:hAnsi="Arial" w:cs="Arial"/>
          <w:b/>
          <w:bCs/>
          <w:color w:val="000000"/>
          <w:sz w:val="20"/>
          <w:szCs w:val="20"/>
        </w:rPr>
        <w:t xml:space="preserve"> </w:t>
      </w:r>
    </w:p>
    <w:p w14:paraId="22CFAED3" w14:textId="77777777" w:rsidR="002661BA" w:rsidRDefault="002661BA">
      <w:pPr>
        <w:ind w:hanging="1440"/>
      </w:pPr>
    </w:p>
    <w:p w14:paraId="22CFAED4" w14:textId="77777777" w:rsidR="002661BA" w:rsidRDefault="00D972BC">
      <w:pPr>
        <w:spacing w:before="60"/>
        <w:ind w:hanging="360"/>
      </w:pPr>
      <w:r>
        <w:rPr>
          <w:rFonts w:ascii="Arial" w:eastAsia="宋体" w:hAnsi="Arial" w:cs="Arial"/>
          <w:color w:val="000000"/>
          <w:sz w:val="20"/>
          <w:szCs w:val="20"/>
        </w:rPr>
        <w:t>a.The following docume</w:t>
      </w:r>
      <w:r>
        <w:rPr>
          <w:rFonts w:ascii="Arial" w:eastAsia="宋体" w:hAnsi="Arial" w:cs="Arial"/>
          <w:color w:val="000000"/>
          <w:sz w:val="20"/>
          <w:szCs w:val="20"/>
        </w:rPr>
        <w:t xml:space="preserve">nts are filed as part of this report: </w:t>
      </w:r>
    </w:p>
    <w:tbl>
      <w:tblPr>
        <w:tblW w:w="4639" w:type="pct"/>
        <w:tblInd w:w="-525" w:type="dxa"/>
        <w:tblCellMar>
          <w:top w:w="15" w:type="dxa"/>
          <w:left w:w="15" w:type="dxa"/>
          <w:bottom w:w="15" w:type="dxa"/>
          <w:right w:w="15" w:type="dxa"/>
        </w:tblCellMar>
        <w:tblLook w:val="04A0" w:firstRow="1" w:lastRow="0" w:firstColumn="1" w:lastColumn="0" w:noHBand="0" w:noVBand="1"/>
      </w:tblPr>
      <w:tblGrid>
        <w:gridCol w:w="39"/>
        <w:gridCol w:w="6833"/>
        <w:gridCol w:w="38"/>
        <w:gridCol w:w="84"/>
        <w:gridCol w:w="704"/>
        <w:gridCol w:w="36"/>
      </w:tblGrid>
      <w:tr w:rsidR="002661BA" w14:paraId="22CFAEDB" w14:textId="77777777">
        <w:tc>
          <w:tcPr>
            <w:tcW w:w="50" w:type="pct"/>
            <w:shd w:val="clear" w:color="auto" w:fill="auto"/>
            <w:vAlign w:val="bottom"/>
          </w:tcPr>
          <w:p w14:paraId="22CFAED5" w14:textId="77777777" w:rsidR="002661BA" w:rsidRDefault="002661BA">
            <w:pPr>
              <w:rPr>
                <w:rFonts w:ascii="宋体"/>
              </w:rPr>
            </w:pPr>
          </w:p>
        </w:tc>
        <w:tc>
          <w:tcPr>
            <w:tcW w:w="4468" w:type="pct"/>
            <w:shd w:val="clear" w:color="auto" w:fill="auto"/>
            <w:vAlign w:val="bottom"/>
          </w:tcPr>
          <w:p w14:paraId="22CFAED6" w14:textId="77777777" w:rsidR="002661BA" w:rsidRDefault="002661BA">
            <w:pPr>
              <w:rPr>
                <w:rFonts w:ascii="宋体"/>
              </w:rPr>
            </w:pPr>
          </w:p>
        </w:tc>
        <w:tc>
          <w:tcPr>
            <w:tcW w:w="5" w:type="pct"/>
            <w:shd w:val="clear" w:color="auto" w:fill="auto"/>
            <w:vAlign w:val="bottom"/>
          </w:tcPr>
          <w:p w14:paraId="22CFAED7" w14:textId="77777777" w:rsidR="002661BA" w:rsidRDefault="002661BA">
            <w:pPr>
              <w:rPr>
                <w:rFonts w:ascii="宋体"/>
              </w:rPr>
            </w:pPr>
          </w:p>
        </w:tc>
        <w:tc>
          <w:tcPr>
            <w:tcW w:w="50" w:type="pct"/>
            <w:shd w:val="clear" w:color="auto" w:fill="auto"/>
            <w:vAlign w:val="bottom"/>
          </w:tcPr>
          <w:p w14:paraId="22CFAED8" w14:textId="77777777" w:rsidR="002661BA" w:rsidRDefault="002661BA">
            <w:pPr>
              <w:rPr>
                <w:rFonts w:ascii="宋体"/>
              </w:rPr>
            </w:pPr>
          </w:p>
        </w:tc>
        <w:tc>
          <w:tcPr>
            <w:tcW w:w="421" w:type="pct"/>
            <w:shd w:val="clear" w:color="auto" w:fill="auto"/>
            <w:vAlign w:val="bottom"/>
          </w:tcPr>
          <w:p w14:paraId="22CFAED9" w14:textId="77777777" w:rsidR="002661BA" w:rsidRDefault="002661BA">
            <w:pPr>
              <w:rPr>
                <w:rFonts w:ascii="宋体"/>
              </w:rPr>
            </w:pPr>
          </w:p>
        </w:tc>
        <w:tc>
          <w:tcPr>
            <w:tcW w:w="5" w:type="pct"/>
            <w:shd w:val="clear" w:color="auto" w:fill="auto"/>
            <w:vAlign w:val="bottom"/>
          </w:tcPr>
          <w:p w14:paraId="22CFAEDA" w14:textId="77777777" w:rsidR="002661BA" w:rsidRDefault="002661BA">
            <w:pPr>
              <w:rPr>
                <w:rFonts w:ascii="宋体"/>
              </w:rPr>
            </w:pPr>
          </w:p>
        </w:tc>
      </w:tr>
      <w:tr w:rsidR="002661BA" w14:paraId="22CFAEDE" w14:textId="77777777">
        <w:tc>
          <w:tcPr>
            <w:tcW w:w="0" w:type="auto"/>
            <w:gridSpan w:val="3"/>
            <w:shd w:val="clear" w:color="auto" w:fill="auto"/>
            <w:tcMar>
              <w:top w:w="0" w:type="dxa"/>
              <w:left w:w="20" w:type="dxa"/>
              <w:bottom w:w="0" w:type="dxa"/>
              <w:right w:w="20" w:type="dxa"/>
            </w:tcMar>
            <w:vAlign w:val="bottom"/>
          </w:tcPr>
          <w:p w14:paraId="22CFAED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AEDD" w14:textId="77777777" w:rsidR="002661BA" w:rsidRDefault="00D972BC">
            <w:pPr>
              <w:jc w:val="center"/>
              <w:textAlignment w:val="bottom"/>
            </w:pPr>
            <w:r>
              <w:rPr>
                <w:rFonts w:ascii="Arial" w:eastAsia="宋体" w:hAnsi="Arial" w:cs="Arial"/>
                <w:b/>
                <w:bCs/>
                <w:color w:val="000000"/>
                <w:sz w:val="20"/>
                <w:szCs w:val="20"/>
              </w:rPr>
              <w:t>Page Number</w:t>
            </w:r>
          </w:p>
        </w:tc>
      </w:tr>
      <w:tr w:rsidR="002661BA" w14:paraId="22CFAEE1" w14:textId="77777777">
        <w:tc>
          <w:tcPr>
            <w:tcW w:w="0" w:type="auto"/>
            <w:gridSpan w:val="3"/>
            <w:shd w:val="clear" w:color="auto" w:fill="auto"/>
            <w:tcMar>
              <w:top w:w="40" w:type="dxa"/>
              <w:left w:w="20" w:type="dxa"/>
              <w:bottom w:w="40" w:type="dxa"/>
              <w:right w:w="20" w:type="dxa"/>
            </w:tcMar>
            <w:vAlign w:val="bottom"/>
          </w:tcPr>
          <w:p w14:paraId="22CFAEDF" w14:textId="77777777" w:rsidR="002661BA" w:rsidRDefault="00D972BC">
            <w:pPr>
              <w:textAlignment w:val="bottom"/>
            </w:pPr>
            <w:r>
              <w:rPr>
                <w:rFonts w:ascii="Arial" w:eastAsia="宋体" w:hAnsi="Arial" w:cs="Arial"/>
                <w:b/>
                <w:bCs/>
                <w:i/>
                <w:iCs/>
                <w:color w:val="000000"/>
                <w:sz w:val="20"/>
                <w:szCs w:val="20"/>
              </w:rPr>
              <w:t>1. Consolidated Financial Statements: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AEE0" w14:textId="77777777" w:rsidR="002661BA" w:rsidRDefault="002661BA">
            <w:pPr>
              <w:rPr>
                <w:rFonts w:ascii="宋体"/>
              </w:rPr>
            </w:pPr>
          </w:p>
        </w:tc>
      </w:tr>
      <w:tr w:rsidR="002661BA" w14:paraId="22CFAEE4" w14:textId="77777777">
        <w:tc>
          <w:tcPr>
            <w:tcW w:w="0" w:type="auto"/>
            <w:gridSpan w:val="3"/>
            <w:shd w:val="clear" w:color="auto" w:fill="auto"/>
            <w:tcMar>
              <w:top w:w="40" w:type="dxa"/>
              <w:left w:w="20" w:type="dxa"/>
              <w:bottom w:w="40" w:type="dxa"/>
              <w:right w:w="20" w:type="dxa"/>
            </w:tcMar>
            <w:vAlign w:val="bottom"/>
          </w:tcPr>
          <w:p w14:paraId="22CFAEE2" w14:textId="77777777" w:rsidR="002661BA" w:rsidRDefault="00D972BC">
            <w:pPr>
              <w:textAlignment w:val="bottom"/>
            </w:pPr>
            <w:r>
              <w:rPr>
                <w:rFonts w:ascii="Arial" w:eastAsia="宋体" w:hAnsi="Arial" w:cs="Arial"/>
                <w:color w:val="000000"/>
                <w:sz w:val="20"/>
                <w:szCs w:val="20"/>
              </w:rPr>
              <w:t>Report of Independent Registered Public Accounting Firm (PCAOB ID 238)</w:t>
            </w:r>
          </w:p>
        </w:tc>
        <w:tc>
          <w:tcPr>
            <w:tcW w:w="0" w:type="auto"/>
            <w:gridSpan w:val="3"/>
            <w:shd w:val="clear" w:color="auto" w:fill="auto"/>
            <w:tcMar>
              <w:top w:w="40" w:type="dxa"/>
              <w:left w:w="20" w:type="dxa"/>
              <w:bottom w:w="40" w:type="dxa"/>
              <w:right w:w="20" w:type="dxa"/>
            </w:tcMar>
            <w:vAlign w:val="bottom"/>
          </w:tcPr>
          <w:p w14:paraId="22CFAEE3" w14:textId="77777777" w:rsidR="002661BA" w:rsidRDefault="00D972BC">
            <w:pPr>
              <w:jc w:val="center"/>
              <w:textAlignment w:val="bottom"/>
            </w:pPr>
            <w:hyperlink r:id="rId80" w:anchor="id0d7a71b05ce452ea9fdb54f3cb359c7_103" w:history="1">
              <w:r>
                <w:rPr>
                  <w:rStyle w:val="a5"/>
                  <w:rFonts w:ascii="Arial" w:eastAsia="宋体" w:hAnsi="Arial" w:cs="Arial"/>
                  <w:sz w:val="20"/>
                  <w:szCs w:val="20"/>
                </w:rPr>
                <w:t>55</w:t>
              </w:r>
            </w:hyperlink>
          </w:p>
        </w:tc>
      </w:tr>
      <w:tr w:rsidR="002661BA" w14:paraId="22CFAEE7" w14:textId="77777777">
        <w:tc>
          <w:tcPr>
            <w:tcW w:w="0" w:type="auto"/>
            <w:gridSpan w:val="3"/>
            <w:shd w:val="clear" w:color="auto" w:fill="auto"/>
            <w:tcMar>
              <w:top w:w="40" w:type="dxa"/>
              <w:left w:w="335" w:type="dxa"/>
              <w:bottom w:w="40" w:type="dxa"/>
              <w:right w:w="20" w:type="dxa"/>
            </w:tcMar>
            <w:vAlign w:val="bottom"/>
          </w:tcPr>
          <w:p w14:paraId="22CFAEE5" w14:textId="77777777" w:rsidR="002661BA" w:rsidRDefault="00D972BC">
            <w:pPr>
              <w:textAlignment w:val="bottom"/>
            </w:pPr>
            <w:r>
              <w:rPr>
                <w:rFonts w:ascii="Arial" w:eastAsia="宋体" w:hAnsi="Arial" w:cs="Arial"/>
                <w:color w:val="000000"/>
                <w:sz w:val="20"/>
                <w:szCs w:val="20"/>
              </w:rPr>
              <w:t>Consolidated Balance Sheet</w:t>
            </w:r>
          </w:p>
        </w:tc>
        <w:tc>
          <w:tcPr>
            <w:tcW w:w="0" w:type="auto"/>
            <w:gridSpan w:val="3"/>
            <w:shd w:val="clear" w:color="auto" w:fill="auto"/>
            <w:tcMar>
              <w:top w:w="40" w:type="dxa"/>
              <w:left w:w="20" w:type="dxa"/>
              <w:bottom w:w="40" w:type="dxa"/>
              <w:right w:w="20" w:type="dxa"/>
            </w:tcMar>
            <w:vAlign w:val="bottom"/>
          </w:tcPr>
          <w:p w14:paraId="22CFAEE6" w14:textId="77777777" w:rsidR="002661BA" w:rsidRDefault="00D972BC">
            <w:pPr>
              <w:jc w:val="center"/>
              <w:textAlignment w:val="bottom"/>
            </w:pPr>
            <w:hyperlink r:id="rId81" w:anchor="id0d7a71b05ce452ea9fdb54f3cb359c7_106" w:history="1">
              <w:r>
                <w:rPr>
                  <w:rStyle w:val="a5"/>
                  <w:rFonts w:ascii="Arial" w:eastAsia="宋体" w:hAnsi="Arial" w:cs="Arial"/>
                  <w:sz w:val="20"/>
                  <w:szCs w:val="20"/>
                </w:rPr>
                <w:t>57</w:t>
              </w:r>
            </w:hyperlink>
          </w:p>
        </w:tc>
      </w:tr>
      <w:tr w:rsidR="002661BA" w14:paraId="22CFAEEA" w14:textId="77777777">
        <w:tc>
          <w:tcPr>
            <w:tcW w:w="0" w:type="auto"/>
            <w:gridSpan w:val="3"/>
            <w:shd w:val="clear" w:color="auto" w:fill="auto"/>
            <w:tcMar>
              <w:top w:w="40" w:type="dxa"/>
              <w:left w:w="335" w:type="dxa"/>
              <w:bottom w:w="40" w:type="dxa"/>
              <w:right w:w="20" w:type="dxa"/>
            </w:tcMar>
            <w:vAlign w:val="bottom"/>
          </w:tcPr>
          <w:p w14:paraId="22CFAEE8" w14:textId="77777777" w:rsidR="002661BA" w:rsidRDefault="00D972BC">
            <w:pPr>
              <w:textAlignment w:val="bottom"/>
            </w:pPr>
            <w:r>
              <w:rPr>
                <w:rFonts w:ascii="Arial" w:eastAsia="宋体" w:hAnsi="Arial" w:cs="Arial"/>
                <w:color w:val="000000"/>
                <w:sz w:val="20"/>
                <w:szCs w:val="20"/>
              </w:rPr>
              <w:t>Consolidated Statement of Income</w:t>
            </w:r>
          </w:p>
        </w:tc>
        <w:tc>
          <w:tcPr>
            <w:tcW w:w="0" w:type="auto"/>
            <w:gridSpan w:val="3"/>
            <w:shd w:val="clear" w:color="auto" w:fill="auto"/>
            <w:tcMar>
              <w:top w:w="40" w:type="dxa"/>
              <w:left w:w="20" w:type="dxa"/>
              <w:bottom w:w="40" w:type="dxa"/>
              <w:right w:w="20" w:type="dxa"/>
            </w:tcMar>
            <w:vAlign w:val="bottom"/>
          </w:tcPr>
          <w:p w14:paraId="22CFAEE9" w14:textId="77777777" w:rsidR="002661BA" w:rsidRDefault="00D972BC">
            <w:pPr>
              <w:jc w:val="center"/>
              <w:textAlignment w:val="bottom"/>
            </w:pPr>
            <w:hyperlink r:id="rId82" w:anchor="id0d7a71b05ce452ea9fdb54f3cb359c7_112" w:history="1">
              <w:r>
                <w:rPr>
                  <w:rStyle w:val="a5"/>
                  <w:rFonts w:ascii="Arial" w:eastAsia="宋体" w:hAnsi="Arial" w:cs="Arial"/>
                  <w:sz w:val="20"/>
                  <w:szCs w:val="20"/>
                </w:rPr>
                <w:t>58</w:t>
              </w:r>
            </w:hyperlink>
          </w:p>
        </w:tc>
      </w:tr>
      <w:tr w:rsidR="002661BA" w14:paraId="22CFAEED" w14:textId="77777777">
        <w:tc>
          <w:tcPr>
            <w:tcW w:w="0" w:type="auto"/>
            <w:gridSpan w:val="3"/>
            <w:shd w:val="clear" w:color="auto" w:fill="auto"/>
            <w:tcMar>
              <w:top w:w="40" w:type="dxa"/>
              <w:left w:w="335" w:type="dxa"/>
              <w:bottom w:w="40" w:type="dxa"/>
              <w:right w:w="20" w:type="dxa"/>
            </w:tcMar>
            <w:vAlign w:val="bottom"/>
          </w:tcPr>
          <w:p w14:paraId="22CFAEEB" w14:textId="77777777" w:rsidR="002661BA" w:rsidRDefault="00D972BC">
            <w:pPr>
              <w:textAlignment w:val="bottom"/>
            </w:pPr>
            <w:r>
              <w:rPr>
                <w:rFonts w:ascii="Arial" w:eastAsia="宋体" w:hAnsi="Arial" w:cs="Arial"/>
                <w:color w:val="000000"/>
                <w:sz w:val="20"/>
                <w:szCs w:val="20"/>
              </w:rPr>
              <w:t>Consolidated Statement of Comprehensive Income</w:t>
            </w:r>
          </w:p>
        </w:tc>
        <w:tc>
          <w:tcPr>
            <w:tcW w:w="0" w:type="auto"/>
            <w:gridSpan w:val="3"/>
            <w:shd w:val="clear" w:color="auto" w:fill="auto"/>
            <w:tcMar>
              <w:top w:w="40" w:type="dxa"/>
              <w:left w:w="20" w:type="dxa"/>
              <w:bottom w:w="40" w:type="dxa"/>
              <w:right w:w="20" w:type="dxa"/>
            </w:tcMar>
            <w:vAlign w:val="bottom"/>
          </w:tcPr>
          <w:p w14:paraId="22CFAEEC" w14:textId="77777777" w:rsidR="002661BA" w:rsidRDefault="00D972BC">
            <w:pPr>
              <w:jc w:val="center"/>
              <w:textAlignment w:val="bottom"/>
            </w:pPr>
            <w:hyperlink r:id="rId83" w:anchor="id0d7a71b05ce452ea9fdb54f3cb359c7_115" w:history="1">
              <w:r>
                <w:rPr>
                  <w:rStyle w:val="a5"/>
                  <w:rFonts w:ascii="Arial" w:eastAsia="宋体" w:hAnsi="Arial" w:cs="Arial"/>
                  <w:sz w:val="20"/>
                  <w:szCs w:val="20"/>
                </w:rPr>
                <w:t>59</w:t>
              </w:r>
            </w:hyperlink>
          </w:p>
        </w:tc>
      </w:tr>
      <w:tr w:rsidR="002661BA" w14:paraId="22CFAEF0" w14:textId="77777777">
        <w:tc>
          <w:tcPr>
            <w:tcW w:w="0" w:type="auto"/>
            <w:gridSpan w:val="3"/>
            <w:shd w:val="clear" w:color="auto" w:fill="auto"/>
            <w:tcMar>
              <w:top w:w="40" w:type="dxa"/>
              <w:left w:w="335" w:type="dxa"/>
              <w:bottom w:w="40" w:type="dxa"/>
              <w:right w:w="20" w:type="dxa"/>
            </w:tcMar>
            <w:vAlign w:val="bottom"/>
          </w:tcPr>
          <w:p w14:paraId="22CFAEEE" w14:textId="77777777" w:rsidR="002661BA" w:rsidRDefault="00D972BC">
            <w:pPr>
              <w:textAlignment w:val="bottom"/>
            </w:pPr>
            <w:r>
              <w:rPr>
                <w:rFonts w:ascii="Arial" w:eastAsia="宋体" w:hAnsi="Arial" w:cs="Arial"/>
                <w:color w:val="000000"/>
                <w:sz w:val="20"/>
                <w:szCs w:val="20"/>
              </w:rPr>
              <w:t>Consolidated Statement of Stockholders’ Equity</w:t>
            </w:r>
          </w:p>
        </w:tc>
        <w:tc>
          <w:tcPr>
            <w:tcW w:w="0" w:type="auto"/>
            <w:gridSpan w:val="3"/>
            <w:shd w:val="clear" w:color="auto" w:fill="auto"/>
            <w:tcMar>
              <w:top w:w="40" w:type="dxa"/>
              <w:left w:w="20" w:type="dxa"/>
              <w:bottom w:w="40" w:type="dxa"/>
              <w:right w:w="20" w:type="dxa"/>
            </w:tcMar>
            <w:vAlign w:val="bottom"/>
          </w:tcPr>
          <w:p w14:paraId="22CFAEEF" w14:textId="77777777" w:rsidR="002661BA" w:rsidRDefault="00D972BC">
            <w:pPr>
              <w:jc w:val="center"/>
              <w:textAlignment w:val="bottom"/>
            </w:pPr>
            <w:hyperlink r:id="rId84" w:anchor="id0d7a71b05ce452ea9fdb54f3cb359c7_118" w:history="1">
              <w:r>
                <w:rPr>
                  <w:rStyle w:val="a5"/>
                  <w:rFonts w:ascii="Arial" w:eastAsia="宋体" w:hAnsi="Arial" w:cs="Arial"/>
                  <w:sz w:val="20"/>
                  <w:szCs w:val="20"/>
                </w:rPr>
                <w:t>60</w:t>
              </w:r>
            </w:hyperlink>
          </w:p>
        </w:tc>
      </w:tr>
      <w:tr w:rsidR="002661BA" w14:paraId="22CFAEF3" w14:textId="77777777">
        <w:tc>
          <w:tcPr>
            <w:tcW w:w="0" w:type="auto"/>
            <w:gridSpan w:val="3"/>
            <w:shd w:val="clear" w:color="auto" w:fill="auto"/>
            <w:tcMar>
              <w:top w:w="40" w:type="dxa"/>
              <w:left w:w="335" w:type="dxa"/>
              <w:bottom w:w="40" w:type="dxa"/>
              <w:right w:w="20" w:type="dxa"/>
            </w:tcMar>
            <w:vAlign w:val="bottom"/>
          </w:tcPr>
          <w:p w14:paraId="22CFAEF1" w14:textId="77777777" w:rsidR="002661BA" w:rsidRDefault="00D972BC">
            <w:pPr>
              <w:textAlignment w:val="bottom"/>
            </w:pPr>
            <w:r>
              <w:rPr>
                <w:rFonts w:ascii="Arial" w:eastAsia="宋体" w:hAnsi="Arial" w:cs="Arial"/>
                <w:color w:val="000000"/>
                <w:sz w:val="20"/>
                <w:szCs w:val="20"/>
              </w:rPr>
              <w:t>Consolidated Statement of Cash Flows</w:t>
            </w:r>
          </w:p>
        </w:tc>
        <w:tc>
          <w:tcPr>
            <w:tcW w:w="0" w:type="auto"/>
            <w:gridSpan w:val="3"/>
            <w:shd w:val="clear" w:color="auto" w:fill="auto"/>
            <w:tcMar>
              <w:top w:w="40" w:type="dxa"/>
              <w:left w:w="20" w:type="dxa"/>
              <w:bottom w:w="40" w:type="dxa"/>
              <w:right w:w="20" w:type="dxa"/>
            </w:tcMar>
            <w:vAlign w:val="bottom"/>
          </w:tcPr>
          <w:p w14:paraId="22CFAEF2" w14:textId="77777777" w:rsidR="002661BA" w:rsidRDefault="00D972BC">
            <w:pPr>
              <w:jc w:val="center"/>
              <w:textAlignment w:val="bottom"/>
            </w:pPr>
            <w:hyperlink r:id="rId85" w:anchor="id0d7a71b05ce452ea9fdb54f3cb359c7_121" w:history="1">
              <w:r>
                <w:rPr>
                  <w:rStyle w:val="a5"/>
                  <w:rFonts w:ascii="Arial" w:eastAsia="宋体" w:hAnsi="Arial" w:cs="Arial"/>
                  <w:sz w:val="20"/>
                  <w:szCs w:val="20"/>
                </w:rPr>
                <w:t>61</w:t>
              </w:r>
            </w:hyperlink>
          </w:p>
        </w:tc>
      </w:tr>
      <w:tr w:rsidR="002661BA" w14:paraId="22CFAEF6" w14:textId="77777777">
        <w:tc>
          <w:tcPr>
            <w:tcW w:w="0" w:type="auto"/>
            <w:gridSpan w:val="3"/>
            <w:shd w:val="clear" w:color="auto" w:fill="auto"/>
            <w:tcMar>
              <w:top w:w="40" w:type="dxa"/>
              <w:left w:w="335" w:type="dxa"/>
              <w:bottom w:w="40" w:type="dxa"/>
              <w:right w:w="20" w:type="dxa"/>
            </w:tcMar>
            <w:vAlign w:val="bottom"/>
          </w:tcPr>
          <w:p w14:paraId="22CFAEF4" w14:textId="77777777" w:rsidR="002661BA" w:rsidRDefault="00D972BC">
            <w:pPr>
              <w:textAlignment w:val="bottom"/>
            </w:pPr>
            <w:r>
              <w:rPr>
                <w:rFonts w:ascii="Arial" w:eastAsia="宋体" w:hAnsi="Arial" w:cs="Arial"/>
                <w:color w:val="000000"/>
                <w:sz w:val="20"/>
                <w:szCs w:val="20"/>
              </w:rPr>
              <w:t>Notes to Consolidated Financial Statements</w:t>
            </w:r>
          </w:p>
        </w:tc>
        <w:tc>
          <w:tcPr>
            <w:tcW w:w="0" w:type="auto"/>
            <w:gridSpan w:val="3"/>
            <w:shd w:val="clear" w:color="auto" w:fill="auto"/>
            <w:tcMar>
              <w:top w:w="40" w:type="dxa"/>
              <w:left w:w="20" w:type="dxa"/>
              <w:bottom w:w="40" w:type="dxa"/>
              <w:right w:w="20" w:type="dxa"/>
            </w:tcMar>
            <w:vAlign w:val="bottom"/>
          </w:tcPr>
          <w:p w14:paraId="22CFAEF5" w14:textId="77777777" w:rsidR="002661BA" w:rsidRDefault="00D972BC">
            <w:pPr>
              <w:jc w:val="center"/>
              <w:textAlignment w:val="bottom"/>
            </w:pPr>
            <w:hyperlink r:id="rId86" w:anchor="id0d7a71b05ce452ea9fdb54f3cb359c7_124" w:history="1">
              <w:r>
                <w:rPr>
                  <w:rStyle w:val="a5"/>
                  <w:rFonts w:ascii="Arial" w:eastAsia="宋体" w:hAnsi="Arial" w:cs="Arial"/>
                  <w:sz w:val="20"/>
                  <w:szCs w:val="20"/>
                </w:rPr>
                <w:t>63</w:t>
              </w:r>
            </w:hyperlink>
          </w:p>
        </w:tc>
      </w:tr>
      <w:tr w:rsidR="002661BA" w14:paraId="22CFAEF9" w14:textId="77777777">
        <w:trPr>
          <w:trHeight w:val="280"/>
        </w:trPr>
        <w:tc>
          <w:tcPr>
            <w:tcW w:w="0" w:type="auto"/>
            <w:gridSpan w:val="3"/>
            <w:shd w:val="clear" w:color="auto" w:fill="auto"/>
            <w:tcMar>
              <w:top w:w="0" w:type="dxa"/>
              <w:left w:w="20" w:type="dxa"/>
              <w:bottom w:w="0" w:type="dxa"/>
              <w:right w:w="20" w:type="dxa"/>
            </w:tcMar>
            <w:vAlign w:val="bottom"/>
          </w:tcPr>
          <w:p w14:paraId="22CFAEF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EF8" w14:textId="77777777" w:rsidR="002661BA" w:rsidRDefault="002661BA">
            <w:pPr>
              <w:rPr>
                <w:rFonts w:ascii="宋体"/>
              </w:rPr>
            </w:pPr>
          </w:p>
        </w:tc>
      </w:tr>
      <w:tr w:rsidR="002661BA" w14:paraId="22CFAEFC" w14:textId="77777777">
        <w:tc>
          <w:tcPr>
            <w:tcW w:w="0" w:type="auto"/>
            <w:gridSpan w:val="3"/>
            <w:shd w:val="clear" w:color="auto" w:fill="auto"/>
            <w:tcMar>
              <w:top w:w="40" w:type="dxa"/>
              <w:left w:w="65" w:type="dxa"/>
              <w:bottom w:w="40" w:type="dxa"/>
              <w:right w:w="20" w:type="dxa"/>
            </w:tcMar>
            <w:vAlign w:val="bottom"/>
          </w:tcPr>
          <w:p w14:paraId="22CFAEFA" w14:textId="77777777" w:rsidR="002661BA" w:rsidRDefault="00D972BC">
            <w:pPr>
              <w:textAlignment w:val="bottom"/>
            </w:pPr>
            <w:r>
              <w:rPr>
                <w:rFonts w:ascii="Arial" w:eastAsia="宋体" w:hAnsi="Arial" w:cs="Arial"/>
                <w:b/>
                <w:bCs/>
                <w:i/>
                <w:iCs/>
                <w:color w:val="000000"/>
                <w:sz w:val="20"/>
                <w:szCs w:val="20"/>
              </w:rPr>
              <w:t>2. Financial Statement Schedule</w:t>
            </w:r>
          </w:p>
        </w:tc>
        <w:tc>
          <w:tcPr>
            <w:tcW w:w="0" w:type="auto"/>
            <w:gridSpan w:val="3"/>
            <w:shd w:val="clear" w:color="auto" w:fill="auto"/>
            <w:tcMar>
              <w:top w:w="0" w:type="dxa"/>
              <w:left w:w="20" w:type="dxa"/>
              <w:bottom w:w="0" w:type="dxa"/>
              <w:right w:w="20" w:type="dxa"/>
            </w:tcMar>
            <w:vAlign w:val="bottom"/>
          </w:tcPr>
          <w:p w14:paraId="22CFAEFB" w14:textId="77777777" w:rsidR="002661BA" w:rsidRDefault="002661BA">
            <w:pPr>
              <w:rPr>
                <w:rFonts w:ascii="宋体"/>
              </w:rPr>
            </w:pPr>
          </w:p>
        </w:tc>
      </w:tr>
      <w:tr w:rsidR="002661BA" w14:paraId="22CFAEFF" w14:textId="77777777">
        <w:tc>
          <w:tcPr>
            <w:tcW w:w="0" w:type="auto"/>
            <w:gridSpan w:val="3"/>
            <w:shd w:val="clear" w:color="auto" w:fill="auto"/>
            <w:tcMar>
              <w:top w:w="40" w:type="dxa"/>
              <w:left w:w="335" w:type="dxa"/>
              <w:bottom w:w="40" w:type="dxa"/>
              <w:right w:w="20" w:type="dxa"/>
            </w:tcMar>
            <w:vAlign w:val="bottom"/>
          </w:tcPr>
          <w:p w14:paraId="22CFAEFD" w14:textId="77777777" w:rsidR="002661BA" w:rsidRDefault="00D972BC">
            <w:pPr>
              <w:textAlignment w:val="bottom"/>
            </w:pPr>
            <w:r>
              <w:rPr>
                <w:rFonts w:ascii="Arial" w:eastAsia="宋体" w:hAnsi="Arial" w:cs="Arial"/>
                <w:color w:val="000000"/>
                <w:sz w:val="20"/>
                <w:szCs w:val="20"/>
              </w:rPr>
              <w:t>Schedule II - Valuation and Qualifying Accounts</w:t>
            </w:r>
          </w:p>
        </w:tc>
        <w:tc>
          <w:tcPr>
            <w:tcW w:w="0" w:type="auto"/>
            <w:gridSpan w:val="3"/>
            <w:shd w:val="clear" w:color="auto" w:fill="auto"/>
            <w:tcMar>
              <w:top w:w="40" w:type="dxa"/>
              <w:left w:w="20" w:type="dxa"/>
              <w:bottom w:w="40" w:type="dxa"/>
              <w:right w:w="20" w:type="dxa"/>
            </w:tcMar>
            <w:vAlign w:val="bottom"/>
          </w:tcPr>
          <w:p w14:paraId="22CFAEFE" w14:textId="77777777" w:rsidR="002661BA" w:rsidRDefault="00D972BC">
            <w:pPr>
              <w:jc w:val="center"/>
              <w:textAlignment w:val="bottom"/>
            </w:pPr>
            <w:hyperlink r:id="rId87" w:anchor="id0d7a71b05ce452ea9fdb54f3cb359c7_220" w:history="1">
              <w:r>
                <w:rPr>
                  <w:rStyle w:val="a5"/>
                  <w:rFonts w:ascii="Arial" w:eastAsia="宋体" w:hAnsi="Arial" w:cs="Arial"/>
                  <w:sz w:val="20"/>
                  <w:szCs w:val="20"/>
                </w:rPr>
                <w:t>115</w:t>
              </w:r>
            </w:hyperlink>
          </w:p>
        </w:tc>
      </w:tr>
      <w:tr w:rsidR="002661BA" w14:paraId="22CFAF02" w14:textId="77777777">
        <w:tc>
          <w:tcPr>
            <w:tcW w:w="0" w:type="auto"/>
            <w:gridSpan w:val="3"/>
            <w:shd w:val="clear" w:color="auto" w:fill="auto"/>
            <w:tcMar>
              <w:top w:w="40" w:type="dxa"/>
              <w:left w:w="740" w:type="dxa"/>
              <w:bottom w:w="40" w:type="dxa"/>
              <w:right w:w="20" w:type="dxa"/>
            </w:tcMar>
            <w:vAlign w:val="bottom"/>
          </w:tcPr>
          <w:p w14:paraId="22CFAF00" w14:textId="77777777" w:rsidR="002661BA" w:rsidRDefault="00D972BC">
            <w:pPr>
              <w:textAlignment w:val="bottom"/>
            </w:pPr>
            <w:r>
              <w:rPr>
                <w:rFonts w:ascii="Arial" w:eastAsia="宋体" w:hAnsi="Arial" w:cs="Arial"/>
                <w:color w:val="000000"/>
                <w:sz w:val="20"/>
                <w:szCs w:val="20"/>
              </w:rPr>
              <w:t xml:space="preserve">All other schedules have been omitted because the information required to be set forth therein is not applicable or is shown in the financial statements or notes thereto. </w:t>
            </w:r>
          </w:p>
        </w:tc>
        <w:tc>
          <w:tcPr>
            <w:tcW w:w="0" w:type="auto"/>
            <w:gridSpan w:val="3"/>
            <w:shd w:val="clear" w:color="auto" w:fill="auto"/>
            <w:tcMar>
              <w:top w:w="0" w:type="dxa"/>
              <w:left w:w="20" w:type="dxa"/>
              <w:bottom w:w="0" w:type="dxa"/>
              <w:right w:w="20" w:type="dxa"/>
            </w:tcMar>
            <w:vAlign w:val="bottom"/>
          </w:tcPr>
          <w:p w14:paraId="22CFAF01" w14:textId="77777777" w:rsidR="002661BA" w:rsidRDefault="002661BA">
            <w:pPr>
              <w:rPr>
                <w:rFonts w:ascii="宋体"/>
              </w:rPr>
            </w:pPr>
          </w:p>
        </w:tc>
      </w:tr>
      <w:tr w:rsidR="002661BA" w14:paraId="22CFAF05" w14:textId="77777777">
        <w:trPr>
          <w:trHeight w:val="280"/>
        </w:trPr>
        <w:tc>
          <w:tcPr>
            <w:tcW w:w="0" w:type="auto"/>
            <w:gridSpan w:val="3"/>
            <w:shd w:val="clear" w:color="auto" w:fill="auto"/>
            <w:tcMar>
              <w:top w:w="0" w:type="dxa"/>
              <w:left w:w="20" w:type="dxa"/>
              <w:bottom w:w="0" w:type="dxa"/>
              <w:right w:w="20" w:type="dxa"/>
            </w:tcMar>
            <w:vAlign w:val="bottom"/>
          </w:tcPr>
          <w:p w14:paraId="22CFAF0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AF04" w14:textId="77777777" w:rsidR="002661BA" w:rsidRDefault="002661BA">
            <w:pPr>
              <w:rPr>
                <w:rFonts w:ascii="宋体"/>
              </w:rPr>
            </w:pPr>
          </w:p>
        </w:tc>
      </w:tr>
      <w:tr w:rsidR="002661BA" w14:paraId="22CFAF08" w14:textId="77777777">
        <w:tc>
          <w:tcPr>
            <w:tcW w:w="0" w:type="auto"/>
            <w:gridSpan w:val="3"/>
            <w:shd w:val="clear" w:color="auto" w:fill="auto"/>
            <w:tcMar>
              <w:top w:w="40" w:type="dxa"/>
              <w:left w:w="65" w:type="dxa"/>
              <w:bottom w:w="40" w:type="dxa"/>
              <w:right w:w="20" w:type="dxa"/>
            </w:tcMar>
            <w:vAlign w:val="bottom"/>
          </w:tcPr>
          <w:p w14:paraId="22CFAF06" w14:textId="77777777" w:rsidR="002661BA" w:rsidRDefault="00D972BC">
            <w:pPr>
              <w:textAlignment w:val="bottom"/>
            </w:pPr>
            <w:r>
              <w:rPr>
                <w:rFonts w:ascii="Arial" w:eastAsia="宋体" w:hAnsi="Arial" w:cs="Arial"/>
                <w:b/>
                <w:bCs/>
                <w:i/>
                <w:iCs/>
                <w:color w:val="000000"/>
                <w:sz w:val="20"/>
                <w:szCs w:val="20"/>
              </w:rPr>
              <w:t>3. Exhibits Required by Item 601 of Regulation S-K</w:t>
            </w:r>
          </w:p>
        </w:tc>
        <w:tc>
          <w:tcPr>
            <w:tcW w:w="0" w:type="auto"/>
            <w:gridSpan w:val="3"/>
            <w:shd w:val="clear" w:color="auto" w:fill="auto"/>
            <w:tcMar>
              <w:top w:w="0" w:type="dxa"/>
              <w:left w:w="20" w:type="dxa"/>
              <w:bottom w:w="0" w:type="dxa"/>
              <w:right w:w="20" w:type="dxa"/>
            </w:tcMar>
            <w:vAlign w:val="bottom"/>
          </w:tcPr>
          <w:p w14:paraId="22CFAF07" w14:textId="77777777" w:rsidR="002661BA" w:rsidRDefault="002661BA">
            <w:pPr>
              <w:rPr>
                <w:rFonts w:ascii="宋体"/>
              </w:rPr>
            </w:pPr>
          </w:p>
        </w:tc>
      </w:tr>
      <w:tr w:rsidR="002661BA" w14:paraId="22CFAF0B" w14:textId="77777777">
        <w:tc>
          <w:tcPr>
            <w:tcW w:w="0" w:type="auto"/>
            <w:gridSpan w:val="3"/>
            <w:shd w:val="clear" w:color="auto" w:fill="auto"/>
            <w:tcMar>
              <w:top w:w="40" w:type="dxa"/>
              <w:left w:w="740" w:type="dxa"/>
              <w:bottom w:w="40" w:type="dxa"/>
              <w:right w:w="20" w:type="dxa"/>
            </w:tcMar>
            <w:vAlign w:val="bottom"/>
          </w:tcPr>
          <w:p w14:paraId="22CFAF09" w14:textId="77777777" w:rsidR="002661BA" w:rsidRDefault="00D972BC">
            <w:pPr>
              <w:textAlignment w:val="bottom"/>
            </w:pPr>
            <w:r>
              <w:rPr>
                <w:rFonts w:ascii="Arial" w:eastAsia="宋体" w:hAnsi="Arial" w:cs="Arial"/>
                <w:color w:val="000000"/>
                <w:sz w:val="20"/>
                <w:szCs w:val="20"/>
              </w:rPr>
              <w:t xml:space="preserve">The information </w:t>
            </w:r>
            <w:r>
              <w:rPr>
                <w:rFonts w:ascii="Arial" w:eastAsia="宋体" w:hAnsi="Arial" w:cs="Arial"/>
                <w:color w:val="000000"/>
                <w:sz w:val="20"/>
                <w:szCs w:val="20"/>
              </w:rPr>
              <w:t>required by this Item is set forth in the Index to Exhibits that precedes the signature page of this Annual Report.</w:t>
            </w:r>
          </w:p>
        </w:tc>
        <w:tc>
          <w:tcPr>
            <w:tcW w:w="0" w:type="auto"/>
            <w:gridSpan w:val="3"/>
            <w:shd w:val="clear" w:color="auto" w:fill="auto"/>
            <w:tcMar>
              <w:top w:w="40" w:type="dxa"/>
              <w:left w:w="20" w:type="dxa"/>
              <w:bottom w:w="40" w:type="dxa"/>
              <w:right w:w="20" w:type="dxa"/>
            </w:tcMar>
          </w:tcPr>
          <w:p w14:paraId="22CFAF0A" w14:textId="77777777" w:rsidR="002661BA" w:rsidRDefault="00D972BC">
            <w:pPr>
              <w:jc w:val="center"/>
              <w:textAlignment w:val="top"/>
            </w:pPr>
            <w:hyperlink r:id="rId88" w:anchor="id0d7a71b05ce452ea9fdb54f3cb359c7_223" w:history="1">
              <w:r>
                <w:rPr>
                  <w:rStyle w:val="a5"/>
                  <w:rFonts w:ascii="Arial" w:eastAsia="宋体" w:hAnsi="Arial" w:cs="Arial"/>
                  <w:sz w:val="20"/>
                  <w:szCs w:val="20"/>
                </w:rPr>
                <w:t>116</w:t>
              </w:r>
            </w:hyperlink>
          </w:p>
        </w:tc>
      </w:tr>
    </w:tbl>
    <w:p w14:paraId="22CFAF0C" w14:textId="77777777" w:rsidR="002661BA" w:rsidRDefault="002661BA">
      <w:pPr>
        <w:spacing w:before="60"/>
      </w:pPr>
    </w:p>
    <w:p w14:paraId="22CFAF0D" w14:textId="77777777" w:rsidR="002661BA" w:rsidRDefault="00D972BC">
      <w:pPr>
        <w:ind w:hanging="360"/>
        <w:jc w:val="both"/>
      </w:pPr>
      <w:r>
        <w:rPr>
          <w:rFonts w:ascii="Arial" w:eastAsia="宋体" w:hAnsi="Arial" w:cs="Arial"/>
          <w:color w:val="000000"/>
          <w:sz w:val="20"/>
          <w:szCs w:val="20"/>
        </w:rPr>
        <w:t>b.The information required by this Item is set forth in the Index to Exhibits that precedes the signature page of this Annual Report.</w:t>
      </w:r>
    </w:p>
    <w:p w14:paraId="22CFAF0E" w14:textId="77777777" w:rsidR="002661BA" w:rsidRDefault="002661BA">
      <w:pPr>
        <w:jc w:val="both"/>
      </w:pPr>
    </w:p>
    <w:p w14:paraId="22CFAF0F" w14:textId="77777777" w:rsidR="002661BA" w:rsidRDefault="00D972BC">
      <w:pPr>
        <w:ind w:hanging="360"/>
        <w:jc w:val="both"/>
      </w:pPr>
      <w:r>
        <w:rPr>
          <w:rFonts w:ascii="Arial" w:eastAsia="宋体" w:hAnsi="Arial" w:cs="Arial"/>
          <w:color w:val="000000"/>
          <w:sz w:val="20"/>
          <w:szCs w:val="20"/>
        </w:rPr>
        <w:t xml:space="preserve">c.Financial Statement Schedule and Separate Financial Statements of Subsidiaries Not </w:t>
      </w:r>
      <w:r>
        <w:rPr>
          <w:rFonts w:ascii="Arial" w:eastAsia="宋体" w:hAnsi="Arial" w:cs="Arial"/>
          <w:color w:val="000000"/>
          <w:sz w:val="20"/>
          <w:szCs w:val="20"/>
        </w:rPr>
        <w:t>Consolidated and</w:t>
      </w:r>
    </w:p>
    <w:p w14:paraId="22CFAF10" w14:textId="77777777" w:rsidR="002661BA" w:rsidRDefault="00D972BC">
      <w:pPr>
        <w:jc w:val="both"/>
      </w:pPr>
      <w:r>
        <w:rPr>
          <w:rFonts w:ascii="Arial" w:eastAsia="宋体" w:hAnsi="Arial" w:cs="Arial"/>
          <w:color w:val="000000"/>
          <w:sz w:val="20"/>
          <w:szCs w:val="20"/>
        </w:rPr>
        <w:t>Fifty Percent or Less Owned Persons</w:t>
      </w:r>
    </w:p>
    <w:p w14:paraId="22CFAF11" w14:textId="77777777" w:rsidR="002661BA" w:rsidRDefault="002661BA">
      <w:pPr>
        <w:jc w:val="both"/>
      </w:pPr>
    </w:p>
    <w:p w14:paraId="22CFAF12" w14:textId="77777777" w:rsidR="002661BA" w:rsidRDefault="00D972BC">
      <w:pPr>
        <w:jc w:val="both"/>
      </w:pPr>
      <w:r>
        <w:rPr>
          <w:rFonts w:ascii="Arial" w:eastAsia="宋体" w:hAnsi="Arial" w:cs="Arial"/>
          <w:color w:val="000000"/>
          <w:sz w:val="20"/>
          <w:szCs w:val="20"/>
        </w:rPr>
        <w:t>Adevinta was deemed a significant equity investee under Rule 3-09 of Regulation S-X</w:t>
      </w:r>
      <w:r>
        <w:rPr>
          <w:rFonts w:ascii="Arial" w:eastAsia="宋体" w:hAnsi="Arial" w:cs="Arial"/>
          <w:b/>
          <w:bCs/>
          <w:color w:val="000000"/>
          <w:sz w:val="20"/>
          <w:szCs w:val="20"/>
        </w:rPr>
        <w:t xml:space="preserve"> </w:t>
      </w:r>
      <w:r>
        <w:rPr>
          <w:rFonts w:ascii="Arial" w:eastAsia="宋体" w:hAnsi="Arial" w:cs="Arial"/>
          <w:color w:val="000000"/>
          <w:sz w:val="20"/>
          <w:szCs w:val="20"/>
        </w:rPr>
        <w:t>for the fiscal year ended December 30, 2021. As such, financial statements of Adevinta are required to be filed by ame</w:t>
      </w:r>
      <w:r>
        <w:rPr>
          <w:rFonts w:ascii="Arial" w:eastAsia="宋体" w:hAnsi="Arial" w:cs="Arial"/>
          <w:color w:val="000000"/>
          <w:sz w:val="20"/>
          <w:szCs w:val="20"/>
        </w:rPr>
        <w:t>ndment to this Annual Report on Form 10-K within six months of Adevinta’s fiscal year end. Accordingly, Adevinta’s financial statements for its fiscal year ended December 31, 2021 will be filed via an amendment to this Annual Report on Form 10-K on or befo</w:t>
      </w:r>
      <w:r>
        <w:rPr>
          <w:rFonts w:ascii="Arial" w:eastAsia="宋体" w:hAnsi="Arial" w:cs="Arial"/>
          <w:color w:val="000000"/>
          <w:sz w:val="20"/>
          <w:szCs w:val="20"/>
        </w:rPr>
        <w:t>re June 30, 2022.</w:t>
      </w:r>
    </w:p>
    <w:p w14:paraId="22CFAF13" w14:textId="77777777" w:rsidR="002661BA" w:rsidRDefault="002661BA">
      <w:pPr>
        <w:ind w:firstLine="450"/>
      </w:pPr>
    </w:p>
    <w:p w14:paraId="22CFAF14" w14:textId="77777777" w:rsidR="002661BA" w:rsidRDefault="002661BA">
      <w:pPr>
        <w:ind w:hanging="1440"/>
      </w:pPr>
    </w:p>
    <w:p w14:paraId="22CFAF15" w14:textId="77777777" w:rsidR="002661BA" w:rsidRDefault="00D972BC">
      <w:pPr>
        <w:ind w:hanging="1440"/>
      </w:pPr>
      <w:r>
        <w:rPr>
          <w:rFonts w:ascii="Arial" w:eastAsia="宋体" w:hAnsi="Arial" w:cs="Arial"/>
          <w:b/>
          <w:bCs/>
          <w:color w:val="000000"/>
          <w:sz w:val="20"/>
          <w:szCs w:val="20"/>
        </w:rPr>
        <w:t>ITEM 16:</w:t>
      </w:r>
      <w:r>
        <w:rPr>
          <w:rFonts w:ascii="Arial" w:eastAsia="宋体" w:hAnsi="Arial" w:cs="Arial"/>
          <w:b/>
          <w:bCs/>
          <w:i/>
          <w:iCs/>
          <w:color w:val="000000"/>
          <w:sz w:val="20"/>
          <w:szCs w:val="20"/>
        </w:rPr>
        <w:t xml:space="preserve"> FORM 10-K SUMMARY</w:t>
      </w:r>
      <w:r>
        <w:rPr>
          <w:rFonts w:ascii="Arial" w:eastAsia="宋体" w:hAnsi="Arial" w:cs="Arial"/>
          <w:b/>
          <w:bCs/>
          <w:color w:val="000000"/>
          <w:sz w:val="20"/>
          <w:szCs w:val="20"/>
        </w:rPr>
        <w:t xml:space="preserve"> </w:t>
      </w:r>
    </w:p>
    <w:p w14:paraId="22CFAF16" w14:textId="77777777" w:rsidR="002661BA" w:rsidRDefault="002661BA">
      <w:pPr>
        <w:ind w:firstLine="540"/>
      </w:pPr>
    </w:p>
    <w:p w14:paraId="22CFAF17" w14:textId="77777777" w:rsidR="002661BA" w:rsidRDefault="00D972BC">
      <w:pPr>
        <w:ind w:firstLine="540"/>
      </w:pPr>
      <w:r>
        <w:rPr>
          <w:rFonts w:ascii="Arial" w:eastAsia="宋体" w:hAnsi="Arial" w:cs="Arial"/>
          <w:color w:val="000000"/>
          <w:sz w:val="20"/>
          <w:szCs w:val="20"/>
        </w:rPr>
        <w:t>None.</w:t>
      </w:r>
    </w:p>
    <w:p w14:paraId="22CFAF18" w14:textId="77777777" w:rsidR="002661BA" w:rsidRDefault="002661BA">
      <w:pPr>
        <w:ind w:firstLine="450"/>
      </w:pPr>
    </w:p>
    <w:p w14:paraId="22CFAF19" w14:textId="77777777" w:rsidR="002661BA" w:rsidRDefault="00D972BC">
      <w:pPr>
        <w:jc w:val="center"/>
      </w:pPr>
      <w:r>
        <w:rPr>
          <w:rFonts w:ascii="Arial" w:eastAsia="宋体" w:hAnsi="Arial" w:cs="Arial"/>
          <w:color w:val="000000"/>
          <w:sz w:val="18"/>
          <w:szCs w:val="18"/>
        </w:rPr>
        <w:t>54</w:t>
      </w:r>
    </w:p>
    <w:p w14:paraId="22CFAF1A" w14:textId="77777777" w:rsidR="002661BA" w:rsidRDefault="00D972BC">
      <w:r>
        <w:pict w14:anchorId="22CFE4E7">
          <v:rect id="_x0000_i1078" style="width:415.3pt;height:1.5pt" o:hralign="center" o:hrstd="t" o:hr="t" fillcolor="#a0a0a0" stroked="f"/>
        </w:pict>
      </w:r>
    </w:p>
    <w:p w14:paraId="22CFAF1B" w14:textId="77777777" w:rsidR="002661BA" w:rsidRDefault="00D972BC">
      <w:hyperlink r:id="rId89" w:anchor="id0d7a71b05ce452ea9fdb54f3cb359c7_7" w:history="1">
        <w:r>
          <w:rPr>
            <w:rStyle w:val="a5"/>
            <w:rFonts w:ascii="Arial" w:eastAsia="宋体" w:hAnsi="Arial" w:cs="Arial"/>
            <w:sz w:val="18"/>
            <w:szCs w:val="18"/>
          </w:rPr>
          <w:t>Table of Contents</w:t>
        </w:r>
      </w:hyperlink>
    </w:p>
    <w:p w14:paraId="22CFAF1C" w14:textId="77777777" w:rsidR="002661BA" w:rsidRDefault="00D972BC">
      <w:pPr>
        <w:jc w:val="center"/>
      </w:pPr>
      <w:r>
        <w:rPr>
          <w:rFonts w:ascii="Arial" w:eastAsia="宋体" w:hAnsi="Arial" w:cs="Arial"/>
          <w:b/>
          <w:bCs/>
          <w:color w:val="000000"/>
          <w:sz w:val="18"/>
          <w:szCs w:val="18"/>
        </w:rPr>
        <w:t xml:space="preserve">Report of Independent Registered Public Accounting Firm </w:t>
      </w:r>
    </w:p>
    <w:p w14:paraId="22CFAF1D" w14:textId="77777777" w:rsidR="002661BA" w:rsidRDefault="002661BA"/>
    <w:p w14:paraId="22CFAF1E" w14:textId="77777777" w:rsidR="002661BA" w:rsidRDefault="00D972BC">
      <w:r>
        <w:rPr>
          <w:rFonts w:ascii="Arial" w:eastAsia="宋体" w:hAnsi="Arial" w:cs="Arial"/>
          <w:color w:val="000000"/>
          <w:sz w:val="18"/>
          <w:szCs w:val="18"/>
        </w:rPr>
        <w:t>To the</w:t>
      </w:r>
      <w:r>
        <w:rPr>
          <w:rFonts w:ascii="Arial" w:eastAsia="宋体" w:hAnsi="Arial" w:cs="Arial"/>
          <w:b/>
          <w:bCs/>
          <w:color w:val="FF0000"/>
          <w:sz w:val="18"/>
          <w:szCs w:val="18"/>
        </w:rPr>
        <w:t xml:space="preserve"> </w:t>
      </w:r>
      <w:r>
        <w:rPr>
          <w:rFonts w:ascii="Arial" w:eastAsia="宋体" w:hAnsi="Arial" w:cs="Arial"/>
          <w:color w:val="000000"/>
          <w:sz w:val="18"/>
          <w:szCs w:val="18"/>
        </w:rPr>
        <w:t>Board of Directors and Stockholders of eBay Inc.</w:t>
      </w:r>
    </w:p>
    <w:p w14:paraId="22CFAF1F" w14:textId="77777777" w:rsidR="002661BA" w:rsidRDefault="002661BA"/>
    <w:p w14:paraId="22CFAF20" w14:textId="77777777" w:rsidR="002661BA" w:rsidRDefault="00D972BC">
      <w:r>
        <w:rPr>
          <w:rFonts w:ascii="Arial" w:eastAsia="宋体" w:hAnsi="Arial" w:cs="Arial"/>
          <w:b/>
          <w:bCs/>
          <w:i/>
          <w:iCs/>
          <w:color w:val="000000"/>
          <w:sz w:val="18"/>
          <w:szCs w:val="18"/>
        </w:rPr>
        <w:t>Opinions on the Financial Statements and Internal Control over Financial Reporting</w:t>
      </w:r>
    </w:p>
    <w:p w14:paraId="22CFAF21" w14:textId="77777777" w:rsidR="002661BA" w:rsidRDefault="002661BA"/>
    <w:p w14:paraId="22CFAF22" w14:textId="77777777" w:rsidR="002661BA" w:rsidRDefault="00D972BC">
      <w:pPr>
        <w:jc w:val="both"/>
      </w:pPr>
      <w:r>
        <w:rPr>
          <w:rFonts w:ascii="Arial" w:eastAsia="宋体" w:hAnsi="Arial" w:cs="Arial"/>
          <w:color w:val="000000"/>
          <w:sz w:val="18"/>
          <w:szCs w:val="18"/>
        </w:rPr>
        <w:t>We have audited the accompanying consolidated balance she</w:t>
      </w:r>
      <w:r>
        <w:rPr>
          <w:rFonts w:ascii="Arial" w:eastAsia="宋体" w:hAnsi="Arial" w:cs="Arial"/>
          <w:color w:val="000000"/>
          <w:sz w:val="18"/>
          <w:szCs w:val="18"/>
        </w:rPr>
        <w:t>et of eBay Inc. and its subsidiaries</w:t>
      </w:r>
      <w:r>
        <w:rPr>
          <w:rFonts w:ascii="Arial" w:eastAsia="宋体" w:hAnsi="Arial" w:cs="Arial"/>
          <w:b/>
          <w:bCs/>
          <w:color w:val="FF0000"/>
          <w:sz w:val="18"/>
          <w:szCs w:val="18"/>
        </w:rPr>
        <w:t xml:space="preserve"> </w:t>
      </w:r>
      <w:r>
        <w:rPr>
          <w:rFonts w:ascii="Arial" w:eastAsia="宋体" w:hAnsi="Arial" w:cs="Arial"/>
          <w:color w:val="000000"/>
          <w:sz w:val="18"/>
          <w:szCs w:val="18"/>
        </w:rPr>
        <w:t>(the “Company”) as of December 31, 2021</w:t>
      </w:r>
      <w:r>
        <w:rPr>
          <w:rFonts w:ascii="Arial" w:eastAsia="宋体" w:hAnsi="Arial" w:cs="Arial"/>
          <w:color w:val="FF0000"/>
          <w:sz w:val="18"/>
          <w:szCs w:val="18"/>
        </w:rPr>
        <w:t xml:space="preserve"> </w:t>
      </w:r>
      <w:r>
        <w:rPr>
          <w:rFonts w:ascii="Arial" w:eastAsia="宋体" w:hAnsi="Arial" w:cs="Arial"/>
          <w:color w:val="000000"/>
          <w:sz w:val="18"/>
          <w:szCs w:val="18"/>
        </w:rPr>
        <w:t>and 2020,</w:t>
      </w:r>
      <w:r>
        <w:rPr>
          <w:rFonts w:ascii="Arial" w:eastAsia="宋体" w:hAnsi="Arial" w:cs="Arial"/>
          <w:b/>
          <w:bCs/>
          <w:color w:val="FF0000"/>
          <w:sz w:val="18"/>
          <w:szCs w:val="18"/>
        </w:rPr>
        <w:t xml:space="preserve"> </w:t>
      </w:r>
      <w:r>
        <w:rPr>
          <w:rFonts w:ascii="Arial" w:eastAsia="宋体" w:hAnsi="Arial" w:cs="Arial"/>
          <w:color w:val="000000"/>
          <w:sz w:val="18"/>
          <w:szCs w:val="18"/>
        </w:rPr>
        <w:t>and the related consolidated statements of income, of comprehensive income, of stockholders’ equity and of cash flows for each of the three years in the period ended Dec</w:t>
      </w:r>
      <w:r>
        <w:rPr>
          <w:rFonts w:ascii="Arial" w:eastAsia="宋体" w:hAnsi="Arial" w:cs="Arial"/>
          <w:color w:val="000000"/>
          <w:sz w:val="18"/>
          <w:szCs w:val="18"/>
        </w:rPr>
        <w:t>ember 31, 2021, including the related notes and schedule of valuation and qualifying accounts for each of the three years in the period ended December 31, 2021 appearing under Item 15a.2. (collectively referred to as the “consolidated financial statements”</w:t>
      </w:r>
      <w:r>
        <w:rPr>
          <w:rFonts w:ascii="Arial" w:eastAsia="宋体" w:hAnsi="Arial" w:cs="Arial"/>
          <w:color w:val="000000"/>
          <w:sz w:val="18"/>
          <w:szCs w:val="18"/>
        </w:rPr>
        <w:t>).</w:t>
      </w:r>
      <w:r>
        <w:rPr>
          <w:rFonts w:ascii="Arial" w:eastAsia="宋体" w:hAnsi="Arial" w:cs="Arial"/>
          <w:b/>
          <w:bCs/>
          <w:color w:val="000000"/>
          <w:sz w:val="18"/>
          <w:szCs w:val="18"/>
        </w:rPr>
        <w:t xml:space="preserve"> </w:t>
      </w:r>
      <w:r>
        <w:rPr>
          <w:rFonts w:ascii="Arial" w:eastAsia="宋体" w:hAnsi="Arial" w:cs="Arial"/>
          <w:color w:val="000000"/>
          <w:sz w:val="18"/>
          <w:szCs w:val="18"/>
        </w:rPr>
        <w:t xml:space="preserve">We also have audited the Company's internal control over financial reporting as of December 31, 2021, based on criteria established in </w:t>
      </w:r>
      <w:r>
        <w:rPr>
          <w:rFonts w:ascii="Arial" w:eastAsia="宋体" w:hAnsi="Arial" w:cs="Arial"/>
          <w:i/>
          <w:iCs/>
          <w:color w:val="000000"/>
          <w:sz w:val="18"/>
          <w:szCs w:val="18"/>
        </w:rPr>
        <w:t>Internal Control - Integrated Framework</w:t>
      </w:r>
      <w:r>
        <w:rPr>
          <w:rFonts w:ascii="Arial" w:eastAsia="宋体" w:hAnsi="Arial" w:cs="Arial"/>
          <w:color w:val="FF0000"/>
          <w:sz w:val="18"/>
          <w:szCs w:val="18"/>
        </w:rPr>
        <w:t xml:space="preserve"> </w:t>
      </w:r>
      <w:r>
        <w:rPr>
          <w:rFonts w:ascii="Arial" w:eastAsia="宋体" w:hAnsi="Arial" w:cs="Arial"/>
          <w:color w:val="000000"/>
          <w:sz w:val="18"/>
          <w:szCs w:val="18"/>
        </w:rPr>
        <w:t>(2013)</w:t>
      </w:r>
      <w:r>
        <w:rPr>
          <w:rFonts w:ascii="Arial" w:eastAsia="宋体" w:hAnsi="Arial" w:cs="Arial"/>
          <w:color w:val="FF0000"/>
          <w:sz w:val="18"/>
          <w:szCs w:val="18"/>
        </w:rPr>
        <w:t xml:space="preserve"> </w:t>
      </w:r>
      <w:r>
        <w:rPr>
          <w:rFonts w:ascii="Arial" w:eastAsia="宋体" w:hAnsi="Arial" w:cs="Arial"/>
          <w:color w:val="000000"/>
          <w:sz w:val="18"/>
          <w:szCs w:val="18"/>
        </w:rPr>
        <w:t xml:space="preserve">issued by the Committee of Sponsoring Organizations of the Treadway Commission (COSO). </w:t>
      </w:r>
    </w:p>
    <w:p w14:paraId="22CFAF23" w14:textId="77777777" w:rsidR="002661BA" w:rsidRDefault="002661BA">
      <w:pPr>
        <w:jc w:val="both"/>
      </w:pPr>
    </w:p>
    <w:p w14:paraId="22CFAF24" w14:textId="77777777" w:rsidR="002661BA" w:rsidRDefault="00D972BC">
      <w:pPr>
        <w:jc w:val="both"/>
      </w:pPr>
      <w:r>
        <w:rPr>
          <w:rFonts w:ascii="Arial" w:eastAsia="宋体" w:hAnsi="Arial" w:cs="Arial"/>
          <w:color w:val="000000"/>
          <w:sz w:val="18"/>
          <w:szCs w:val="18"/>
        </w:rPr>
        <w:t>In our opinion, the consolidated</w:t>
      </w:r>
      <w:r>
        <w:rPr>
          <w:rFonts w:ascii="Arial" w:eastAsia="宋体" w:hAnsi="Arial" w:cs="Arial"/>
          <w:b/>
          <w:bCs/>
          <w:color w:val="FF0000"/>
          <w:sz w:val="18"/>
          <w:szCs w:val="18"/>
        </w:rPr>
        <w:t xml:space="preserve"> </w:t>
      </w:r>
      <w:r>
        <w:rPr>
          <w:rFonts w:ascii="Arial" w:eastAsia="宋体" w:hAnsi="Arial" w:cs="Arial"/>
          <w:color w:val="000000"/>
          <w:sz w:val="18"/>
          <w:szCs w:val="18"/>
        </w:rPr>
        <w:t xml:space="preserve">financial statements referred to above present fairly, in all material respects, the financial position of the Company as of December </w:t>
      </w:r>
      <w:r>
        <w:rPr>
          <w:rFonts w:ascii="Arial" w:eastAsia="宋体" w:hAnsi="Arial" w:cs="Arial"/>
          <w:color w:val="000000"/>
          <w:sz w:val="18"/>
          <w:szCs w:val="18"/>
        </w:rPr>
        <w:t>31, 2021</w:t>
      </w:r>
      <w:r>
        <w:rPr>
          <w:rFonts w:ascii="Arial" w:eastAsia="宋体" w:hAnsi="Arial" w:cs="Arial"/>
          <w:color w:val="FF0000"/>
          <w:sz w:val="18"/>
          <w:szCs w:val="18"/>
        </w:rPr>
        <w:t xml:space="preserve"> </w:t>
      </w:r>
      <w:r>
        <w:rPr>
          <w:rFonts w:ascii="Arial" w:eastAsia="宋体" w:hAnsi="Arial" w:cs="Arial"/>
          <w:color w:val="000000"/>
          <w:sz w:val="18"/>
          <w:szCs w:val="18"/>
        </w:rPr>
        <w:t>and 2020</w:t>
      </w:r>
      <w:r>
        <w:rPr>
          <w:rFonts w:ascii="Arial" w:eastAsia="宋体" w:hAnsi="Arial" w:cs="Arial"/>
          <w:b/>
          <w:bCs/>
          <w:color w:val="000000"/>
          <w:sz w:val="18"/>
          <w:szCs w:val="18"/>
        </w:rPr>
        <w:t xml:space="preserve">, </w:t>
      </w:r>
      <w:r>
        <w:rPr>
          <w:rFonts w:ascii="Arial" w:eastAsia="宋体" w:hAnsi="Arial" w:cs="Arial"/>
          <w:color w:val="000000"/>
          <w:sz w:val="18"/>
          <w:szCs w:val="18"/>
        </w:rPr>
        <w:t>and the results of its</w:t>
      </w:r>
      <w:r>
        <w:rPr>
          <w:rFonts w:ascii="Arial" w:eastAsia="宋体" w:hAnsi="Arial" w:cs="Arial"/>
          <w:color w:val="FF0000"/>
          <w:sz w:val="18"/>
          <w:szCs w:val="18"/>
        </w:rPr>
        <w:t xml:space="preserve"> </w:t>
      </w:r>
      <w:r>
        <w:rPr>
          <w:rFonts w:ascii="Arial" w:eastAsia="宋体" w:hAnsi="Arial" w:cs="Arial"/>
          <w:color w:val="000000"/>
          <w:sz w:val="18"/>
          <w:szCs w:val="18"/>
        </w:rPr>
        <w:t>operations and its</w:t>
      </w:r>
      <w:r>
        <w:rPr>
          <w:rFonts w:ascii="Arial" w:eastAsia="宋体" w:hAnsi="Arial" w:cs="Arial"/>
          <w:color w:val="FF0000"/>
          <w:sz w:val="18"/>
          <w:szCs w:val="18"/>
        </w:rPr>
        <w:t xml:space="preserve"> </w:t>
      </w:r>
      <w:r>
        <w:rPr>
          <w:rFonts w:ascii="Arial" w:eastAsia="宋体" w:hAnsi="Arial" w:cs="Arial"/>
          <w:color w:val="000000"/>
          <w:sz w:val="18"/>
          <w:szCs w:val="18"/>
        </w:rPr>
        <w:t>cash flows for each of the three years in the period ended December 31, 2021</w:t>
      </w:r>
      <w:r>
        <w:rPr>
          <w:rFonts w:ascii="Arial" w:eastAsia="宋体" w:hAnsi="Arial" w:cs="Arial"/>
          <w:b/>
          <w:bCs/>
          <w:color w:val="000000"/>
          <w:sz w:val="18"/>
          <w:szCs w:val="18"/>
        </w:rPr>
        <w:t xml:space="preserve"> </w:t>
      </w:r>
      <w:r>
        <w:rPr>
          <w:rFonts w:ascii="Arial" w:eastAsia="宋体" w:hAnsi="Arial" w:cs="Arial"/>
          <w:color w:val="000000"/>
          <w:sz w:val="18"/>
          <w:szCs w:val="18"/>
        </w:rPr>
        <w:t xml:space="preserve">in conformity with accounting principles generally accepted in the United States of America. Also in our opinion, the </w:t>
      </w:r>
      <w:r>
        <w:rPr>
          <w:rFonts w:ascii="Arial" w:eastAsia="宋体" w:hAnsi="Arial" w:cs="Arial"/>
          <w:color w:val="000000"/>
          <w:sz w:val="18"/>
          <w:szCs w:val="18"/>
        </w:rPr>
        <w:t xml:space="preserve">Company maintained, in all material respects, effective internal control over financial reporting as of December 31, 2021, based on criteria established in </w:t>
      </w:r>
      <w:r>
        <w:rPr>
          <w:rFonts w:ascii="Arial" w:eastAsia="宋体" w:hAnsi="Arial" w:cs="Arial"/>
          <w:i/>
          <w:iCs/>
          <w:color w:val="000000"/>
          <w:sz w:val="18"/>
          <w:szCs w:val="18"/>
        </w:rPr>
        <w:t>Internal Control - Integrated Framework</w:t>
      </w:r>
      <w:r>
        <w:rPr>
          <w:rFonts w:ascii="Arial" w:eastAsia="宋体" w:hAnsi="Arial" w:cs="Arial"/>
          <w:color w:val="FF0000"/>
          <w:sz w:val="18"/>
          <w:szCs w:val="18"/>
        </w:rPr>
        <w:t xml:space="preserve"> </w:t>
      </w:r>
      <w:r>
        <w:rPr>
          <w:rFonts w:ascii="Arial" w:eastAsia="宋体" w:hAnsi="Arial" w:cs="Arial"/>
          <w:color w:val="000000"/>
          <w:sz w:val="18"/>
          <w:szCs w:val="18"/>
        </w:rPr>
        <w:t>(2013)</w:t>
      </w:r>
      <w:r>
        <w:rPr>
          <w:rFonts w:ascii="Arial" w:eastAsia="宋体" w:hAnsi="Arial" w:cs="Arial"/>
          <w:color w:val="FF0000"/>
          <w:sz w:val="18"/>
          <w:szCs w:val="18"/>
        </w:rPr>
        <w:t xml:space="preserve"> </w:t>
      </w:r>
      <w:r>
        <w:rPr>
          <w:rFonts w:ascii="Arial" w:eastAsia="宋体" w:hAnsi="Arial" w:cs="Arial"/>
          <w:color w:val="000000"/>
          <w:sz w:val="18"/>
          <w:szCs w:val="18"/>
        </w:rPr>
        <w:t>issued by the COSO.</w:t>
      </w:r>
    </w:p>
    <w:p w14:paraId="22CFAF25" w14:textId="77777777" w:rsidR="002661BA" w:rsidRDefault="002661BA"/>
    <w:p w14:paraId="22CFAF26" w14:textId="77777777" w:rsidR="002661BA" w:rsidRDefault="00D972BC">
      <w:r>
        <w:rPr>
          <w:rFonts w:ascii="Arial" w:eastAsia="宋体" w:hAnsi="Arial" w:cs="Arial"/>
          <w:b/>
          <w:bCs/>
          <w:i/>
          <w:iCs/>
          <w:color w:val="000000"/>
          <w:sz w:val="18"/>
          <w:szCs w:val="18"/>
        </w:rPr>
        <w:t>Basis for Opinions</w:t>
      </w:r>
    </w:p>
    <w:p w14:paraId="22CFAF27" w14:textId="77777777" w:rsidR="002661BA" w:rsidRDefault="002661BA"/>
    <w:p w14:paraId="22CFAF28" w14:textId="77777777" w:rsidR="002661BA" w:rsidRDefault="00D972BC">
      <w:pPr>
        <w:jc w:val="both"/>
      </w:pPr>
      <w:r>
        <w:rPr>
          <w:rFonts w:ascii="Arial" w:eastAsia="宋体" w:hAnsi="Arial" w:cs="Arial"/>
          <w:color w:val="000000"/>
          <w:sz w:val="18"/>
          <w:szCs w:val="18"/>
        </w:rPr>
        <w:t>The Company'</w:t>
      </w:r>
      <w:r>
        <w:rPr>
          <w:rFonts w:ascii="Arial" w:eastAsia="宋体" w:hAnsi="Arial" w:cs="Arial"/>
          <w:color w:val="000000"/>
          <w:sz w:val="18"/>
          <w:szCs w:val="18"/>
        </w:rPr>
        <w:t>s management is responsible for these consolidated financial statements, for maintaining effective internal control over financial reporting, and for its assessment of the effectiveness of internal control over financial reporting, included in Management’s</w:t>
      </w:r>
      <w:r>
        <w:rPr>
          <w:rFonts w:ascii="Arial" w:eastAsia="宋体" w:hAnsi="Arial" w:cs="Arial"/>
          <w:color w:val="000000"/>
          <w:sz w:val="18"/>
          <w:szCs w:val="18"/>
        </w:rPr>
        <w:t xml:space="preserve"> annual report on internal control over financial reporting appearing under Item 9A. Our responsibility is to express opinions on the Company’s consolidated</w:t>
      </w:r>
      <w:r>
        <w:rPr>
          <w:rFonts w:ascii="Arial" w:eastAsia="宋体" w:hAnsi="Arial" w:cs="Arial"/>
          <w:b/>
          <w:bCs/>
          <w:color w:val="FF0000"/>
          <w:sz w:val="18"/>
          <w:szCs w:val="18"/>
        </w:rPr>
        <w:t xml:space="preserve"> </w:t>
      </w:r>
      <w:r>
        <w:rPr>
          <w:rFonts w:ascii="Arial" w:eastAsia="宋体" w:hAnsi="Arial" w:cs="Arial"/>
          <w:color w:val="000000"/>
          <w:sz w:val="18"/>
          <w:szCs w:val="18"/>
        </w:rPr>
        <w:t>financial statements and on the Company's internal control over financial reporting based on our au</w:t>
      </w:r>
      <w:r>
        <w:rPr>
          <w:rFonts w:ascii="Arial" w:eastAsia="宋体" w:hAnsi="Arial" w:cs="Arial"/>
          <w:color w:val="000000"/>
          <w:sz w:val="18"/>
          <w:szCs w:val="18"/>
        </w:rPr>
        <w:t>dits. We are a public accounting firm registered with the Public Company Accounting Oversight Board (United States) (PCAOB) and are required to be independent with respect to the Company in accordance with the U.S. federal securities laws and the applicabl</w:t>
      </w:r>
      <w:r>
        <w:rPr>
          <w:rFonts w:ascii="Arial" w:eastAsia="宋体" w:hAnsi="Arial" w:cs="Arial"/>
          <w:color w:val="000000"/>
          <w:sz w:val="18"/>
          <w:szCs w:val="18"/>
        </w:rPr>
        <w:t>e rules and regulations of the Securities and Exchange Commission and the PCAOB.</w:t>
      </w:r>
    </w:p>
    <w:p w14:paraId="22CFAF29" w14:textId="77777777" w:rsidR="002661BA" w:rsidRDefault="002661BA">
      <w:pPr>
        <w:jc w:val="both"/>
      </w:pPr>
    </w:p>
    <w:p w14:paraId="22CFAF2A" w14:textId="77777777" w:rsidR="002661BA" w:rsidRDefault="00D972BC">
      <w:pPr>
        <w:jc w:val="both"/>
      </w:pPr>
      <w:r>
        <w:rPr>
          <w:rFonts w:ascii="Arial" w:eastAsia="宋体" w:hAnsi="Arial" w:cs="Arial"/>
          <w:color w:val="000000"/>
          <w:sz w:val="18"/>
          <w:szCs w:val="18"/>
        </w:rPr>
        <w:t>We conducted our audits in accordance with the standards of the PCAOB. Those standards require that we plan and perform the audits to obtain reasonable assurance about whethe</w:t>
      </w:r>
      <w:r>
        <w:rPr>
          <w:rFonts w:ascii="Arial" w:eastAsia="宋体" w:hAnsi="Arial" w:cs="Arial"/>
          <w:color w:val="000000"/>
          <w:sz w:val="18"/>
          <w:szCs w:val="18"/>
        </w:rPr>
        <w:t>r the consolidated</w:t>
      </w:r>
      <w:r>
        <w:rPr>
          <w:rFonts w:ascii="Arial" w:eastAsia="宋体" w:hAnsi="Arial" w:cs="Arial"/>
          <w:b/>
          <w:bCs/>
          <w:color w:val="FF0000"/>
          <w:sz w:val="18"/>
          <w:szCs w:val="18"/>
        </w:rPr>
        <w:t xml:space="preserve"> </w:t>
      </w:r>
      <w:r>
        <w:rPr>
          <w:rFonts w:ascii="Arial" w:eastAsia="宋体" w:hAnsi="Arial" w:cs="Arial"/>
          <w:color w:val="000000"/>
          <w:sz w:val="18"/>
          <w:szCs w:val="18"/>
        </w:rPr>
        <w:t xml:space="preserve">financial statements are free of material misstatement, whether due to error or fraud, and whether effective internal control over financial reporting was maintained in all material respects. </w:t>
      </w:r>
    </w:p>
    <w:p w14:paraId="22CFAF2B" w14:textId="77777777" w:rsidR="002661BA" w:rsidRDefault="002661BA">
      <w:pPr>
        <w:jc w:val="both"/>
      </w:pPr>
    </w:p>
    <w:p w14:paraId="22CFAF2C" w14:textId="77777777" w:rsidR="002661BA" w:rsidRDefault="00D972BC">
      <w:pPr>
        <w:jc w:val="both"/>
      </w:pPr>
      <w:r>
        <w:rPr>
          <w:rFonts w:ascii="Arial" w:eastAsia="宋体" w:hAnsi="Arial" w:cs="Arial"/>
          <w:color w:val="000000"/>
          <w:sz w:val="18"/>
          <w:szCs w:val="18"/>
        </w:rPr>
        <w:t>Our audits of the consolidated</w:t>
      </w:r>
      <w:r>
        <w:rPr>
          <w:rFonts w:ascii="Arial" w:eastAsia="宋体" w:hAnsi="Arial" w:cs="Arial"/>
          <w:b/>
          <w:bCs/>
          <w:color w:val="FF0000"/>
          <w:sz w:val="18"/>
          <w:szCs w:val="18"/>
        </w:rPr>
        <w:t xml:space="preserve"> </w:t>
      </w:r>
      <w:r>
        <w:rPr>
          <w:rFonts w:ascii="Arial" w:eastAsia="宋体" w:hAnsi="Arial" w:cs="Arial"/>
          <w:color w:val="000000"/>
          <w:sz w:val="18"/>
          <w:szCs w:val="18"/>
        </w:rPr>
        <w:t>financial st</w:t>
      </w:r>
      <w:r>
        <w:rPr>
          <w:rFonts w:ascii="Arial" w:eastAsia="宋体" w:hAnsi="Arial" w:cs="Arial"/>
          <w:color w:val="000000"/>
          <w:sz w:val="18"/>
          <w:szCs w:val="18"/>
        </w:rPr>
        <w:t>atements included performing procedures to assess the risks of material misstatement of the consolidated</w:t>
      </w:r>
      <w:r>
        <w:rPr>
          <w:rFonts w:ascii="Arial" w:eastAsia="宋体" w:hAnsi="Arial" w:cs="Arial"/>
          <w:b/>
          <w:bCs/>
          <w:color w:val="FF0000"/>
          <w:sz w:val="18"/>
          <w:szCs w:val="18"/>
        </w:rPr>
        <w:t xml:space="preserve"> </w:t>
      </w:r>
      <w:r>
        <w:rPr>
          <w:rFonts w:ascii="Arial" w:eastAsia="宋体" w:hAnsi="Arial" w:cs="Arial"/>
          <w:color w:val="000000"/>
          <w:sz w:val="18"/>
          <w:szCs w:val="18"/>
        </w:rPr>
        <w:t>financial statements, whether due to error or fraud, and performing procedures that respond to those risks. Such procedures included examining, on a te</w:t>
      </w:r>
      <w:r>
        <w:rPr>
          <w:rFonts w:ascii="Arial" w:eastAsia="宋体" w:hAnsi="Arial" w:cs="Arial"/>
          <w:color w:val="000000"/>
          <w:sz w:val="18"/>
          <w:szCs w:val="18"/>
        </w:rPr>
        <w:t>st basis, evidence regarding the amounts and disclosures in the consolidated</w:t>
      </w:r>
      <w:r>
        <w:rPr>
          <w:rFonts w:ascii="Arial" w:eastAsia="宋体" w:hAnsi="Arial" w:cs="Arial"/>
          <w:b/>
          <w:bCs/>
          <w:color w:val="FF0000"/>
          <w:sz w:val="18"/>
          <w:szCs w:val="18"/>
        </w:rPr>
        <w:t xml:space="preserve"> </w:t>
      </w:r>
      <w:r>
        <w:rPr>
          <w:rFonts w:ascii="Arial" w:eastAsia="宋体" w:hAnsi="Arial" w:cs="Arial"/>
          <w:color w:val="000000"/>
          <w:sz w:val="18"/>
          <w:szCs w:val="18"/>
        </w:rPr>
        <w:t>financial statements. Our audits also included evaluating the accounting principles used and significant estimates made by management, as well as evaluating the overall presentati</w:t>
      </w:r>
      <w:r>
        <w:rPr>
          <w:rFonts w:ascii="Arial" w:eastAsia="宋体" w:hAnsi="Arial" w:cs="Arial"/>
          <w:color w:val="000000"/>
          <w:sz w:val="18"/>
          <w:szCs w:val="18"/>
        </w:rPr>
        <w:t>on of the consolidated</w:t>
      </w:r>
      <w:r>
        <w:rPr>
          <w:rFonts w:ascii="Arial" w:eastAsia="宋体" w:hAnsi="Arial" w:cs="Arial"/>
          <w:b/>
          <w:bCs/>
          <w:color w:val="FF0000"/>
          <w:sz w:val="18"/>
          <w:szCs w:val="18"/>
        </w:rPr>
        <w:t xml:space="preserve"> </w:t>
      </w:r>
      <w:r>
        <w:rPr>
          <w:rFonts w:ascii="Arial" w:eastAsia="宋体" w:hAnsi="Arial" w:cs="Arial"/>
          <w:color w:val="000000"/>
          <w:sz w:val="18"/>
          <w:szCs w:val="18"/>
        </w:rPr>
        <w:t>financial statements. Our audit of internal control over financial reporting included obtaining an understanding of internal control over financial reporting, assessing the risk that a material weakness exists, and testing and evalua</w:t>
      </w:r>
      <w:r>
        <w:rPr>
          <w:rFonts w:ascii="Arial" w:eastAsia="宋体" w:hAnsi="Arial" w:cs="Arial"/>
          <w:color w:val="000000"/>
          <w:sz w:val="18"/>
          <w:szCs w:val="18"/>
        </w:rPr>
        <w:t>ting the design and operating effectiveness of internal control based on the assessed risk. Our audits also included performing such other procedures as we considered necessary in the circumstances. We believe that our audits provide a reasonable basis for</w:t>
      </w:r>
      <w:r>
        <w:rPr>
          <w:rFonts w:ascii="Arial" w:eastAsia="宋体" w:hAnsi="Arial" w:cs="Arial"/>
          <w:color w:val="000000"/>
          <w:sz w:val="18"/>
          <w:szCs w:val="18"/>
        </w:rPr>
        <w:t xml:space="preserve"> our opinions.</w:t>
      </w:r>
    </w:p>
    <w:p w14:paraId="22CFAF2D" w14:textId="77777777" w:rsidR="002661BA" w:rsidRDefault="002661BA"/>
    <w:p w14:paraId="22CFAF2E" w14:textId="77777777" w:rsidR="002661BA" w:rsidRDefault="00D972BC">
      <w:r>
        <w:rPr>
          <w:rFonts w:ascii="Arial" w:eastAsia="宋体" w:hAnsi="Arial" w:cs="Arial"/>
          <w:b/>
          <w:bCs/>
          <w:i/>
          <w:iCs/>
          <w:color w:val="000000"/>
          <w:sz w:val="18"/>
          <w:szCs w:val="18"/>
        </w:rPr>
        <w:t>Definition and Limitations of Internal Control over Financial Reporting</w:t>
      </w:r>
    </w:p>
    <w:p w14:paraId="22CFAF2F" w14:textId="77777777" w:rsidR="002661BA" w:rsidRDefault="002661BA"/>
    <w:p w14:paraId="22CFAF30" w14:textId="77777777" w:rsidR="002661BA" w:rsidRDefault="00D972BC">
      <w:pPr>
        <w:jc w:val="both"/>
      </w:pPr>
      <w:r>
        <w:rPr>
          <w:rFonts w:ascii="Arial" w:eastAsia="宋体" w:hAnsi="Arial" w:cs="Arial"/>
          <w:color w:val="000000"/>
          <w:sz w:val="18"/>
          <w:szCs w:val="18"/>
        </w:rPr>
        <w:t>A company’s internal control over financial reporting is a process designed to provide reasonable assurance regarding the reliability of financial reporting and the pr</w:t>
      </w:r>
      <w:r>
        <w:rPr>
          <w:rFonts w:ascii="Arial" w:eastAsia="宋体" w:hAnsi="Arial" w:cs="Arial"/>
          <w:color w:val="000000"/>
          <w:sz w:val="18"/>
          <w:szCs w:val="18"/>
        </w:rPr>
        <w:t>eparation of financial statements for external purposes in accordance with generally accepted accounting principles. A company’s internal control over financial reporting includes those policies and procedures that (i) pertain to the maintenance of records</w:t>
      </w:r>
      <w:r>
        <w:rPr>
          <w:rFonts w:ascii="Arial" w:eastAsia="宋体" w:hAnsi="Arial" w:cs="Arial"/>
          <w:color w:val="000000"/>
          <w:sz w:val="18"/>
          <w:szCs w:val="18"/>
        </w:rPr>
        <w:t xml:space="preserve"> that, in reasonable detail, accurately and fairly reflect the transactions and dispositions of the assets of the company; (ii) provide reasonable assurance that transactions are recorded as necessary to permit preparation of financial statements in accord</w:t>
      </w:r>
      <w:r>
        <w:rPr>
          <w:rFonts w:ascii="Arial" w:eastAsia="宋体" w:hAnsi="Arial" w:cs="Arial"/>
          <w:color w:val="000000"/>
          <w:sz w:val="18"/>
          <w:szCs w:val="18"/>
        </w:rPr>
        <w:t>ance with generally accepted accounting principles, and that receipts and expenditures of the company are being made only in accordance with authorizations of management and directors of the company; and (iii) provide reasonable assurance regarding prevent</w:t>
      </w:r>
      <w:r>
        <w:rPr>
          <w:rFonts w:ascii="Arial" w:eastAsia="宋体" w:hAnsi="Arial" w:cs="Arial"/>
          <w:color w:val="000000"/>
          <w:sz w:val="18"/>
          <w:szCs w:val="18"/>
        </w:rPr>
        <w:t>ion or timely detection of unauthorized acquisition, use, or disposition of the company’s assets that could have a material effect on the financial statements.</w:t>
      </w:r>
    </w:p>
    <w:p w14:paraId="22CFAF31" w14:textId="77777777" w:rsidR="002661BA" w:rsidRDefault="002661BA">
      <w:pPr>
        <w:jc w:val="both"/>
      </w:pPr>
    </w:p>
    <w:p w14:paraId="22CFAF32" w14:textId="77777777" w:rsidR="002661BA" w:rsidRDefault="00D972BC">
      <w:pPr>
        <w:jc w:val="both"/>
      </w:pPr>
      <w:r>
        <w:rPr>
          <w:rFonts w:ascii="Arial" w:eastAsia="宋体" w:hAnsi="Arial" w:cs="Arial"/>
          <w:color w:val="000000"/>
          <w:sz w:val="18"/>
          <w:szCs w:val="18"/>
        </w:rPr>
        <w:t xml:space="preserve">Because of its inherent limitations, internal control over financial reporting may not prevent </w:t>
      </w:r>
      <w:r>
        <w:rPr>
          <w:rFonts w:ascii="Arial" w:eastAsia="宋体" w:hAnsi="Arial" w:cs="Arial"/>
          <w:color w:val="000000"/>
          <w:sz w:val="18"/>
          <w:szCs w:val="18"/>
        </w:rPr>
        <w:t>or detect misstatements. Also, projections of any evaluation of effectiveness to future periods are subject to the risk that controls may become inadequate because of changes in conditions, or that the degree of compliance with the policies or procedures m</w:t>
      </w:r>
      <w:r>
        <w:rPr>
          <w:rFonts w:ascii="Arial" w:eastAsia="宋体" w:hAnsi="Arial" w:cs="Arial"/>
          <w:color w:val="000000"/>
          <w:sz w:val="18"/>
          <w:szCs w:val="18"/>
        </w:rPr>
        <w:t>ay deteriorate.</w:t>
      </w:r>
    </w:p>
    <w:p w14:paraId="22CFAF33" w14:textId="77777777" w:rsidR="002661BA" w:rsidRDefault="002661BA"/>
    <w:p w14:paraId="22CFAF34" w14:textId="77777777" w:rsidR="002661BA" w:rsidRDefault="00D972BC">
      <w:pPr>
        <w:jc w:val="center"/>
      </w:pPr>
      <w:r>
        <w:rPr>
          <w:rFonts w:ascii="Arial" w:eastAsia="宋体" w:hAnsi="Arial" w:cs="Arial"/>
          <w:color w:val="000000"/>
          <w:sz w:val="18"/>
          <w:szCs w:val="18"/>
        </w:rPr>
        <w:t>55</w:t>
      </w:r>
    </w:p>
    <w:p w14:paraId="22CFAF35" w14:textId="77777777" w:rsidR="002661BA" w:rsidRDefault="00D972BC">
      <w:r>
        <w:pict w14:anchorId="22CFE4E8">
          <v:rect id="_x0000_i1079" style="width:415.3pt;height:1.5pt" o:hralign="center" o:hrstd="t" o:hr="t" fillcolor="#a0a0a0" stroked="f"/>
        </w:pict>
      </w:r>
    </w:p>
    <w:p w14:paraId="22CFAF36" w14:textId="77777777" w:rsidR="002661BA" w:rsidRDefault="00D972BC">
      <w:hyperlink r:id="rId90" w:anchor="id0d7a71b05ce452ea9fdb54f3cb359c7_7" w:history="1">
        <w:r>
          <w:rPr>
            <w:rStyle w:val="a5"/>
            <w:rFonts w:ascii="Arial" w:eastAsia="宋体" w:hAnsi="Arial" w:cs="Arial"/>
            <w:sz w:val="18"/>
            <w:szCs w:val="18"/>
          </w:rPr>
          <w:t>Table of Contents</w:t>
        </w:r>
      </w:hyperlink>
    </w:p>
    <w:p w14:paraId="22CFAF37" w14:textId="77777777" w:rsidR="002661BA" w:rsidRDefault="00D972BC">
      <w:r>
        <w:rPr>
          <w:rFonts w:ascii="Arial" w:eastAsia="宋体" w:hAnsi="Arial" w:cs="Arial"/>
          <w:b/>
          <w:bCs/>
          <w:i/>
          <w:iCs/>
          <w:color w:val="000000"/>
          <w:sz w:val="18"/>
          <w:szCs w:val="18"/>
        </w:rPr>
        <w:t>Critical Audit Matters</w:t>
      </w:r>
    </w:p>
    <w:p w14:paraId="22CFAF38" w14:textId="77777777" w:rsidR="002661BA" w:rsidRDefault="002661BA"/>
    <w:p w14:paraId="22CFAF39" w14:textId="77777777" w:rsidR="002661BA" w:rsidRDefault="00D972BC">
      <w:pPr>
        <w:jc w:val="both"/>
      </w:pPr>
      <w:r>
        <w:rPr>
          <w:rFonts w:ascii="Arial" w:eastAsia="宋体" w:hAnsi="Arial" w:cs="Arial"/>
          <w:color w:val="000000"/>
          <w:sz w:val="18"/>
          <w:szCs w:val="18"/>
        </w:rPr>
        <w:t>The critical audit matter communicated below is a matter aris</w:t>
      </w:r>
      <w:r>
        <w:rPr>
          <w:rFonts w:ascii="Arial" w:eastAsia="宋体" w:hAnsi="Arial" w:cs="Arial"/>
          <w:color w:val="000000"/>
          <w:sz w:val="18"/>
          <w:szCs w:val="18"/>
        </w:rPr>
        <w:t>ing from the current period audit of the consolidated financial statements that was communicated or required to be communicated to the audit committee and that (i) relates to accounts or disclosures that are material to the</w:t>
      </w:r>
      <w:r>
        <w:rPr>
          <w:rFonts w:ascii="Arial" w:eastAsia="宋体" w:hAnsi="Arial" w:cs="Arial"/>
          <w:b/>
          <w:bCs/>
          <w:color w:val="FF0000"/>
          <w:sz w:val="18"/>
          <w:szCs w:val="18"/>
        </w:rPr>
        <w:t xml:space="preserve"> </w:t>
      </w:r>
      <w:r>
        <w:rPr>
          <w:rFonts w:ascii="Arial" w:eastAsia="宋体" w:hAnsi="Arial" w:cs="Arial"/>
          <w:color w:val="000000"/>
          <w:sz w:val="18"/>
          <w:szCs w:val="18"/>
        </w:rPr>
        <w:t>consolidated financial statement</w:t>
      </w:r>
      <w:r>
        <w:rPr>
          <w:rFonts w:ascii="Arial" w:eastAsia="宋体" w:hAnsi="Arial" w:cs="Arial"/>
          <w:color w:val="000000"/>
          <w:sz w:val="18"/>
          <w:szCs w:val="18"/>
        </w:rPr>
        <w:t>s and (ii) involved our especially challenging, subjective, or complex judgments. The communication of critical audit matters does not alter in any way our opinion on the consolidated</w:t>
      </w:r>
      <w:r>
        <w:rPr>
          <w:rFonts w:ascii="Arial" w:eastAsia="宋体" w:hAnsi="Arial" w:cs="Arial"/>
          <w:b/>
          <w:bCs/>
          <w:color w:val="FF0000"/>
          <w:sz w:val="18"/>
          <w:szCs w:val="18"/>
        </w:rPr>
        <w:t xml:space="preserve"> </w:t>
      </w:r>
      <w:r>
        <w:rPr>
          <w:rFonts w:ascii="Arial" w:eastAsia="宋体" w:hAnsi="Arial" w:cs="Arial"/>
          <w:color w:val="000000"/>
          <w:sz w:val="18"/>
          <w:szCs w:val="18"/>
        </w:rPr>
        <w:t>financial statements, taken as a whole, and we are not, by communicating</w:t>
      </w:r>
      <w:r>
        <w:rPr>
          <w:rFonts w:ascii="Arial" w:eastAsia="宋体" w:hAnsi="Arial" w:cs="Arial"/>
          <w:color w:val="000000"/>
          <w:sz w:val="18"/>
          <w:szCs w:val="18"/>
        </w:rPr>
        <w:t xml:space="preserve"> the critical audit matter below, providing a separate opinion on the critical audit matter or on the accounts or disclosures to which it relates.</w:t>
      </w:r>
    </w:p>
    <w:p w14:paraId="22CFAF3A" w14:textId="77777777" w:rsidR="002661BA" w:rsidRDefault="002661BA"/>
    <w:p w14:paraId="22CFAF3B" w14:textId="77777777" w:rsidR="002661BA" w:rsidRDefault="00D972BC">
      <w:r>
        <w:rPr>
          <w:rFonts w:ascii="Arial" w:eastAsia="宋体" w:hAnsi="Arial" w:cs="Arial"/>
          <w:i/>
          <w:iCs/>
          <w:color w:val="000000"/>
          <w:sz w:val="18"/>
          <w:szCs w:val="18"/>
        </w:rPr>
        <w:t>Income Taxes – Unrecognized Tax Benefits and Taxes on Foreign Earnings</w:t>
      </w:r>
    </w:p>
    <w:p w14:paraId="22CFAF3C" w14:textId="77777777" w:rsidR="002661BA" w:rsidRDefault="002661BA"/>
    <w:p w14:paraId="22CFAF3D" w14:textId="77777777" w:rsidR="002661BA" w:rsidRDefault="00D972BC">
      <w:pPr>
        <w:jc w:val="both"/>
      </w:pPr>
      <w:r>
        <w:rPr>
          <w:rFonts w:ascii="Arial" w:eastAsia="宋体" w:hAnsi="Arial" w:cs="Arial"/>
          <w:color w:val="000000"/>
          <w:sz w:val="18"/>
          <w:szCs w:val="18"/>
        </w:rPr>
        <w:t>As described in Notes 1 and 15 to th</w:t>
      </w:r>
      <w:r>
        <w:rPr>
          <w:rFonts w:ascii="Arial" w:eastAsia="宋体" w:hAnsi="Arial" w:cs="Arial"/>
          <w:color w:val="000000"/>
          <w:sz w:val="18"/>
          <w:szCs w:val="18"/>
        </w:rPr>
        <w:t>e consolidated financial statements, significant judgment is required in determining the Company’s tax expense and in evaluating management’s tax positions, including evaluating uncertainties and the complexity of taxes on foreign earnings. As disclosed by</w:t>
      </w:r>
      <w:r>
        <w:rPr>
          <w:rFonts w:ascii="Arial" w:eastAsia="宋体" w:hAnsi="Arial" w:cs="Arial"/>
          <w:color w:val="000000"/>
          <w:sz w:val="18"/>
          <w:szCs w:val="18"/>
        </w:rPr>
        <w:t xml:space="preserve"> management, the Company’s income tax rate is affected by the tax rates that apply to their foreign earnings including U.S. minimum taxes on foreign earnings. The deferred tax benefit derived from the amortization of the Company’s intellectual property is </w:t>
      </w:r>
      <w:r>
        <w:rPr>
          <w:rFonts w:ascii="Arial" w:eastAsia="宋体" w:hAnsi="Arial" w:cs="Arial"/>
          <w:color w:val="000000"/>
          <w:sz w:val="18"/>
          <w:szCs w:val="18"/>
        </w:rPr>
        <w:t>based on the fair value, which has been agreed with foreign tax authorities. The deferred tax benefit may from time to time change based on changes in tax rates. Management recognizes and measures uncertain tax positions in accordance with generally accept</w:t>
      </w:r>
      <w:r>
        <w:rPr>
          <w:rFonts w:ascii="Arial" w:eastAsia="宋体" w:hAnsi="Arial" w:cs="Arial"/>
          <w:color w:val="000000"/>
          <w:sz w:val="18"/>
          <w:szCs w:val="18"/>
        </w:rPr>
        <w:t>ed accounting principles in the U.S., or GAAP, pursuant to which management only recognizes the tax benefit from an uncertain tax position if it is more likely than not that the tax position will be sustained on examination by the taxing authorities, based</w:t>
      </w:r>
      <w:r>
        <w:rPr>
          <w:rFonts w:ascii="Arial" w:eastAsia="宋体" w:hAnsi="Arial" w:cs="Arial"/>
          <w:color w:val="000000"/>
          <w:sz w:val="18"/>
          <w:szCs w:val="18"/>
        </w:rPr>
        <w:t xml:space="preserve"> on the technical merits of the position. Tax positions are evaluated for potential reserves for uncertainty based on the estimated probability of sustaining the position under examina</w:t>
      </w:r>
      <w:r>
        <w:rPr>
          <w:rFonts w:ascii="Arial" w:eastAsia="宋体" w:hAnsi="Arial" w:cs="Arial"/>
          <w:color w:val="000000"/>
          <w:sz w:val="18"/>
          <w:szCs w:val="18"/>
          <w:shd w:val="clear" w:color="auto" w:fill="FFFFFF"/>
        </w:rPr>
        <w:t>tion. The total income tax provision for the year ended December 31, 202</w:t>
      </w:r>
      <w:r>
        <w:rPr>
          <w:rFonts w:ascii="Arial" w:eastAsia="宋体" w:hAnsi="Arial" w:cs="Arial"/>
          <w:color w:val="000000"/>
          <w:sz w:val="18"/>
          <w:szCs w:val="18"/>
          <w:shd w:val="clear" w:color="auto" w:fill="FFFFFF"/>
        </w:rPr>
        <w:t xml:space="preserve">1 was </w:t>
      </w:r>
      <w:r>
        <w:rPr>
          <w:rFonts w:ascii="Arial" w:eastAsia="宋体" w:hAnsi="Arial" w:cs="Arial"/>
          <w:color w:val="000000"/>
          <w:sz w:val="18"/>
          <w:szCs w:val="18"/>
        </w:rPr>
        <w:t xml:space="preserve">$146 million </w:t>
      </w:r>
      <w:r>
        <w:rPr>
          <w:rFonts w:ascii="Arial" w:eastAsia="宋体" w:hAnsi="Arial" w:cs="Arial"/>
          <w:color w:val="000000"/>
          <w:sz w:val="18"/>
          <w:szCs w:val="18"/>
          <w:shd w:val="clear" w:color="auto" w:fill="FFFFFF"/>
        </w:rPr>
        <w:t>and gross amounts of unrecognized tax benefits were</w:t>
      </w:r>
      <w:r>
        <w:rPr>
          <w:rFonts w:ascii="Arial" w:eastAsia="宋体" w:hAnsi="Arial" w:cs="Arial"/>
          <w:color w:val="000000"/>
          <w:sz w:val="18"/>
          <w:szCs w:val="18"/>
        </w:rPr>
        <w:t xml:space="preserve"> $461 million as of December 31, 2021</w:t>
      </w:r>
      <w:r>
        <w:rPr>
          <w:rFonts w:ascii="Arial" w:eastAsia="宋体" w:hAnsi="Arial" w:cs="Arial"/>
          <w:color w:val="000000"/>
          <w:sz w:val="18"/>
          <w:szCs w:val="18"/>
          <w:shd w:val="clear" w:color="auto" w:fill="FFFFFF"/>
        </w:rPr>
        <w:t>.</w:t>
      </w:r>
    </w:p>
    <w:p w14:paraId="22CFAF3E" w14:textId="77777777" w:rsidR="002661BA" w:rsidRDefault="002661BA">
      <w:pPr>
        <w:jc w:val="both"/>
      </w:pPr>
    </w:p>
    <w:p w14:paraId="22CFAF3F" w14:textId="77777777" w:rsidR="002661BA" w:rsidRDefault="00D972BC">
      <w:pPr>
        <w:jc w:val="both"/>
      </w:pPr>
      <w:r>
        <w:rPr>
          <w:rFonts w:ascii="Arial" w:eastAsia="宋体" w:hAnsi="Arial" w:cs="Arial"/>
          <w:color w:val="000000"/>
          <w:sz w:val="18"/>
          <w:szCs w:val="18"/>
        </w:rPr>
        <w:t xml:space="preserve">The principal considerations for our determination that performing procedures relating to income taxes - unrecognized tax benefits and taxes on </w:t>
      </w:r>
      <w:r>
        <w:rPr>
          <w:rFonts w:ascii="Arial" w:eastAsia="宋体" w:hAnsi="Arial" w:cs="Arial"/>
          <w:color w:val="000000"/>
          <w:sz w:val="18"/>
          <w:szCs w:val="18"/>
        </w:rPr>
        <w:t>foreign earnings is a critical audit matter are the significant judgment by management when evaluating tax positions relating to unrecognized tax benefits and taxes on foreign earnings, which in turn led to a high degree of auditor judgment, effort, and su</w:t>
      </w:r>
      <w:r>
        <w:rPr>
          <w:rFonts w:ascii="Arial" w:eastAsia="宋体" w:hAnsi="Arial" w:cs="Arial"/>
          <w:color w:val="000000"/>
          <w:sz w:val="18"/>
          <w:szCs w:val="18"/>
        </w:rPr>
        <w:t>bjectivity in performing audit procedures and evaluating audit evidence relating to unrecognized tax benefits and taxes on foreign earnings. The audit effort also involved the use of professionals with specialized skill and knowledge.</w:t>
      </w:r>
    </w:p>
    <w:p w14:paraId="22CFAF40" w14:textId="77777777" w:rsidR="002661BA" w:rsidRDefault="002661BA">
      <w:pPr>
        <w:jc w:val="both"/>
      </w:pPr>
    </w:p>
    <w:p w14:paraId="22CFAF41" w14:textId="77777777" w:rsidR="002661BA" w:rsidRDefault="00D972BC">
      <w:pPr>
        <w:jc w:val="both"/>
      </w:pPr>
      <w:r>
        <w:rPr>
          <w:rFonts w:ascii="Arial" w:eastAsia="宋体" w:hAnsi="Arial" w:cs="Arial"/>
          <w:color w:val="000000"/>
          <w:sz w:val="18"/>
          <w:szCs w:val="18"/>
        </w:rPr>
        <w:t>Addressing the matte</w:t>
      </w:r>
      <w:r>
        <w:rPr>
          <w:rFonts w:ascii="Arial" w:eastAsia="宋体" w:hAnsi="Arial" w:cs="Arial"/>
          <w:color w:val="000000"/>
          <w:sz w:val="18"/>
          <w:szCs w:val="18"/>
        </w:rPr>
        <w:t>r involved performing procedures and evaluating audit evidence in connection with forming our overall opinion on the consolidated financial statements. These procedures included testing the effectiveness of controls relating to income taxes, including cont</w:t>
      </w:r>
      <w:r>
        <w:rPr>
          <w:rFonts w:ascii="Arial" w:eastAsia="宋体" w:hAnsi="Arial" w:cs="Arial"/>
          <w:color w:val="000000"/>
          <w:sz w:val="18"/>
          <w:szCs w:val="18"/>
        </w:rPr>
        <w:t>rols over unrecognized tax benefits and taxes on foreign earnings. These procedures also included, among others, evaluating tax positions taken by management, including evaluating the reasonableness of management’s determination of the probability of susta</w:t>
      </w:r>
      <w:r>
        <w:rPr>
          <w:rFonts w:ascii="Arial" w:eastAsia="宋体" w:hAnsi="Arial" w:cs="Arial"/>
          <w:color w:val="000000"/>
          <w:sz w:val="18"/>
          <w:szCs w:val="18"/>
        </w:rPr>
        <w:t>ining the position under tax examination and identification of changes to tax positions, evaluating communications with the relevant tax authorities, testing applicable tax rates applied by management, and evaluating the impact of taxes on foreign earnings</w:t>
      </w:r>
      <w:r>
        <w:rPr>
          <w:rFonts w:ascii="Arial" w:eastAsia="宋体" w:hAnsi="Arial" w:cs="Arial"/>
          <w:color w:val="000000"/>
          <w:sz w:val="18"/>
          <w:szCs w:val="18"/>
        </w:rPr>
        <w:t>, including the calculation of U.S. minimum taxes on foreign earnings and the deferred tax benefit derived from the amortization of the Company’s intellectual property. Professionals with specialized skill and knowledge were used to assist in testing the c</w:t>
      </w:r>
      <w:r>
        <w:rPr>
          <w:rFonts w:ascii="Arial" w:eastAsia="宋体" w:hAnsi="Arial" w:cs="Arial"/>
          <w:color w:val="000000"/>
          <w:sz w:val="18"/>
          <w:szCs w:val="18"/>
        </w:rPr>
        <w:t>alculation of taxes on foreign earnings.</w:t>
      </w:r>
    </w:p>
    <w:p w14:paraId="22CFAF42" w14:textId="77777777" w:rsidR="002661BA" w:rsidRDefault="002661BA"/>
    <w:p w14:paraId="22CFAF43" w14:textId="77777777" w:rsidR="002661BA" w:rsidRDefault="002661BA"/>
    <w:p w14:paraId="22CFAF44" w14:textId="77777777" w:rsidR="002661BA" w:rsidRDefault="00D972BC">
      <w:r>
        <w:rPr>
          <w:rFonts w:ascii="Arial" w:eastAsia="宋体" w:hAnsi="Arial" w:cs="Arial"/>
          <w:color w:val="000000"/>
          <w:sz w:val="18"/>
          <w:szCs w:val="18"/>
        </w:rPr>
        <w:t>/s/ PricewaterhouseCoopers LLP</w:t>
      </w:r>
    </w:p>
    <w:p w14:paraId="22CFAF45" w14:textId="77777777" w:rsidR="002661BA" w:rsidRDefault="00D972BC">
      <w:r>
        <w:rPr>
          <w:rFonts w:ascii="Arial" w:eastAsia="宋体" w:hAnsi="Arial" w:cs="Arial"/>
          <w:color w:val="000000"/>
          <w:sz w:val="18"/>
          <w:szCs w:val="18"/>
        </w:rPr>
        <w:t>San Jose, California</w:t>
      </w:r>
    </w:p>
    <w:p w14:paraId="22CFAF46" w14:textId="77777777" w:rsidR="002661BA" w:rsidRDefault="00D972BC">
      <w:r>
        <w:rPr>
          <w:rFonts w:ascii="Arial" w:eastAsia="宋体" w:hAnsi="Arial" w:cs="Arial"/>
          <w:color w:val="000000"/>
          <w:sz w:val="18"/>
          <w:szCs w:val="18"/>
        </w:rPr>
        <w:t>February 24, 2022</w:t>
      </w:r>
    </w:p>
    <w:p w14:paraId="22CFAF47" w14:textId="77777777" w:rsidR="002661BA" w:rsidRDefault="002661BA"/>
    <w:p w14:paraId="22CFAF48" w14:textId="77777777" w:rsidR="002661BA" w:rsidRDefault="00D972BC">
      <w:pPr>
        <w:spacing w:after="120"/>
        <w:jc w:val="both"/>
      </w:pPr>
      <w:r>
        <w:rPr>
          <w:rFonts w:ascii="Arial" w:eastAsia="宋体" w:hAnsi="Arial" w:cs="Arial"/>
          <w:color w:val="000000"/>
          <w:sz w:val="18"/>
          <w:szCs w:val="18"/>
        </w:rPr>
        <w:t>We have served as the Company’s auditor since 1997.</w:t>
      </w:r>
    </w:p>
    <w:p w14:paraId="22CFAF49" w14:textId="77777777" w:rsidR="002661BA" w:rsidRDefault="002661BA"/>
    <w:p w14:paraId="22CFAF4A" w14:textId="77777777" w:rsidR="002661BA" w:rsidRDefault="00D972BC">
      <w:pPr>
        <w:jc w:val="center"/>
      </w:pPr>
      <w:r>
        <w:rPr>
          <w:rFonts w:ascii="Arial" w:eastAsia="宋体" w:hAnsi="Arial" w:cs="Arial"/>
          <w:color w:val="000000"/>
          <w:sz w:val="18"/>
          <w:szCs w:val="18"/>
        </w:rPr>
        <w:t>56</w:t>
      </w:r>
    </w:p>
    <w:p w14:paraId="22CFAF4B" w14:textId="77777777" w:rsidR="002661BA" w:rsidRDefault="00D972BC">
      <w:r>
        <w:pict w14:anchorId="22CFE4E9">
          <v:rect id="_x0000_i1080" style="width:415.3pt;height:1.5pt" o:hralign="center" o:hrstd="t" o:hr="t" fillcolor="#a0a0a0" stroked="f"/>
        </w:pict>
      </w:r>
    </w:p>
    <w:p w14:paraId="22CFAF4C" w14:textId="77777777" w:rsidR="002661BA" w:rsidRDefault="00D972BC">
      <w:hyperlink r:id="rId91" w:anchor="id0d7a71b05ce452ea9fdb54f3cb359c7_7" w:history="1">
        <w:r>
          <w:rPr>
            <w:rStyle w:val="a5"/>
            <w:rFonts w:ascii="Arial" w:eastAsia="宋体" w:hAnsi="Arial" w:cs="Arial"/>
            <w:sz w:val="18"/>
            <w:szCs w:val="18"/>
          </w:rPr>
          <w:t>Table of Contents</w:t>
        </w:r>
      </w:hyperlink>
    </w:p>
    <w:p w14:paraId="22CFAF4D" w14:textId="77777777" w:rsidR="002661BA" w:rsidRDefault="00D972BC">
      <w:pPr>
        <w:jc w:val="center"/>
      </w:pPr>
      <w:r>
        <w:rPr>
          <w:rFonts w:ascii="Arial" w:eastAsia="宋体" w:hAnsi="Arial" w:cs="Arial"/>
          <w:b/>
          <w:bCs/>
          <w:color w:val="000000"/>
          <w:sz w:val="20"/>
          <w:szCs w:val="20"/>
        </w:rPr>
        <w:t xml:space="preserve">eBay Inc. </w:t>
      </w:r>
    </w:p>
    <w:p w14:paraId="22CFAF4E" w14:textId="77777777" w:rsidR="002661BA" w:rsidRDefault="00D972BC">
      <w:pPr>
        <w:spacing w:before="80" w:after="120"/>
        <w:jc w:val="center"/>
      </w:pPr>
      <w:r>
        <w:rPr>
          <w:rFonts w:ascii="Arial" w:eastAsia="宋体" w:hAnsi="Arial" w:cs="Arial"/>
          <w:b/>
          <w:bCs/>
          <w:color w:val="000000"/>
          <w:sz w:val="20"/>
          <w:szCs w:val="20"/>
        </w:rPr>
        <w:t xml:space="preserve">CONSOLIDATED BALANCE SHEET </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668"/>
        <w:gridCol w:w="40"/>
        <w:gridCol w:w="122"/>
        <w:gridCol w:w="1081"/>
        <w:gridCol w:w="36"/>
        <w:gridCol w:w="36"/>
        <w:gridCol w:w="36"/>
        <w:gridCol w:w="36"/>
        <w:gridCol w:w="121"/>
        <w:gridCol w:w="1082"/>
        <w:gridCol w:w="36"/>
      </w:tblGrid>
      <w:tr w:rsidR="002661BA" w14:paraId="22CFAF5B" w14:textId="77777777">
        <w:trPr>
          <w:jc w:val="center"/>
        </w:trPr>
        <w:tc>
          <w:tcPr>
            <w:tcW w:w="50" w:type="pct"/>
            <w:shd w:val="clear" w:color="auto" w:fill="auto"/>
            <w:vAlign w:val="bottom"/>
          </w:tcPr>
          <w:p w14:paraId="22CFAF4F" w14:textId="77777777" w:rsidR="002661BA" w:rsidRDefault="002661BA">
            <w:pPr>
              <w:rPr>
                <w:rFonts w:ascii="宋体"/>
              </w:rPr>
            </w:pPr>
          </w:p>
        </w:tc>
        <w:tc>
          <w:tcPr>
            <w:tcW w:w="3643" w:type="pct"/>
            <w:shd w:val="clear" w:color="auto" w:fill="auto"/>
            <w:vAlign w:val="bottom"/>
          </w:tcPr>
          <w:p w14:paraId="22CFAF50" w14:textId="77777777" w:rsidR="002661BA" w:rsidRDefault="002661BA">
            <w:pPr>
              <w:rPr>
                <w:rFonts w:ascii="宋体"/>
              </w:rPr>
            </w:pPr>
          </w:p>
        </w:tc>
        <w:tc>
          <w:tcPr>
            <w:tcW w:w="5" w:type="pct"/>
            <w:shd w:val="clear" w:color="auto" w:fill="auto"/>
            <w:vAlign w:val="bottom"/>
          </w:tcPr>
          <w:p w14:paraId="22CFAF51" w14:textId="77777777" w:rsidR="002661BA" w:rsidRDefault="002661BA">
            <w:pPr>
              <w:rPr>
                <w:rFonts w:ascii="宋体"/>
              </w:rPr>
            </w:pPr>
          </w:p>
        </w:tc>
        <w:tc>
          <w:tcPr>
            <w:tcW w:w="50" w:type="pct"/>
            <w:shd w:val="clear" w:color="auto" w:fill="auto"/>
            <w:vAlign w:val="bottom"/>
          </w:tcPr>
          <w:p w14:paraId="22CFAF52" w14:textId="77777777" w:rsidR="002661BA" w:rsidRDefault="002661BA">
            <w:pPr>
              <w:rPr>
                <w:rFonts w:ascii="宋体"/>
              </w:rPr>
            </w:pPr>
          </w:p>
        </w:tc>
        <w:tc>
          <w:tcPr>
            <w:tcW w:w="580" w:type="pct"/>
            <w:shd w:val="clear" w:color="auto" w:fill="auto"/>
            <w:vAlign w:val="bottom"/>
          </w:tcPr>
          <w:p w14:paraId="22CFAF53" w14:textId="77777777" w:rsidR="002661BA" w:rsidRDefault="002661BA">
            <w:pPr>
              <w:rPr>
                <w:rFonts w:ascii="宋体"/>
              </w:rPr>
            </w:pPr>
          </w:p>
        </w:tc>
        <w:tc>
          <w:tcPr>
            <w:tcW w:w="5" w:type="pct"/>
            <w:shd w:val="clear" w:color="auto" w:fill="auto"/>
            <w:vAlign w:val="bottom"/>
          </w:tcPr>
          <w:p w14:paraId="22CFAF54" w14:textId="77777777" w:rsidR="002661BA" w:rsidRDefault="002661BA">
            <w:pPr>
              <w:rPr>
                <w:rFonts w:ascii="宋体"/>
              </w:rPr>
            </w:pPr>
          </w:p>
        </w:tc>
        <w:tc>
          <w:tcPr>
            <w:tcW w:w="5" w:type="pct"/>
            <w:shd w:val="clear" w:color="auto" w:fill="auto"/>
            <w:vAlign w:val="bottom"/>
          </w:tcPr>
          <w:p w14:paraId="22CFAF55" w14:textId="77777777" w:rsidR="002661BA" w:rsidRDefault="002661BA">
            <w:pPr>
              <w:rPr>
                <w:rFonts w:ascii="宋体"/>
              </w:rPr>
            </w:pPr>
          </w:p>
        </w:tc>
        <w:tc>
          <w:tcPr>
            <w:tcW w:w="19" w:type="pct"/>
            <w:shd w:val="clear" w:color="auto" w:fill="auto"/>
            <w:vAlign w:val="bottom"/>
          </w:tcPr>
          <w:p w14:paraId="22CFAF56" w14:textId="77777777" w:rsidR="002661BA" w:rsidRDefault="002661BA">
            <w:pPr>
              <w:rPr>
                <w:rFonts w:ascii="宋体"/>
              </w:rPr>
            </w:pPr>
          </w:p>
        </w:tc>
        <w:tc>
          <w:tcPr>
            <w:tcW w:w="5" w:type="pct"/>
            <w:shd w:val="clear" w:color="auto" w:fill="auto"/>
            <w:vAlign w:val="bottom"/>
          </w:tcPr>
          <w:p w14:paraId="22CFAF57" w14:textId="77777777" w:rsidR="002661BA" w:rsidRDefault="002661BA">
            <w:pPr>
              <w:rPr>
                <w:rFonts w:ascii="宋体"/>
              </w:rPr>
            </w:pPr>
          </w:p>
        </w:tc>
        <w:tc>
          <w:tcPr>
            <w:tcW w:w="50" w:type="pct"/>
            <w:shd w:val="clear" w:color="auto" w:fill="auto"/>
            <w:vAlign w:val="bottom"/>
          </w:tcPr>
          <w:p w14:paraId="22CFAF58" w14:textId="77777777" w:rsidR="002661BA" w:rsidRDefault="002661BA">
            <w:pPr>
              <w:rPr>
                <w:rFonts w:ascii="宋体"/>
              </w:rPr>
            </w:pPr>
          </w:p>
        </w:tc>
        <w:tc>
          <w:tcPr>
            <w:tcW w:w="581" w:type="pct"/>
            <w:shd w:val="clear" w:color="auto" w:fill="auto"/>
            <w:vAlign w:val="bottom"/>
          </w:tcPr>
          <w:p w14:paraId="22CFAF59" w14:textId="77777777" w:rsidR="002661BA" w:rsidRDefault="002661BA">
            <w:pPr>
              <w:rPr>
                <w:rFonts w:ascii="宋体"/>
              </w:rPr>
            </w:pPr>
          </w:p>
        </w:tc>
        <w:tc>
          <w:tcPr>
            <w:tcW w:w="5" w:type="pct"/>
            <w:shd w:val="clear" w:color="auto" w:fill="auto"/>
            <w:vAlign w:val="bottom"/>
          </w:tcPr>
          <w:p w14:paraId="22CFAF5A" w14:textId="77777777" w:rsidR="002661BA" w:rsidRDefault="002661BA">
            <w:pPr>
              <w:rPr>
                <w:rFonts w:ascii="宋体"/>
              </w:rPr>
            </w:pPr>
          </w:p>
        </w:tc>
      </w:tr>
      <w:tr w:rsidR="002661BA" w14:paraId="22CFAF5E" w14:textId="77777777">
        <w:trPr>
          <w:jc w:val="center"/>
        </w:trPr>
        <w:tc>
          <w:tcPr>
            <w:tcW w:w="0" w:type="auto"/>
            <w:gridSpan w:val="3"/>
            <w:shd w:val="clear" w:color="auto" w:fill="auto"/>
            <w:tcMar>
              <w:top w:w="0" w:type="dxa"/>
              <w:left w:w="20" w:type="dxa"/>
              <w:bottom w:w="0" w:type="dxa"/>
              <w:right w:w="20" w:type="dxa"/>
            </w:tcMar>
            <w:vAlign w:val="bottom"/>
          </w:tcPr>
          <w:p w14:paraId="22CFAF5C"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AF5D" w14:textId="77777777" w:rsidR="002661BA" w:rsidRDefault="00D972BC">
            <w:pPr>
              <w:jc w:val="center"/>
              <w:textAlignment w:val="bottom"/>
            </w:pPr>
            <w:r>
              <w:rPr>
                <w:rFonts w:ascii="Arial" w:eastAsia="宋体" w:hAnsi="Arial" w:cs="Arial"/>
                <w:b/>
                <w:bCs/>
                <w:color w:val="000000"/>
                <w:sz w:val="17"/>
                <w:szCs w:val="17"/>
              </w:rPr>
              <w:t>December 31,</w:t>
            </w:r>
          </w:p>
        </w:tc>
      </w:tr>
      <w:tr w:rsidR="002661BA" w14:paraId="22CFAF63" w14:textId="77777777">
        <w:trPr>
          <w:jc w:val="center"/>
        </w:trPr>
        <w:tc>
          <w:tcPr>
            <w:tcW w:w="0" w:type="auto"/>
            <w:gridSpan w:val="3"/>
            <w:shd w:val="clear" w:color="auto" w:fill="FFFFFF"/>
            <w:tcMar>
              <w:top w:w="40" w:type="dxa"/>
              <w:left w:w="20" w:type="dxa"/>
              <w:bottom w:w="40" w:type="dxa"/>
              <w:right w:w="20" w:type="dxa"/>
            </w:tcMar>
            <w:vAlign w:val="bottom"/>
          </w:tcPr>
          <w:p w14:paraId="22CFAF5F"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22CFAF60"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22CFAF61"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22CFAF62" w14:textId="77777777" w:rsidR="002661BA" w:rsidRDefault="00D972BC">
            <w:pPr>
              <w:jc w:val="center"/>
              <w:textAlignment w:val="bottom"/>
            </w:pPr>
            <w:r>
              <w:rPr>
                <w:rFonts w:ascii="Arial" w:eastAsia="宋体" w:hAnsi="Arial" w:cs="Arial"/>
                <w:b/>
                <w:bCs/>
                <w:color w:val="000000"/>
                <w:sz w:val="17"/>
                <w:szCs w:val="17"/>
              </w:rPr>
              <w:t>2020</w:t>
            </w:r>
          </w:p>
        </w:tc>
      </w:tr>
      <w:tr w:rsidR="002661BA" w14:paraId="22CFAF66" w14:textId="77777777">
        <w:trPr>
          <w:jc w:val="center"/>
        </w:trPr>
        <w:tc>
          <w:tcPr>
            <w:tcW w:w="0" w:type="auto"/>
            <w:gridSpan w:val="3"/>
            <w:shd w:val="clear" w:color="auto" w:fill="E2E2E2"/>
            <w:tcMar>
              <w:top w:w="40" w:type="dxa"/>
              <w:left w:w="20" w:type="dxa"/>
              <w:bottom w:w="40" w:type="dxa"/>
              <w:right w:w="20" w:type="dxa"/>
            </w:tcMar>
            <w:vAlign w:val="bottom"/>
          </w:tcPr>
          <w:p w14:paraId="22CFAF64" w14:textId="77777777" w:rsidR="002661BA" w:rsidRDefault="00D972BC">
            <w:pPr>
              <w:textAlignment w:val="bottom"/>
            </w:pPr>
            <w:r>
              <w:rPr>
                <w:rFonts w:ascii="Arial" w:eastAsia="宋体" w:hAnsi="Arial" w:cs="Arial"/>
                <w:color w:val="000000"/>
                <w:sz w:val="17"/>
                <w:szCs w:val="17"/>
              </w:rPr>
              <w:t> </w:t>
            </w:r>
          </w:p>
        </w:tc>
        <w:tc>
          <w:tcPr>
            <w:tcW w:w="0" w:type="auto"/>
            <w:gridSpan w:val="9"/>
            <w:tcBorders>
              <w:top w:val="single" w:sz="8" w:space="0" w:color="000000"/>
            </w:tcBorders>
            <w:shd w:val="clear" w:color="auto" w:fill="E2E2E2"/>
            <w:tcMar>
              <w:top w:w="40" w:type="dxa"/>
              <w:left w:w="20" w:type="dxa"/>
              <w:bottom w:w="40" w:type="dxa"/>
              <w:right w:w="20" w:type="dxa"/>
            </w:tcMar>
            <w:vAlign w:val="bottom"/>
          </w:tcPr>
          <w:p w14:paraId="22CFAF65" w14:textId="77777777" w:rsidR="002661BA" w:rsidRDefault="00D972BC">
            <w:pPr>
              <w:jc w:val="center"/>
              <w:textAlignment w:val="bottom"/>
            </w:pPr>
            <w:r>
              <w:rPr>
                <w:rFonts w:ascii="Arial" w:eastAsia="宋体" w:hAnsi="Arial" w:cs="Arial"/>
                <w:b/>
                <w:bCs/>
                <w:color w:val="000000"/>
                <w:sz w:val="17"/>
                <w:szCs w:val="17"/>
              </w:rPr>
              <w:t>(In millions, except par value)</w:t>
            </w:r>
          </w:p>
        </w:tc>
      </w:tr>
      <w:tr w:rsidR="002661BA" w14:paraId="22CFAF6B" w14:textId="77777777">
        <w:trPr>
          <w:jc w:val="center"/>
        </w:trPr>
        <w:tc>
          <w:tcPr>
            <w:tcW w:w="0" w:type="auto"/>
            <w:gridSpan w:val="3"/>
            <w:shd w:val="clear" w:color="auto" w:fill="FFFFFF"/>
            <w:tcMar>
              <w:top w:w="40" w:type="dxa"/>
              <w:left w:w="20" w:type="dxa"/>
              <w:bottom w:w="40" w:type="dxa"/>
              <w:right w:w="20" w:type="dxa"/>
            </w:tcMar>
            <w:vAlign w:val="bottom"/>
          </w:tcPr>
          <w:p w14:paraId="22CFAF67" w14:textId="77777777" w:rsidR="002661BA" w:rsidRDefault="00D972BC">
            <w:pPr>
              <w:jc w:val="center"/>
              <w:textAlignment w:val="bottom"/>
            </w:pPr>
            <w:r>
              <w:rPr>
                <w:rFonts w:ascii="Arial" w:eastAsia="宋体" w:hAnsi="Arial" w:cs="Arial"/>
                <w:b/>
                <w:bCs/>
                <w:color w:val="000000"/>
                <w:sz w:val="18"/>
                <w:szCs w:val="18"/>
              </w:rPr>
              <w:t>ASSETS</w:t>
            </w:r>
          </w:p>
        </w:tc>
        <w:tc>
          <w:tcPr>
            <w:tcW w:w="0" w:type="auto"/>
            <w:gridSpan w:val="3"/>
            <w:shd w:val="clear" w:color="auto" w:fill="FFFFFF"/>
            <w:tcMar>
              <w:top w:w="0" w:type="dxa"/>
              <w:left w:w="20" w:type="dxa"/>
              <w:bottom w:w="0" w:type="dxa"/>
              <w:right w:w="20" w:type="dxa"/>
            </w:tcMar>
            <w:vAlign w:val="bottom"/>
          </w:tcPr>
          <w:p w14:paraId="22CFAF68"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F69"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AF6A" w14:textId="77777777" w:rsidR="002661BA" w:rsidRDefault="002661BA">
            <w:pPr>
              <w:rPr>
                <w:rFonts w:ascii="宋体"/>
              </w:rPr>
            </w:pPr>
          </w:p>
        </w:tc>
      </w:tr>
      <w:tr w:rsidR="002661BA" w14:paraId="22CFAF70" w14:textId="77777777">
        <w:trPr>
          <w:jc w:val="center"/>
        </w:trPr>
        <w:tc>
          <w:tcPr>
            <w:tcW w:w="0" w:type="auto"/>
            <w:gridSpan w:val="3"/>
            <w:shd w:val="clear" w:color="auto" w:fill="E2E2E2"/>
            <w:tcMar>
              <w:top w:w="40" w:type="dxa"/>
              <w:left w:w="20" w:type="dxa"/>
              <w:bottom w:w="40" w:type="dxa"/>
              <w:right w:w="20" w:type="dxa"/>
            </w:tcMar>
            <w:vAlign w:val="bottom"/>
          </w:tcPr>
          <w:p w14:paraId="22CFAF6C" w14:textId="77777777" w:rsidR="002661BA" w:rsidRDefault="00D972BC">
            <w:pPr>
              <w:textAlignment w:val="bottom"/>
            </w:pPr>
            <w:r>
              <w:rPr>
                <w:rFonts w:ascii="Arial" w:eastAsia="宋体" w:hAnsi="Arial" w:cs="Arial"/>
                <w:color w:val="000000"/>
                <w:sz w:val="18"/>
                <w:szCs w:val="18"/>
              </w:rPr>
              <w:t>Current assets:</w:t>
            </w:r>
          </w:p>
        </w:tc>
        <w:tc>
          <w:tcPr>
            <w:tcW w:w="0" w:type="auto"/>
            <w:gridSpan w:val="3"/>
            <w:shd w:val="clear" w:color="auto" w:fill="E2E2E2"/>
            <w:tcMar>
              <w:top w:w="40" w:type="dxa"/>
              <w:left w:w="20" w:type="dxa"/>
              <w:bottom w:w="40" w:type="dxa"/>
              <w:right w:w="20" w:type="dxa"/>
            </w:tcMar>
            <w:vAlign w:val="bottom"/>
          </w:tcPr>
          <w:p w14:paraId="22CFAF6D"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22CFAF6E"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AF6F" w14:textId="77777777" w:rsidR="002661BA" w:rsidRDefault="00D972BC">
            <w:pPr>
              <w:textAlignment w:val="bottom"/>
            </w:pPr>
            <w:r>
              <w:rPr>
                <w:rFonts w:ascii="Arial" w:eastAsia="宋体" w:hAnsi="Arial" w:cs="Arial"/>
                <w:color w:val="000000"/>
                <w:sz w:val="18"/>
                <w:szCs w:val="18"/>
              </w:rPr>
              <w:t> </w:t>
            </w:r>
          </w:p>
        </w:tc>
      </w:tr>
      <w:tr w:rsidR="002661BA" w14:paraId="22CFAF79" w14:textId="77777777">
        <w:trPr>
          <w:jc w:val="center"/>
        </w:trPr>
        <w:tc>
          <w:tcPr>
            <w:tcW w:w="0" w:type="auto"/>
            <w:gridSpan w:val="3"/>
            <w:shd w:val="clear" w:color="auto" w:fill="FFFFFF"/>
            <w:tcMar>
              <w:top w:w="40" w:type="dxa"/>
              <w:left w:w="515" w:type="dxa"/>
              <w:bottom w:w="40" w:type="dxa"/>
              <w:right w:w="20" w:type="dxa"/>
            </w:tcMar>
            <w:vAlign w:val="bottom"/>
          </w:tcPr>
          <w:p w14:paraId="22CFAF71" w14:textId="77777777" w:rsidR="002661BA" w:rsidRDefault="00D972BC">
            <w:pPr>
              <w:textAlignment w:val="bottom"/>
            </w:pPr>
            <w:r>
              <w:rPr>
                <w:rFonts w:ascii="Arial" w:eastAsia="宋体" w:hAnsi="Arial" w:cs="Arial"/>
                <w:color w:val="000000"/>
                <w:sz w:val="18"/>
                <w:szCs w:val="18"/>
              </w:rPr>
              <w:t xml:space="preserve">Cash and cash </w:t>
            </w:r>
            <w:r>
              <w:rPr>
                <w:rFonts w:ascii="Arial" w:eastAsia="宋体" w:hAnsi="Arial" w:cs="Arial"/>
                <w:color w:val="000000"/>
                <w:sz w:val="18"/>
                <w:szCs w:val="18"/>
              </w:rPr>
              <w:t>equivalents</w:t>
            </w:r>
          </w:p>
        </w:tc>
        <w:tc>
          <w:tcPr>
            <w:tcW w:w="0" w:type="auto"/>
            <w:shd w:val="clear" w:color="auto" w:fill="FFFFFF"/>
            <w:tcMar>
              <w:top w:w="40" w:type="dxa"/>
              <w:left w:w="20" w:type="dxa"/>
              <w:bottom w:w="40" w:type="dxa"/>
              <w:right w:w="0" w:type="dxa"/>
            </w:tcMar>
            <w:vAlign w:val="bottom"/>
          </w:tcPr>
          <w:p w14:paraId="22CFAF72"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F73" w14:textId="77777777" w:rsidR="002661BA" w:rsidRDefault="00D972BC">
            <w:pPr>
              <w:jc w:val="right"/>
              <w:textAlignment w:val="bottom"/>
            </w:pPr>
            <w:r>
              <w:rPr>
                <w:rFonts w:ascii="Arial" w:eastAsia="宋体" w:hAnsi="Arial" w:cs="Arial"/>
                <w:color w:val="000000"/>
                <w:sz w:val="18"/>
                <w:szCs w:val="18"/>
              </w:rPr>
              <w:t>1,379 </w:t>
            </w:r>
          </w:p>
        </w:tc>
        <w:tc>
          <w:tcPr>
            <w:tcW w:w="0" w:type="auto"/>
            <w:shd w:val="clear" w:color="auto" w:fill="FFFFFF"/>
            <w:tcMar>
              <w:top w:w="40" w:type="dxa"/>
              <w:left w:w="0" w:type="dxa"/>
              <w:bottom w:w="40" w:type="dxa"/>
              <w:right w:w="20" w:type="dxa"/>
            </w:tcMar>
            <w:vAlign w:val="bottom"/>
          </w:tcPr>
          <w:p w14:paraId="22CFAF7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F75"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AF7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AF77" w14:textId="77777777" w:rsidR="002661BA" w:rsidRDefault="00D972BC">
            <w:pPr>
              <w:jc w:val="right"/>
              <w:textAlignment w:val="bottom"/>
            </w:pPr>
            <w:r>
              <w:rPr>
                <w:rFonts w:ascii="Arial" w:eastAsia="宋体" w:hAnsi="Arial" w:cs="Arial"/>
                <w:color w:val="000000"/>
                <w:sz w:val="18"/>
                <w:szCs w:val="18"/>
              </w:rPr>
              <w:t>1,101 </w:t>
            </w:r>
          </w:p>
        </w:tc>
        <w:tc>
          <w:tcPr>
            <w:tcW w:w="0" w:type="auto"/>
            <w:shd w:val="clear" w:color="auto" w:fill="FFFFFF"/>
            <w:tcMar>
              <w:top w:w="40" w:type="dxa"/>
              <w:left w:w="0" w:type="dxa"/>
              <w:bottom w:w="40" w:type="dxa"/>
              <w:right w:w="20" w:type="dxa"/>
            </w:tcMar>
            <w:vAlign w:val="bottom"/>
          </w:tcPr>
          <w:p w14:paraId="22CFAF78" w14:textId="77777777" w:rsidR="002661BA" w:rsidRDefault="002661BA">
            <w:pPr>
              <w:jc w:val="right"/>
              <w:rPr>
                <w:rFonts w:ascii="宋体"/>
              </w:rPr>
            </w:pPr>
          </w:p>
        </w:tc>
      </w:tr>
      <w:tr w:rsidR="002661BA" w14:paraId="22CFAF80" w14:textId="77777777">
        <w:trPr>
          <w:jc w:val="center"/>
        </w:trPr>
        <w:tc>
          <w:tcPr>
            <w:tcW w:w="0" w:type="auto"/>
            <w:gridSpan w:val="3"/>
            <w:shd w:val="clear" w:color="auto" w:fill="E2E2E2"/>
            <w:tcMar>
              <w:top w:w="40" w:type="dxa"/>
              <w:left w:w="515" w:type="dxa"/>
              <w:bottom w:w="40" w:type="dxa"/>
              <w:right w:w="20" w:type="dxa"/>
            </w:tcMar>
            <w:vAlign w:val="bottom"/>
          </w:tcPr>
          <w:p w14:paraId="22CFAF7A" w14:textId="77777777" w:rsidR="002661BA" w:rsidRDefault="00D972BC">
            <w:pPr>
              <w:textAlignment w:val="bottom"/>
            </w:pPr>
            <w:r>
              <w:rPr>
                <w:rFonts w:ascii="Arial" w:eastAsia="宋体" w:hAnsi="Arial" w:cs="Arial"/>
                <w:color w:val="000000"/>
                <w:sz w:val="18"/>
                <w:szCs w:val="18"/>
              </w:rPr>
              <w:t>Short-term investments</w:t>
            </w:r>
          </w:p>
        </w:tc>
        <w:tc>
          <w:tcPr>
            <w:tcW w:w="0" w:type="auto"/>
            <w:gridSpan w:val="2"/>
            <w:shd w:val="clear" w:color="auto" w:fill="E2E2E2"/>
            <w:tcMar>
              <w:top w:w="40" w:type="dxa"/>
              <w:left w:w="20" w:type="dxa"/>
              <w:bottom w:w="40" w:type="dxa"/>
              <w:right w:w="0" w:type="dxa"/>
            </w:tcMar>
            <w:vAlign w:val="bottom"/>
          </w:tcPr>
          <w:p w14:paraId="22CFAF7B" w14:textId="77777777" w:rsidR="002661BA" w:rsidRDefault="00D972BC">
            <w:pPr>
              <w:jc w:val="right"/>
              <w:textAlignment w:val="bottom"/>
            </w:pPr>
            <w:r>
              <w:rPr>
                <w:rFonts w:ascii="Arial" w:eastAsia="宋体" w:hAnsi="Arial" w:cs="Arial"/>
                <w:color w:val="000000"/>
                <w:sz w:val="18"/>
                <w:szCs w:val="18"/>
              </w:rPr>
              <w:t>5,944 </w:t>
            </w:r>
          </w:p>
        </w:tc>
        <w:tc>
          <w:tcPr>
            <w:tcW w:w="0" w:type="auto"/>
            <w:shd w:val="clear" w:color="auto" w:fill="E2E2E2"/>
            <w:tcMar>
              <w:top w:w="40" w:type="dxa"/>
              <w:left w:w="0" w:type="dxa"/>
              <w:bottom w:w="40" w:type="dxa"/>
              <w:right w:w="20" w:type="dxa"/>
            </w:tcMar>
            <w:vAlign w:val="bottom"/>
          </w:tcPr>
          <w:p w14:paraId="22CFAF7C"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F7D"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F7E" w14:textId="77777777" w:rsidR="002661BA" w:rsidRDefault="00D972BC">
            <w:pPr>
              <w:jc w:val="right"/>
              <w:textAlignment w:val="bottom"/>
            </w:pPr>
            <w:r>
              <w:rPr>
                <w:rFonts w:ascii="Arial" w:eastAsia="宋体" w:hAnsi="Arial" w:cs="Arial"/>
                <w:color w:val="000000"/>
                <w:sz w:val="18"/>
                <w:szCs w:val="18"/>
              </w:rPr>
              <w:t>2,392 </w:t>
            </w:r>
          </w:p>
        </w:tc>
        <w:tc>
          <w:tcPr>
            <w:tcW w:w="0" w:type="auto"/>
            <w:shd w:val="clear" w:color="auto" w:fill="E2E2E2"/>
            <w:tcMar>
              <w:top w:w="40" w:type="dxa"/>
              <w:left w:w="0" w:type="dxa"/>
              <w:bottom w:w="40" w:type="dxa"/>
              <w:right w:w="20" w:type="dxa"/>
            </w:tcMar>
            <w:vAlign w:val="bottom"/>
          </w:tcPr>
          <w:p w14:paraId="22CFAF7F" w14:textId="77777777" w:rsidR="002661BA" w:rsidRDefault="002661BA">
            <w:pPr>
              <w:jc w:val="right"/>
              <w:rPr>
                <w:rFonts w:ascii="宋体"/>
              </w:rPr>
            </w:pPr>
          </w:p>
        </w:tc>
      </w:tr>
      <w:tr w:rsidR="002661BA" w14:paraId="22CFAF85" w14:textId="77777777">
        <w:trPr>
          <w:jc w:val="center"/>
          <w:hidden/>
        </w:trPr>
        <w:tc>
          <w:tcPr>
            <w:tcW w:w="0" w:type="auto"/>
            <w:gridSpan w:val="3"/>
            <w:shd w:val="clear" w:color="auto" w:fill="auto"/>
            <w:vAlign w:val="bottom"/>
          </w:tcPr>
          <w:p w14:paraId="22CFAF81" w14:textId="77777777" w:rsidR="002661BA" w:rsidRDefault="002661BA">
            <w:pPr>
              <w:rPr>
                <w:rFonts w:ascii="宋体"/>
                <w:vanish/>
              </w:rPr>
            </w:pPr>
          </w:p>
        </w:tc>
        <w:tc>
          <w:tcPr>
            <w:tcW w:w="0" w:type="auto"/>
            <w:gridSpan w:val="3"/>
            <w:shd w:val="clear" w:color="auto" w:fill="auto"/>
            <w:vAlign w:val="bottom"/>
          </w:tcPr>
          <w:p w14:paraId="22CFAF82" w14:textId="77777777" w:rsidR="002661BA" w:rsidRDefault="002661BA">
            <w:pPr>
              <w:rPr>
                <w:rFonts w:ascii="宋体"/>
                <w:vanish/>
              </w:rPr>
            </w:pPr>
          </w:p>
        </w:tc>
        <w:tc>
          <w:tcPr>
            <w:tcW w:w="0" w:type="auto"/>
            <w:gridSpan w:val="3"/>
            <w:shd w:val="clear" w:color="auto" w:fill="auto"/>
            <w:vAlign w:val="bottom"/>
          </w:tcPr>
          <w:p w14:paraId="22CFAF83" w14:textId="77777777" w:rsidR="002661BA" w:rsidRDefault="002661BA">
            <w:pPr>
              <w:rPr>
                <w:rFonts w:ascii="宋体"/>
                <w:vanish/>
              </w:rPr>
            </w:pPr>
          </w:p>
        </w:tc>
        <w:tc>
          <w:tcPr>
            <w:tcW w:w="0" w:type="auto"/>
            <w:gridSpan w:val="3"/>
            <w:shd w:val="clear" w:color="auto" w:fill="auto"/>
            <w:vAlign w:val="bottom"/>
          </w:tcPr>
          <w:p w14:paraId="22CFAF84" w14:textId="77777777" w:rsidR="002661BA" w:rsidRDefault="002661BA">
            <w:pPr>
              <w:rPr>
                <w:rFonts w:ascii="宋体"/>
                <w:vanish/>
              </w:rPr>
            </w:pPr>
          </w:p>
        </w:tc>
      </w:tr>
      <w:tr w:rsidR="002661BA" w14:paraId="22CFAF8C" w14:textId="77777777">
        <w:trPr>
          <w:jc w:val="center"/>
        </w:trPr>
        <w:tc>
          <w:tcPr>
            <w:tcW w:w="0" w:type="auto"/>
            <w:gridSpan w:val="3"/>
            <w:shd w:val="clear" w:color="auto" w:fill="FFFFFF"/>
            <w:tcMar>
              <w:top w:w="40" w:type="dxa"/>
              <w:left w:w="20" w:type="dxa"/>
              <w:bottom w:w="40" w:type="dxa"/>
              <w:right w:w="20" w:type="dxa"/>
            </w:tcMar>
            <w:vAlign w:val="bottom"/>
          </w:tcPr>
          <w:p w14:paraId="22CFAF86" w14:textId="77777777" w:rsidR="002661BA" w:rsidRDefault="00D972BC">
            <w:pPr>
              <w:textAlignment w:val="bottom"/>
            </w:pPr>
            <w:r>
              <w:rPr>
                <w:rFonts w:ascii="Arial" w:eastAsia="宋体" w:hAnsi="Arial" w:cs="Arial"/>
                <w:color w:val="000000"/>
                <w:sz w:val="18"/>
                <w:szCs w:val="18"/>
              </w:rPr>
              <w:t>Accounts receivable, net of allowance for doubtful accounts of $42 and $97</w:t>
            </w:r>
          </w:p>
        </w:tc>
        <w:tc>
          <w:tcPr>
            <w:tcW w:w="0" w:type="auto"/>
            <w:gridSpan w:val="2"/>
            <w:shd w:val="clear" w:color="auto" w:fill="FFFFFF"/>
            <w:tcMar>
              <w:top w:w="40" w:type="dxa"/>
              <w:left w:w="20" w:type="dxa"/>
              <w:bottom w:w="40" w:type="dxa"/>
              <w:right w:w="0" w:type="dxa"/>
            </w:tcMar>
            <w:vAlign w:val="bottom"/>
          </w:tcPr>
          <w:p w14:paraId="22CFAF87" w14:textId="77777777" w:rsidR="002661BA" w:rsidRDefault="00D972BC">
            <w:pPr>
              <w:jc w:val="right"/>
              <w:textAlignment w:val="bottom"/>
            </w:pPr>
            <w:r>
              <w:rPr>
                <w:rFonts w:ascii="Arial" w:eastAsia="宋体" w:hAnsi="Arial" w:cs="Arial"/>
                <w:color w:val="000000"/>
                <w:sz w:val="18"/>
                <w:szCs w:val="18"/>
              </w:rPr>
              <w:t>98 </w:t>
            </w:r>
          </w:p>
        </w:tc>
        <w:tc>
          <w:tcPr>
            <w:tcW w:w="0" w:type="auto"/>
            <w:shd w:val="clear" w:color="auto" w:fill="FFFFFF"/>
            <w:tcMar>
              <w:top w:w="40" w:type="dxa"/>
              <w:left w:w="0" w:type="dxa"/>
              <w:bottom w:w="40" w:type="dxa"/>
              <w:right w:w="20" w:type="dxa"/>
            </w:tcMar>
            <w:vAlign w:val="bottom"/>
          </w:tcPr>
          <w:p w14:paraId="22CFAF8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F89"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F8A" w14:textId="77777777" w:rsidR="002661BA" w:rsidRDefault="00D972BC">
            <w:pPr>
              <w:jc w:val="right"/>
              <w:textAlignment w:val="bottom"/>
            </w:pPr>
            <w:r>
              <w:rPr>
                <w:rFonts w:ascii="Arial" w:eastAsia="宋体" w:hAnsi="Arial" w:cs="Arial"/>
                <w:color w:val="000000"/>
                <w:sz w:val="18"/>
                <w:szCs w:val="18"/>
              </w:rPr>
              <w:t>362 </w:t>
            </w:r>
          </w:p>
        </w:tc>
        <w:tc>
          <w:tcPr>
            <w:tcW w:w="0" w:type="auto"/>
            <w:shd w:val="clear" w:color="auto" w:fill="FFFFFF"/>
            <w:tcMar>
              <w:top w:w="40" w:type="dxa"/>
              <w:left w:w="0" w:type="dxa"/>
              <w:bottom w:w="40" w:type="dxa"/>
              <w:right w:w="20" w:type="dxa"/>
            </w:tcMar>
            <w:vAlign w:val="bottom"/>
          </w:tcPr>
          <w:p w14:paraId="22CFAF8B" w14:textId="77777777" w:rsidR="002661BA" w:rsidRDefault="002661BA">
            <w:pPr>
              <w:jc w:val="right"/>
              <w:rPr>
                <w:rFonts w:ascii="宋体"/>
              </w:rPr>
            </w:pPr>
          </w:p>
        </w:tc>
      </w:tr>
      <w:tr w:rsidR="002661BA" w14:paraId="22CFAF93" w14:textId="77777777">
        <w:trPr>
          <w:jc w:val="center"/>
        </w:trPr>
        <w:tc>
          <w:tcPr>
            <w:tcW w:w="0" w:type="auto"/>
            <w:gridSpan w:val="3"/>
            <w:shd w:val="clear" w:color="auto" w:fill="E2E2E2"/>
            <w:tcMar>
              <w:top w:w="40" w:type="dxa"/>
              <w:left w:w="515" w:type="dxa"/>
              <w:bottom w:w="40" w:type="dxa"/>
              <w:right w:w="20" w:type="dxa"/>
            </w:tcMar>
            <w:vAlign w:val="bottom"/>
          </w:tcPr>
          <w:p w14:paraId="22CFAF8D" w14:textId="77777777" w:rsidR="002661BA" w:rsidRDefault="00D972BC">
            <w:pPr>
              <w:textAlignment w:val="bottom"/>
            </w:pPr>
            <w:r>
              <w:rPr>
                <w:rFonts w:ascii="Arial" w:eastAsia="宋体" w:hAnsi="Arial" w:cs="Arial"/>
                <w:color w:val="000000"/>
                <w:sz w:val="18"/>
                <w:szCs w:val="18"/>
              </w:rPr>
              <w:t>Customer accounts and funds receivable</w:t>
            </w:r>
          </w:p>
        </w:tc>
        <w:tc>
          <w:tcPr>
            <w:tcW w:w="0" w:type="auto"/>
            <w:gridSpan w:val="2"/>
            <w:shd w:val="clear" w:color="auto" w:fill="E2E2E2"/>
            <w:tcMar>
              <w:top w:w="40" w:type="dxa"/>
              <w:left w:w="20" w:type="dxa"/>
              <w:bottom w:w="40" w:type="dxa"/>
              <w:right w:w="0" w:type="dxa"/>
            </w:tcMar>
            <w:vAlign w:val="bottom"/>
          </w:tcPr>
          <w:p w14:paraId="22CFAF8E" w14:textId="77777777" w:rsidR="002661BA" w:rsidRDefault="00D972BC">
            <w:pPr>
              <w:jc w:val="right"/>
              <w:textAlignment w:val="bottom"/>
            </w:pPr>
            <w:r>
              <w:rPr>
                <w:rFonts w:ascii="Arial" w:eastAsia="宋体" w:hAnsi="Arial" w:cs="Arial"/>
                <w:color w:val="000000"/>
                <w:sz w:val="18"/>
                <w:szCs w:val="18"/>
              </w:rPr>
              <w:t>681 </w:t>
            </w:r>
          </w:p>
        </w:tc>
        <w:tc>
          <w:tcPr>
            <w:tcW w:w="0" w:type="auto"/>
            <w:shd w:val="clear" w:color="auto" w:fill="E2E2E2"/>
            <w:tcMar>
              <w:top w:w="40" w:type="dxa"/>
              <w:left w:w="0" w:type="dxa"/>
              <w:bottom w:w="40" w:type="dxa"/>
              <w:right w:w="20" w:type="dxa"/>
            </w:tcMar>
            <w:vAlign w:val="bottom"/>
          </w:tcPr>
          <w:p w14:paraId="22CFAF8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F90"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F91" w14:textId="77777777" w:rsidR="002661BA" w:rsidRDefault="00D972BC">
            <w:pPr>
              <w:jc w:val="right"/>
              <w:textAlignment w:val="bottom"/>
            </w:pPr>
            <w:r>
              <w:rPr>
                <w:rFonts w:ascii="Arial" w:eastAsia="宋体" w:hAnsi="Arial" w:cs="Arial"/>
                <w:color w:val="000000"/>
                <w:sz w:val="18"/>
                <w:szCs w:val="18"/>
              </w:rPr>
              <w:t>290 </w:t>
            </w:r>
          </w:p>
        </w:tc>
        <w:tc>
          <w:tcPr>
            <w:tcW w:w="0" w:type="auto"/>
            <w:shd w:val="clear" w:color="auto" w:fill="E2E2E2"/>
            <w:tcMar>
              <w:top w:w="40" w:type="dxa"/>
              <w:left w:w="0" w:type="dxa"/>
              <w:bottom w:w="40" w:type="dxa"/>
              <w:right w:w="20" w:type="dxa"/>
            </w:tcMar>
            <w:vAlign w:val="bottom"/>
          </w:tcPr>
          <w:p w14:paraId="22CFAF92" w14:textId="77777777" w:rsidR="002661BA" w:rsidRDefault="002661BA">
            <w:pPr>
              <w:jc w:val="right"/>
              <w:rPr>
                <w:rFonts w:ascii="宋体"/>
              </w:rPr>
            </w:pPr>
          </w:p>
        </w:tc>
      </w:tr>
      <w:tr w:rsidR="002661BA" w14:paraId="22CFAF9A" w14:textId="77777777">
        <w:trPr>
          <w:jc w:val="center"/>
        </w:trPr>
        <w:tc>
          <w:tcPr>
            <w:tcW w:w="0" w:type="auto"/>
            <w:gridSpan w:val="3"/>
            <w:shd w:val="clear" w:color="auto" w:fill="FFFFFF"/>
            <w:tcMar>
              <w:top w:w="40" w:type="dxa"/>
              <w:left w:w="515" w:type="dxa"/>
              <w:bottom w:w="40" w:type="dxa"/>
              <w:right w:w="20" w:type="dxa"/>
            </w:tcMar>
            <w:vAlign w:val="bottom"/>
          </w:tcPr>
          <w:p w14:paraId="22CFAF94" w14:textId="77777777" w:rsidR="002661BA" w:rsidRDefault="00D972BC">
            <w:pPr>
              <w:textAlignment w:val="bottom"/>
            </w:pPr>
            <w:r>
              <w:rPr>
                <w:rFonts w:ascii="Arial" w:eastAsia="宋体" w:hAnsi="Arial" w:cs="Arial"/>
                <w:color w:val="000000"/>
                <w:sz w:val="18"/>
                <w:szCs w:val="18"/>
              </w:rPr>
              <w:t>Other current assets</w:t>
            </w:r>
          </w:p>
        </w:tc>
        <w:tc>
          <w:tcPr>
            <w:tcW w:w="0" w:type="auto"/>
            <w:gridSpan w:val="2"/>
            <w:shd w:val="clear" w:color="auto" w:fill="FFFFFF"/>
            <w:tcMar>
              <w:top w:w="40" w:type="dxa"/>
              <w:left w:w="20" w:type="dxa"/>
              <w:bottom w:w="40" w:type="dxa"/>
              <w:right w:w="0" w:type="dxa"/>
            </w:tcMar>
            <w:vAlign w:val="bottom"/>
          </w:tcPr>
          <w:p w14:paraId="22CFAF95" w14:textId="77777777" w:rsidR="002661BA" w:rsidRDefault="00D972BC">
            <w:pPr>
              <w:jc w:val="right"/>
              <w:textAlignment w:val="bottom"/>
            </w:pPr>
            <w:r>
              <w:rPr>
                <w:rFonts w:ascii="Arial" w:eastAsia="宋体" w:hAnsi="Arial" w:cs="Arial"/>
                <w:color w:val="000000"/>
                <w:sz w:val="18"/>
                <w:szCs w:val="18"/>
              </w:rPr>
              <w:t>1,009 </w:t>
            </w:r>
          </w:p>
        </w:tc>
        <w:tc>
          <w:tcPr>
            <w:tcW w:w="0" w:type="auto"/>
            <w:shd w:val="clear" w:color="auto" w:fill="FFFFFF"/>
            <w:tcMar>
              <w:top w:w="40" w:type="dxa"/>
              <w:left w:w="0" w:type="dxa"/>
              <w:bottom w:w="40" w:type="dxa"/>
              <w:right w:w="20" w:type="dxa"/>
            </w:tcMar>
            <w:vAlign w:val="bottom"/>
          </w:tcPr>
          <w:p w14:paraId="22CFAF9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F97"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F98" w14:textId="77777777" w:rsidR="002661BA" w:rsidRDefault="00D972BC">
            <w:pPr>
              <w:jc w:val="right"/>
              <w:textAlignment w:val="bottom"/>
            </w:pPr>
            <w:r>
              <w:rPr>
                <w:rFonts w:ascii="Arial" w:eastAsia="宋体" w:hAnsi="Arial" w:cs="Arial"/>
                <w:color w:val="000000"/>
                <w:sz w:val="18"/>
                <w:szCs w:val="18"/>
              </w:rPr>
              <w:t>780 </w:t>
            </w:r>
          </w:p>
        </w:tc>
        <w:tc>
          <w:tcPr>
            <w:tcW w:w="0" w:type="auto"/>
            <w:shd w:val="clear" w:color="auto" w:fill="FFFFFF"/>
            <w:tcMar>
              <w:top w:w="40" w:type="dxa"/>
              <w:left w:w="0" w:type="dxa"/>
              <w:bottom w:w="40" w:type="dxa"/>
              <w:right w:w="20" w:type="dxa"/>
            </w:tcMar>
            <w:vAlign w:val="bottom"/>
          </w:tcPr>
          <w:p w14:paraId="22CFAF99" w14:textId="77777777" w:rsidR="002661BA" w:rsidRDefault="002661BA">
            <w:pPr>
              <w:jc w:val="right"/>
              <w:rPr>
                <w:rFonts w:ascii="宋体"/>
              </w:rPr>
            </w:pPr>
          </w:p>
        </w:tc>
      </w:tr>
      <w:tr w:rsidR="002661BA" w14:paraId="22CFAF9F" w14:textId="77777777">
        <w:trPr>
          <w:jc w:val="center"/>
          <w:hidden/>
        </w:trPr>
        <w:tc>
          <w:tcPr>
            <w:tcW w:w="0" w:type="auto"/>
            <w:gridSpan w:val="3"/>
            <w:shd w:val="clear" w:color="auto" w:fill="auto"/>
            <w:vAlign w:val="bottom"/>
          </w:tcPr>
          <w:p w14:paraId="22CFAF9B" w14:textId="77777777" w:rsidR="002661BA" w:rsidRDefault="002661BA">
            <w:pPr>
              <w:rPr>
                <w:rFonts w:ascii="宋体"/>
                <w:vanish/>
              </w:rPr>
            </w:pPr>
          </w:p>
        </w:tc>
        <w:tc>
          <w:tcPr>
            <w:tcW w:w="0" w:type="auto"/>
            <w:gridSpan w:val="3"/>
            <w:shd w:val="clear" w:color="auto" w:fill="auto"/>
            <w:vAlign w:val="bottom"/>
          </w:tcPr>
          <w:p w14:paraId="22CFAF9C" w14:textId="77777777" w:rsidR="002661BA" w:rsidRDefault="002661BA">
            <w:pPr>
              <w:rPr>
                <w:rFonts w:ascii="宋体"/>
                <w:vanish/>
              </w:rPr>
            </w:pPr>
          </w:p>
        </w:tc>
        <w:tc>
          <w:tcPr>
            <w:tcW w:w="0" w:type="auto"/>
            <w:gridSpan w:val="3"/>
            <w:shd w:val="clear" w:color="auto" w:fill="auto"/>
            <w:vAlign w:val="bottom"/>
          </w:tcPr>
          <w:p w14:paraId="22CFAF9D" w14:textId="77777777" w:rsidR="002661BA" w:rsidRDefault="002661BA">
            <w:pPr>
              <w:rPr>
                <w:rFonts w:ascii="宋体"/>
                <w:vanish/>
              </w:rPr>
            </w:pPr>
          </w:p>
        </w:tc>
        <w:tc>
          <w:tcPr>
            <w:tcW w:w="0" w:type="auto"/>
            <w:gridSpan w:val="3"/>
            <w:shd w:val="clear" w:color="auto" w:fill="auto"/>
            <w:vAlign w:val="bottom"/>
          </w:tcPr>
          <w:p w14:paraId="22CFAF9E" w14:textId="77777777" w:rsidR="002661BA" w:rsidRDefault="002661BA">
            <w:pPr>
              <w:rPr>
                <w:rFonts w:ascii="宋体"/>
                <w:vanish/>
              </w:rPr>
            </w:pPr>
          </w:p>
        </w:tc>
      </w:tr>
      <w:tr w:rsidR="002661BA" w14:paraId="22CFAFA6" w14:textId="77777777">
        <w:trPr>
          <w:jc w:val="center"/>
        </w:trPr>
        <w:tc>
          <w:tcPr>
            <w:tcW w:w="0" w:type="auto"/>
            <w:gridSpan w:val="3"/>
            <w:shd w:val="clear" w:color="auto" w:fill="E2E2E2"/>
            <w:tcMar>
              <w:top w:w="40" w:type="dxa"/>
              <w:left w:w="515" w:type="dxa"/>
              <w:bottom w:w="40" w:type="dxa"/>
              <w:right w:w="20" w:type="dxa"/>
            </w:tcMar>
            <w:vAlign w:val="bottom"/>
          </w:tcPr>
          <w:p w14:paraId="22CFAFA0" w14:textId="77777777" w:rsidR="002661BA" w:rsidRDefault="00D972BC">
            <w:pPr>
              <w:textAlignment w:val="bottom"/>
            </w:pPr>
            <w:r>
              <w:rPr>
                <w:rFonts w:ascii="Arial" w:eastAsia="宋体" w:hAnsi="Arial" w:cs="Arial"/>
                <w:color w:val="000000"/>
                <w:sz w:val="18"/>
                <w:szCs w:val="18"/>
              </w:rPr>
              <w:t>Current assets of discontinued operations</w:t>
            </w:r>
          </w:p>
        </w:tc>
        <w:tc>
          <w:tcPr>
            <w:tcW w:w="0" w:type="auto"/>
            <w:gridSpan w:val="2"/>
            <w:shd w:val="clear" w:color="auto" w:fill="E2E2E2"/>
            <w:tcMar>
              <w:top w:w="40" w:type="dxa"/>
              <w:left w:w="20" w:type="dxa"/>
              <w:bottom w:w="40" w:type="dxa"/>
              <w:right w:w="0" w:type="dxa"/>
            </w:tcMar>
            <w:vAlign w:val="bottom"/>
          </w:tcPr>
          <w:p w14:paraId="22CFAFA1"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AFA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FA3"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FA4" w14:textId="77777777" w:rsidR="002661BA" w:rsidRDefault="00D972BC">
            <w:pPr>
              <w:jc w:val="right"/>
              <w:textAlignment w:val="bottom"/>
            </w:pPr>
            <w:r>
              <w:rPr>
                <w:rFonts w:ascii="Arial" w:eastAsia="宋体" w:hAnsi="Arial" w:cs="Arial"/>
                <w:color w:val="000000"/>
                <w:sz w:val="18"/>
                <w:szCs w:val="18"/>
              </w:rPr>
              <w:t>2,265 </w:t>
            </w:r>
          </w:p>
        </w:tc>
        <w:tc>
          <w:tcPr>
            <w:tcW w:w="0" w:type="auto"/>
            <w:shd w:val="clear" w:color="auto" w:fill="E2E2E2"/>
            <w:tcMar>
              <w:top w:w="40" w:type="dxa"/>
              <w:left w:w="0" w:type="dxa"/>
              <w:bottom w:w="40" w:type="dxa"/>
              <w:right w:w="20" w:type="dxa"/>
            </w:tcMar>
            <w:vAlign w:val="bottom"/>
          </w:tcPr>
          <w:p w14:paraId="22CFAFA5" w14:textId="77777777" w:rsidR="002661BA" w:rsidRDefault="002661BA">
            <w:pPr>
              <w:jc w:val="right"/>
              <w:rPr>
                <w:rFonts w:ascii="宋体"/>
              </w:rPr>
            </w:pPr>
          </w:p>
        </w:tc>
      </w:tr>
      <w:tr w:rsidR="002661BA" w14:paraId="22CFAFAD" w14:textId="77777777">
        <w:trPr>
          <w:jc w:val="center"/>
        </w:trPr>
        <w:tc>
          <w:tcPr>
            <w:tcW w:w="0" w:type="auto"/>
            <w:gridSpan w:val="3"/>
            <w:shd w:val="clear" w:color="auto" w:fill="FFFFFF"/>
            <w:tcMar>
              <w:top w:w="40" w:type="dxa"/>
              <w:left w:w="965" w:type="dxa"/>
              <w:bottom w:w="40" w:type="dxa"/>
              <w:right w:w="20" w:type="dxa"/>
            </w:tcMar>
            <w:vAlign w:val="bottom"/>
          </w:tcPr>
          <w:p w14:paraId="22CFAFA7" w14:textId="77777777" w:rsidR="002661BA" w:rsidRDefault="00D972BC">
            <w:pPr>
              <w:textAlignment w:val="bottom"/>
            </w:pPr>
            <w:r>
              <w:rPr>
                <w:rFonts w:ascii="Arial" w:eastAsia="宋体" w:hAnsi="Arial" w:cs="Arial"/>
                <w:color w:val="000000"/>
                <w:sz w:val="18"/>
                <w:szCs w:val="18"/>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AFA8" w14:textId="77777777" w:rsidR="002661BA" w:rsidRDefault="00D972BC">
            <w:pPr>
              <w:jc w:val="right"/>
              <w:textAlignment w:val="bottom"/>
            </w:pPr>
            <w:r>
              <w:rPr>
                <w:rFonts w:ascii="Arial" w:eastAsia="宋体" w:hAnsi="Arial" w:cs="Arial"/>
                <w:color w:val="000000"/>
                <w:sz w:val="18"/>
                <w:szCs w:val="18"/>
              </w:rPr>
              <w:t>9,111 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AFA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FAA"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AFAB" w14:textId="77777777" w:rsidR="002661BA" w:rsidRDefault="00D972BC">
            <w:pPr>
              <w:jc w:val="right"/>
              <w:textAlignment w:val="bottom"/>
            </w:pPr>
            <w:r>
              <w:rPr>
                <w:rFonts w:ascii="Arial" w:eastAsia="宋体" w:hAnsi="Arial" w:cs="Arial"/>
                <w:color w:val="000000"/>
                <w:sz w:val="18"/>
                <w:szCs w:val="18"/>
              </w:rPr>
              <w:t>7,190 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AFAC" w14:textId="77777777" w:rsidR="002661BA" w:rsidRDefault="002661BA">
            <w:pPr>
              <w:jc w:val="right"/>
              <w:rPr>
                <w:rFonts w:ascii="宋体"/>
              </w:rPr>
            </w:pPr>
          </w:p>
        </w:tc>
      </w:tr>
      <w:tr w:rsidR="002661BA" w14:paraId="22CFAFB4" w14:textId="77777777">
        <w:trPr>
          <w:jc w:val="center"/>
        </w:trPr>
        <w:tc>
          <w:tcPr>
            <w:tcW w:w="0" w:type="auto"/>
            <w:gridSpan w:val="3"/>
            <w:shd w:val="clear" w:color="auto" w:fill="E2E2E2"/>
            <w:tcMar>
              <w:top w:w="40" w:type="dxa"/>
              <w:left w:w="20" w:type="dxa"/>
              <w:bottom w:w="40" w:type="dxa"/>
              <w:right w:w="20" w:type="dxa"/>
            </w:tcMar>
            <w:vAlign w:val="bottom"/>
          </w:tcPr>
          <w:p w14:paraId="22CFAFAE" w14:textId="77777777" w:rsidR="002661BA" w:rsidRDefault="00D972BC">
            <w:pPr>
              <w:textAlignment w:val="bottom"/>
            </w:pPr>
            <w:r>
              <w:rPr>
                <w:rFonts w:ascii="Arial" w:eastAsia="宋体" w:hAnsi="Arial" w:cs="Arial"/>
                <w:color w:val="000000"/>
                <w:sz w:val="18"/>
                <w:szCs w:val="18"/>
              </w:rPr>
              <w:t>Long-term investments</w:t>
            </w:r>
          </w:p>
        </w:tc>
        <w:tc>
          <w:tcPr>
            <w:tcW w:w="0" w:type="auto"/>
            <w:gridSpan w:val="2"/>
            <w:shd w:val="clear" w:color="auto" w:fill="E2E2E2"/>
            <w:tcMar>
              <w:top w:w="40" w:type="dxa"/>
              <w:left w:w="20" w:type="dxa"/>
              <w:bottom w:w="40" w:type="dxa"/>
              <w:right w:w="0" w:type="dxa"/>
            </w:tcMar>
            <w:vAlign w:val="bottom"/>
          </w:tcPr>
          <w:p w14:paraId="22CFAFAF" w14:textId="77777777" w:rsidR="002661BA" w:rsidRDefault="00D972BC">
            <w:pPr>
              <w:jc w:val="right"/>
              <w:textAlignment w:val="bottom"/>
            </w:pPr>
            <w:r>
              <w:rPr>
                <w:rFonts w:ascii="Arial" w:eastAsia="宋体" w:hAnsi="Arial" w:cs="Arial"/>
                <w:color w:val="000000"/>
                <w:sz w:val="18"/>
                <w:szCs w:val="18"/>
              </w:rPr>
              <w:t>2,575 </w:t>
            </w:r>
          </w:p>
        </w:tc>
        <w:tc>
          <w:tcPr>
            <w:tcW w:w="0" w:type="auto"/>
            <w:shd w:val="clear" w:color="auto" w:fill="E2E2E2"/>
            <w:tcMar>
              <w:top w:w="40" w:type="dxa"/>
              <w:left w:w="0" w:type="dxa"/>
              <w:bottom w:w="40" w:type="dxa"/>
              <w:right w:w="20" w:type="dxa"/>
            </w:tcMar>
            <w:vAlign w:val="bottom"/>
          </w:tcPr>
          <w:p w14:paraId="22CFAFB0"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FB1"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FB2" w14:textId="77777777" w:rsidR="002661BA" w:rsidRDefault="00D972BC">
            <w:pPr>
              <w:jc w:val="right"/>
              <w:textAlignment w:val="bottom"/>
            </w:pPr>
            <w:r>
              <w:rPr>
                <w:rFonts w:ascii="Arial" w:eastAsia="宋体" w:hAnsi="Arial" w:cs="Arial"/>
                <w:color w:val="000000"/>
                <w:sz w:val="18"/>
                <w:szCs w:val="18"/>
              </w:rPr>
              <w:t>833 </w:t>
            </w:r>
          </w:p>
        </w:tc>
        <w:tc>
          <w:tcPr>
            <w:tcW w:w="0" w:type="auto"/>
            <w:shd w:val="clear" w:color="auto" w:fill="E2E2E2"/>
            <w:tcMar>
              <w:top w:w="40" w:type="dxa"/>
              <w:left w:w="0" w:type="dxa"/>
              <w:bottom w:w="40" w:type="dxa"/>
              <w:right w:w="20" w:type="dxa"/>
            </w:tcMar>
            <w:vAlign w:val="bottom"/>
          </w:tcPr>
          <w:p w14:paraId="22CFAFB3" w14:textId="77777777" w:rsidR="002661BA" w:rsidRDefault="002661BA">
            <w:pPr>
              <w:jc w:val="right"/>
              <w:rPr>
                <w:rFonts w:ascii="宋体"/>
              </w:rPr>
            </w:pPr>
          </w:p>
        </w:tc>
      </w:tr>
      <w:tr w:rsidR="002661BA" w14:paraId="22CFAFBB" w14:textId="77777777">
        <w:trPr>
          <w:jc w:val="center"/>
        </w:trPr>
        <w:tc>
          <w:tcPr>
            <w:tcW w:w="0" w:type="auto"/>
            <w:gridSpan w:val="3"/>
            <w:shd w:val="clear" w:color="auto" w:fill="FFFFFF"/>
            <w:tcMar>
              <w:top w:w="40" w:type="dxa"/>
              <w:left w:w="20" w:type="dxa"/>
              <w:bottom w:w="40" w:type="dxa"/>
              <w:right w:w="20" w:type="dxa"/>
            </w:tcMar>
            <w:vAlign w:val="bottom"/>
          </w:tcPr>
          <w:p w14:paraId="22CFAFB5" w14:textId="77777777" w:rsidR="002661BA" w:rsidRDefault="00D972BC">
            <w:pPr>
              <w:textAlignment w:val="bottom"/>
            </w:pPr>
            <w:r>
              <w:rPr>
                <w:rFonts w:ascii="Arial" w:eastAsia="宋体" w:hAnsi="Arial" w:cs="Arial"/>
                <w:color w:val="000000"/>
                <w:sz w:val="18"/>
                <w:szCs w:val="18"/>
              </w:rPr>
              <w:t>Property and equipment, net</w:t>
            </w:r>
          </w:p>
        </w:tc>
        <w:tc>
          <w:tcPr>
            <w:tcW w:w="0" w:type="auto"/>
            <w:gridSpan w:val="2"/>
            <w:shd w:val="clear" w:color="auto" w:fill="FFFFFF"/>
            <w:tcMar>
              <w:top w:w="40" w:type="dxa"/>
              <w:left w:w="20" w:type="dxa"/>
              <w:bottom w:w="40" w:type="dxa"/>
              <w:right w:w="0" w:type="dxa"/>
            </w:tcMar>
            <w:vAlign w:val="bottom"/>
          </w:tcPr>
          <w:p w14:paraId="22CFAFB6" w14:textId="77777777" w:rsidR="002661BA" w:rsidRDefault="00D972BC">
            <w:pPr>
              <w:jc w:val="right"/>
              <w:textAlignment w:val="bottom"/>
            </w:pPr>
            <w:r>
              <w:rPr>
                <w:rFonts w:ascii="Arial" w:eastAsia="宋体" w:hAnsi="Arial" w:cs="Arial"/>
                <w:color w:val="000000"/>
                <w:sz w:val="18"/>
                <w:szCs w:val="18"/>
              </w:rPr>
              <w:t>1,236 </w:t>
            </w:r>
          </w:p>
        </w:tc>
        <w:tc>
          <w:tcPr>
            <w:tcW w:w="0" w:type="auto"/>
            <w:shd w:val="clear" w:color="auto" w:fill="FFFFFF"/>
            <w:tcMar>
              <w:top w:w="40" w:type="dxa"/>
              <w:left w:w="0" w:type="dxa"/>
              <w:bottom w:w="40" w:type="dxa"/>
              <w:right w:w="20" w:type="dxa"/>
            </w:tcMar>
            <w:vAlign w:val="bottom"/>
          </w:tcPr>
          <w:p w14:paraId="22CFAFB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FB8"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FB9" w14:textId="77777777" w:rsidR="002661BA" w:rsidRDefault="00D972BC">
            <w:pPr>
              <w:jc w:val="right"/>
              <w:textAlignment w:val="bottom"/>
            </w:pPr>
            <w:r>
              <w:rPr>
                <w:rFonts w:ascii="Arial" w:eastAsia="宋体" w:hAnsi="Arial" w:cs="Arial"/>
                <w:color w:val="000000"/>
                <w:sz w:val="18"/>
                <w:szCs w:val="18"/>
              </w:rPr>
              <w:t>1,292 </w:t>
            </w:r>
          </w:p>
        </w:tc>
        <w:tc>
          <w:tcPr>
            <w:tcW w:w="0" w:type="auto"/>
            <w:shd w:val="clear" w:color="auto" w:fill="FFFFFF"/>
            <w:tcMar>
              <w:top w:w="40" w:type="dxa"/>
              <w:left w:w="0" w:type="dxa"/>
              <w:bottom w:w="40" w:type="dxa"/>
              <w:right w:w="20" w:type="dxa"/>
            </w:tcMar>
            <w:vAlign w:val="bottom"/>
          </w:tcPr>
          <w:p w14:paraId="22CFAFBA" w14:textId="77777777" w:rsidR="002661BA" w:rsidRDefault="002661BA">
            <w:pPr>
              <w:jc w:val="right"/>
              <w:rPr>
                <w:rFonts w:ascii="宋体"/>
              </w:rPr>
            </w:pPr>
          </w:p>
        </w:tc>
      </w:tr>
      <w:tr w:rsidR="002661BA" w14:paraId="22CFAFC2" w14:textId="77777777">
        <w:trPr>
          <w:jc w:val="center"/>
        </w:trPr>
        <w:tc>
          <w:tcPr>
            <w:tcW w:w="0" w:type="auto"/>
            <w:gridSpan w:val="3"/>
            <w:shd w:val="clear" w:color="auto" w:fill="E2E2E2"/>
            <w:tcMar>
              <w:top w:w="40" w:type="dxa"/>
              <w:left w:w="20" w:type="dxa"/>
              <w:bottom w:w="40" w:type="dxa"/>
              <w:right w:w="20" w:type="dxa"/>
            </w:tcMar>
            <w:vAlign w:val="bottom"/>
          </w:tcPr>
          <w:p w14:paraId="22CFAFBC" w14:textId="77777777" w:rsidR="002661BA" w:rsidRDefault="00D972BC">
            <w:pPr>
              <w:textAlignment w:val="bottom"/>
            </w:pPr>
            <w:r>
              <w:rPr>
                <w:rFonts w:ascii="Arial" w:eastAsia="宋体" w:hAnsi="Arial" w:cs="Arial"/>
                <w:color w:val="000000"/>
                <w:sz w:val="18"/>
                <w:szCs w:val="18"/>
              </w:rPr>
              <w:t>Goodwill</w:t>
            </w:r>
          </w:p>
        </w:tc>
        <w:tc>
          <w:tcPr>
            <w:tcW w:w="0" w:type="auto"/>
            <w:gridSpan w:val="2"/>
            <w:shd w:val="clear" w:color="auto" w:fill="E2E2E2"/>
            <w:tcMar>
              <w:top w:w="40" w:type="dxa"/>
              <w:left w:w="20" w:type="dxa"/>
              <w:bottom w:w="40" w:type="dxa"/>
              <w:right w:w="0" w:type="dxa"/>
            </w:tcMar>
            <w:vAlign w:val="bottom"/>
          </w:tcPr>
          <w:p w14:paraId="22CFAFBD" w14:textId="77777777" w:rsidR="002661BA" w:rsidRDefault="00D972BC">
            <w:pPr>
              <w:jc w:val="right"/>
              <w:textAlignment w:val="bottom"/>
            </w:pPr>
            <w:r>
              <w:rPr>
                <w:rFonts w:ascii="Arial" w:eastAsia="宋体" w:hAnsi="Arial" w:cs="Arial"/>
                <w:color w:val="000000"/>
                <w:sz w:val="18"/>
                <w:szCs w:val="18"/>
              </w:rPr>
              <w:t>4,178 </w:t>
            </w:r>
          </w:p>
        </w:tc>
        <w:tc>
          <w:tcPr>
            <w:tcW w:w="0" w:type="auto"/>
            <w:shd w:val="clear" w:color="auto" w:fill="E2E2E2"/>
            <w:tcMar>
              <w:top w:w="40" w:type="dxa"/>
              <w:left w:w="0" w:type="dxa"/>
              <w:bottom w:w="40" w:type="dxa"/>
              <w:right w:w="20" w:type="dxa"/>
            </w:tcMar>
            <w:vAlign w:val="bottom"/>
          </w:tcPr>
          <w:p w14:paraId="22CFAFB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FBF"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FC0" w14:textId="77777777" w:rsidR="002661BA" w:rsidRDefault="00D972BC">
            <w:pPr>
              <w:jc w:val="right"/>
              <w:textAlignment w:val="bottom"/>
            </w:pPr>
            <w:r>
              <w:rPr>
                <w:rFonts w:ascii="Arial" w:eastAsia="宋体" w:hAnsi="Arial" w:cs="Arial"/>
                <w:color w:val="000000"/>
                <w:sz w:val="18"/>
                <w:szCs w:val="18"/>
              </w:rPr>
              <w:t>4,285 </w:t>
            </w:r>
          </w:p>
        </w:tc>
        <w:tc>
          <w:tcPr>
            <w:tcW w:w="0" w:type="auto"/>
            <w:shd w:val="clear" w:color="auto" w:fill="E2E2E2"/>
            <w:tcMar>
              <w:top w:w="40" w:type="dxa"/>
              <w:left w:w="0" w:type="dxa"/>
              <w:bottom w:w="40" w:type="dxa"/>
              <w:right w:w="20" w:type="dxa"/>
            </w:tcMar>
            <w:vAlign w:val="bottom"/>
          </w:tcPr>
          <w:p w14:paraId="22CFAFC1" w14:textId="77777777" w:rsidR="002661BA" w:rsidRDefault="002661BA">
            <w:pPr>
              <w:jc w:val="right"/>
              <w:rPr>
                <w:rFonts w:ascii="宋体"/>
              </w:rPr>
            </w:pPr>
          </w:p>
        </w:tc>
      </w:tr>
      <w:tr w:rsidR="002661BA" w14:paraId="22CFAFC9" w14:textId="77777777">
        <w:trPr>
          <w:jc w:val="center"/>
        </w:trPr>
        <w:tc>
          <w:tcPr>
            <w:tcW w:w="0" w:type="auto"/>
            <w:gridSpan w:val="3"/>
            <w:shd w:val="clear" w:color="auto" w:fill="FFFFFF"/>
            <w:tcMar>
              <w:top w:w="40" w:type="dxa"/>
              <w:left w:w="20" w:type="dxa"/>
              <w:bottom w:w="40" w:type="dxa"/>
              <w:right w:w="20" w:type="dxa"/>
            </w:tcMar>
            <w:vAlign w:val="bottom"/>
          </w:tcPr>
          <w:p w14:paraId="22CFAFC3" w14:textId="77777777" w:rsidR="002661BA" w:rsidRDefault="00D972BC">
            <w:pPr>
              <w:textAlignment w:val="bottom"/>
            </w:pPr>
            <w:r>
              <w:rPr>
                <w:rFonts w:ascii="Arial" w:eastAsia="宋体" w:hAnsi="Arial" w:cs="Arial"/>
                <w:color w:val="000000"/>
                <w:sz w:val="18"/>
                <w:szCs w:val="18"/>
              </w:rPr>
              <w:t>Intangible assets, net</w:t>
            </w:r>
          </w:p>
        </w:tc>
        <w:tc>
          <w:tcPr>
            <w:tcW w:w="0" w:type="auto"/>
            <w:gridSpan w:val="2"/>
            <w:shd w:val="clear" w:color="auto" w:fill="FFFFFF"/>
            <w:tcMar>
              <w:top w:w="40" w:type="dxa"/>
              <w:left w:w="20" w:type="dxa"/>
              <w:bottom w:w="40" w:type="dxa"/>
              <w:right w:w="0" w:type="dxa"/>
            </w:tcMar>
            <w:vAlign w:val="bottom"/>
          </w:tcPr>
          <w:p w14:paraId="22CFAFC4" w14:textId="77777777" w:rsidR="002661BA" w:rsidRDefault="00D972BC">
            <w:pPr>
              <w:jc w:val="right"/>
              <w:textAlignment w:val="bottom"/>
            </w:pPr>
            <w:r>
              <w:rPr>
                <w:rFonts w:ascii="Arial" w:eastAsia="宋体" w:hAnsi="Arial" w:cs="Arial"/>
                <w:color w:val="000000"/>
                <w:sz w:val="18"/>
                <w:szCs w:val="18"/>
              </w:rPr>
              <w:t>8 </w:t>
            </w:r>
          </w:p>
        </w:tc>
        <w:tc>
          <w:tcPr>
            <w:tcW w:w="0" w:type="auto"/>
            <w:shd w:val="clear" w:color="auto" w:fill="FFFFFF"/>
            <w:tcMar>
              <w:top w:w="40" w:type="dxa"/>
              <w:left w:w="0" w:type="dxa"/>
              <w:bottom w:w="40" w:type="dxa"/>
              <w:right w:w="20" w:type="dxa"/>
            </w:tcMar>
            <w:vAlign w:val="bottom"/>
          </w:tcPr>
          <w:p w14:paraId="22CFAFC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FC6"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FC7" w14:textId="77777777" w:rsidR="002661BA" w:rsidRDefault="00D972BC">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22CFAFC8" w14:textId="77777777" w:rsidR="002661BA" w:rsidRDefault="002661BA">
            <w:pPr>
              <w:jc w:val="right"/>
              <w:rPr>
                <w:rFonts w:ascii="宋体"/>
              </w:rPr>
            </w:pPr>
          </w:p>
        </w:tc>
      </w:tr>
      <w:tr w:rsidR="002661BA" w14:paraId="22CFAFD0" w14:textId="77777777">
        <w:trPr>
          <w:jc w:val="center"/>
        </w:trPr>
        <w:tc>
          <w:tcPr>
            <w:tcW w:w="0" w:type="auto"/>
            <w:gridSpan w:val="3"/>
            <w:shd w:val="clear" w:color="auto" w:fill="E2E2E2"/>
            <w:tcMar>
              <w:top w:w="40" w:type="dxa"/>
              <w:left w:w="20" w:type="dxa"/>
              <w:bottom w:w="40" w:type="dxa"/>
              <w:right w:w="20" w:type="dxa"/>
            </w:tcMar>
            <w:vAlign w:val="bottom"/>
          </w:tcPr>
          <w:p w14:paraId="22CFAFCA" w14:textId="77777777" w:rsidR="002661BA" w:rsidRDefault="00D972BC">
            <w:pPr>
              <w:textAlignment w:val="bottom"/>
            </w:pPr>
            <w:r>
              <w:rPr>
                <w:rFonts w:ascii="Arial" w:eastAsia="宋体" w:hAnsi="Arial" w:cs="Arial"/>
                <w:color w:val="000000"/>
                <w:sz w:val="18"/>
                <w:szCs w:val="18"/>
              </w:rPr>
              <w:t>Operating lease right-of-use assets</w:t>
            </w:r>
          </w:p>
        </w:tc>
        <w:tc>
          <w:tcPr>
            <w:tcW w:w="0" w:type="auto"/>
            <w:gridSpan w:val="2"/>
            <w:shd w:val="clear" w:color="auto" w:fill="E2E2E2"/>
            <w:tcMar>
              <w:top w:w="40" w:type="dxa"/>
              <w:left w:w="20" w:type="dxa"/>
              <w:bottom w:w="40" w:type="dxa"/>
              <w:right w:w="0" w:type="dxa"/>
            </w:tcMar>
            <w:vAlign w:val="bottom"/>
          </w:tcPr>
          <w:p w14:paraId="22CFAFCB" w14:textId="77777777" w:rsidR="002661BA" w:rsidRDefault="00D972BC">
            <w:pPr>
              <w:jc w:val="right"/>
              <w:textAlignment w:val="bottom"/>
            </w:pPr>
            <w:r>
              <w:rPr>
                <w:rFonts w:ascii="Arial" w:eastAsia="宋体" w:hAnsi="Arial" w:cs="Arial"/>
                <w:color w:val="000000"/>
                <w:sz w:val="18"/>
                <w:szCs w:val="18"/>
              </w:rPr>
              <w:t>289 </w:t>
            </w:r>
          </w:p>
        </w:tc>
        <w:tc>
          <w:tcPr>
            <w:tcW w:w="0" w:type="auto"/>
            <w:shd w:val="clear" w:color="auto" w:fill="E2E2E2"/>
            <w:tcMar>
              <w:top w:w="40" w:type="dxa"/>
              <w:left w:w="0" w:type="dxa"/>
              <w:bottom w:w="40" w:type="dxa"/>
              <w:right w:w="20" w:type="dxa"/>
            </w:tcMar>
            <w:vAlign w:val="bottom"/>
          </w:tcPr>
          <w:p w14:paraId="22CFAFCC"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FCD"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FCE" w14:textId="77777777" w:rsidR="002661BA" w:rsidRDefault="00D972BC">
            <w:pPr>
              <w:jc w:val="right"/>
              <w:textAlignment w:val="bottom"/>
            </w:pPr>
            <w:r>
              <w:rPr>
                <w:rFonts w:ascii="Arial" w:eastAsia="宋体" w:hAnsi="Arial" w:cs="Arial"/>
                <w:color w:val="000000"/>
                <w:sz w:val="18"/>
                <w:szCs w:val="18"/>
              </w:rPr>
              <w:t>430 </w:t>
            </w:r>
          </w:p>
        </w:tc>
        <w:tc>
          <w:tcPr>
            <w:tcW w:w="0" w:type="auto"/>
            <w:shd w:val="clear" w:color="auto" w:fill="E2E2E2"/>
            <w:tcMar>
              <w:top w:w="40" w:type="dxa"/>
              <w:left w:w="0" w:type="dxa"/>
              <w:bottom w:w="40" w:type="dxa"/>
              <w:right w:w="20" w:type="dxa"/>
            </w:tcMar>
            <w:vAlign w:val="bottom"/>
          </w:tcPr>
          <w:p w14:paraId="22CFAFCF" w14:textId="77777777" w:rsidR="002661BA" w:rsidRDefault="002661BA">
            <w:pPr>
              <w:jc w:val="right"/>
              <w:rPr>
                <w:rFonts w:ascii="宋体"/>
              </w:rPr>
            </w:pPr>
          </w:p>
        </w:tc>
      </w:tr>
      <w:tr w:rsidR="002661BA" w14:paraId="22CFAFD7" w14:textId="77777777">
        <w:trPr>
          <w:jc w:val="center"/>
        </w:trPr>
        <w:tc>
          <w:tcPr>
            <w:tcW w:w="0" w:type="auto"/>
            <w:gridSpan w:val="3"/>
            <w:shd w:val="clear" w:color="auto" w:fill="FFFFFF"/>
            <w:tcMar>
              <w:top w:w="40" w:type="dxa"/>
              <w:left w:w="20" w:type="dxa"/>
              <w:bottom w:w="40" w:type="dxa"/>
              <w:right w:w="20" w:type="dxa"/>
            </w:tcMar>
            <w:vAlign w:val="bottom"/>
          </w:tcPr>
          <w:p w14:paraId="22CFAFD1" w14:textId="77777777" w:rsidR="002661BA" w:rsidRDefault="00D972BC">
            <w:pPr>
              <w:textAlignment w:val="bottom"/>
            </w:pPr>
            <w:r>
              <w:rPr>
                <w:rFonts w:ascii="Arial" w:eastAsia="宋体" w:hAnsi="Arial" w:cs="Arial"/>
                <w:color w:val="000000"/>
                <w:sz w:val="18"/>
                <w:szCs w:val="18"/>
              </w:rPr>
              <w:t>Deferred tax assets</w:t>
            </w:r>
          </w:p>
        </w:tc>
        <w:tc>
          <w:tcPr>
            <w:tcW w:w="0" w:type="auto"/>
            <w:gridSpan w:val="2"/>
            <w:shd w:val="clear" w:color="auto" w:fill="FFFFFF"/>
            <w:tcMar>
              <w:top w:w="40" w:type="dxa"/>
              <w:left w:w="20" w:type="dxa"/>
              <w:bottom w:w="40" w:type="dxa"/>
              <w:right w:w="0" w:type="dxa"/>
            </w:tcMar>
            <w:vAlign w:val="bottom"/>
          </w:tcPr>
          <w:p w14:paraId="22CFAFD2" w14:textId="77777777" w:rsidR="002661BA" w:rsidRDefault="00D972BC">
            <w:pPr>
              <w:jc w:val="right"/>
              <w:textAlignment w:val="bottom"/>
            </w:pPr>
            <w:r>
              <w:rPr>
                <w:rFonts w:ascii="Arial" w:eastAsia="宋体" w:hAnsi="Arial" w:cs="Arial"/>
                <w:color w:val="000000"/>
                <w:sz w:val="18"/>
                <w:szCs w:val="18"/>
              </w:rPr>
              <w:t>3,255 </w:t>
            </w:r>
          </w:p>
        </w:tc>
        <w:tc>
          <w:tcPr>
            <w:tcW w:w="0" w:type="auto"/>
            <w:shd w:val="clear" w:color="auto" w:fill="FFFFFF"/>
            <w:tcMar>
              <w:top w:w="40" w:type="dxa"/>
              <w:left w:w="0" w:type="dxa"/>
              <w:bottom w:w="40" w:type="dxa"/>
              <w:right w:w="20" w:type="dxa"/>
            </w:tcMar>
            <w:vAlign w:val="bottom"/>
          </w:tcPr>
          <w:p w14:paraId="22CFAFD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FD4"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FD5" w14:textId="77777777" w:rsidR="002661BA" w:rsidRDefault="00D972BC">
            <w:pPr>
              <w:jc w:val="right"/>
              <w:textAlignment w:val="bottom"/>
            </w:pPr>
            <w:r>
              <w:rPr>
                <w:rFonts w:ascii="Arial" w:eastAsia="宋体" w:hAnsi="Arial" w:cs="Arial"/>
                <w:color w:val="000000"/>
                <w:sz w:val="18"/>
                <w:szCs w:val="18"/>
              </w:rPr>
              <w:t>3,537 </w:t>
            </w:r>
          </w:p>
        </w:tc>
        <w:tc>
          <w:tcPr>
            <w:tcW w:w="0" w:type="auto"/>
            <w:shd w:val="clear" w:color="auto" w:fill="FFFFFF"/>
            <w:tcMar>
              <w:top w:w="40" w:type="dxa"/>
              <w:left w:w="0" w:type="dxa"/>
              <w:bottom w:w="40" w:type="dxa"/>
              <w:right w:w="20" w:type="dxa"/>
            </w:tcMar>
            <w:vAlign w:val="bottom"/>
          </w:tcPr>
          <w:p w14:paraId="22CFAFD6" w14:textId="77777777" w:rsidR="002661BA" w:rsidRDefault="002661BA">
            <w:pPr>
              <w:jc w:val="right"/>
              <w:rPr>
                <w:rFonts w:ascii="宋体"/>
              </w:rPr>
            </w:pPr>
          </w:p>
        </w:tc>
      </w:tr>
      <w:tr w:rsidR="002661BA" w14:paraId="22CFAFDE" w14:textId="77777777">
        <w:trPr>
          <w:jc w:val="center"/>
        </w:trPr>
        <w:tc>
          <w:tcPr>
            <w:tcW w:w="0" w:type="auto"/>
            <w:gridSpan w:val="3"/>
            <w:shd w:val="clear" w:color="auto" w:fill="E2E2E2"/>
            <w:tcMar>
              <w:top w:w="40" w:type="dxa"/>
              <w:left w:w="35" w:type="dxa"/>
              <w:bottom w:w="40" w:type="dxa"/>
              <w:right w:w="20" w:type="dxa"/>
            </w:tcMar>
            <w:vAlign w:val="bottom"/>
          </w:tcPr>
          <w:p w14:paraId="22CFAFD8" w14:textId="77777777" w:rsidR="002661BA" w:rsidRDefault="00D972BC">
            <w:pPr>
              <w:textAlignment w:val="bottom"/>
            </w:pPr>
            <w:r>
              <w:rPr>
                <w:rFonts w:ascii="Arial" w:eastAsia="宋体" w:hAnsi="Arial" w:cs="Arial"/>
                <w:color w:val="000000"/>
                <w:sz w:val="18"/>
                <w:szCs w:val="18"/>
              </w:rPr>
              <w:t>Equity investment in Adevinta</w:t>
            </w:r>
          </w:p>
        </w:tc>
        <w:tc>
          <w:tcPr>
            <w:tcW w:w="0" w:type="auto"/>
            <w:gridSpan w:val="2"/>
            <w:shd w:val="clear" w:color="auto" w:fill="E2E2E2"/>
            <w:tcMar>
              <w:top w:w="40" w:type="dxa"/>
              <w:left w:w="20" w:type="dxa"/>
              <w:bottom w:w="40" w:type="dxa"/>
              <w:right w:w="0" w:type="dxa"/>
            </w:tcMar>
            <w:vAlign w:val="bottom"/>
          </w:tcPr>
          <w:p w14:paraId="22CFAFD9" w14:textId="77777777" w:rsidR="002661BA" w:rsidRDefault="00D972BC">
            <w:pPr>
              <w:jc w:val="right"/>
              <w:textAlignment w:val="bottom"/>
            </w:pPr>
            <w:r>
              <w:rPr>
                <w:rFonts w:ascii="Arial" w:eastAsia="宋体" w:hAnsi="Arial" w:cs="Arial"/>
                <w:color w:val="000000"/>
                <w:sz w:val="18"/>
                <w:szCs w:val="18"/>
              </w:rPr>
              <w:t>5,391 </w:t>
            </w:r>
          </w:p>
        </w:tc>
        <w:tc>
          <w:tcPr>
            <w:tcW w:w="0" w:type="auto"/>
            <w:shd w:val="clear" w:color="auto" w:fill="E2E2E2"/>
            <w:tcMar>
              <w:top w:w="40" w:type="dxa"/>
              <w:left w:w="0" w:type="dxa"/>
              <w:bottom w:w="40" w:type="dxa"/>
              <w:right w:w="20" w:type="dxa"/>
            </w:tcMar>
            <w:vAlign w:val="bottom"/>
          </w:tcPr>
          <w:p w14:paraId="22CFAFD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FDB"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FDC"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AFDD" w14:textId="77777777" w:rsidR="002661BA" w:rsidRDefault="002661BA">
            <w:pPr>
              <w:jc w:val="right"/>
              <w:rPr>
                <w:rFonts w:ascii="宋体"/>
              </w:rPr>
            </w:pPr>
          </w:p>
        </w:tc>
      </w:tr>
      <w:tr w:rsidR="002661BA" w14:paraId="22CFAFE5" w14:textId="77777777">
        <w:trPr>
          <w:jc w:val="center"/>
        </w:trPr>
        <w:tc>
          <w:tcPr>
            <w:tcW w:w="0" w:type="auto"/>
            <w:gridSpan w:val="3"/>
            <w:shd w:val="clear" w:color="auto" w:fill="FFFFFF"/>
            <w:tcMar>
              <w:top w:w="40" w:type="dxa"/>
              <w:left w:w="20" w:type="dxa"/>
              <w:bottom w:w="40" w:type="dxa"/>
              <w:right w:w="20" w:type="dxa"/>
            </w:tcMar>
            <w:vAlign w:val="bottom"/>
          </w:tcPr>
          <w:p w14:paraId="22CFAFDF" w14:textId="77777777" w:rsidR="002661BA" w:rsidRDefault="00D972BC">
            <w:pPr>
              <w:textAlignment w:val="bottom"/>
            </w:pPr>
            <w:r>
              <w:rPr>
                <w:rFonts w:ascii="Arial" w:eastAsia="宋体" w:hAnsi="Arial" w:cs="Arial"/>
                <w:color w:val="000000"/>
                <w:sz w:val="18"/>
                <w:szCs w:val="18"/>
              </w:rPr>
              <w:t>Warrant asset</w:t>
            </w:r>
          </w:p>
        </w:tc>
        <w:tc>
          <w:tcPr>
            <w:tcW w:w="0" w:type="auto"/>
            <w:gridSpan w:val="2"/>
            <w:shd w:val="clear" w:color="auto" w:fill="FFFFFF"/>
            <w:tcMar>
              <w:top w:w="40" w:type="dxa"/>
              <w:left w:w="20" w:type="dxa"/>
              <w:bottom w:w="40" w:type="dxa"/>
              <w:right w:w="0" w:type="dxa"/>
            </w:tcMar>
            <w:vAlign w:val="bottom"/>
          </w:tcPr>
          <w:p w14:paraId="22CFAFE0" w14:textId="77777777" w:rsidR="002661BA" w:rsidRDefault="00D972BC">
            <w:pPr>
              <w:jc w:val="right"/>
              <w:textAlignment w:val="bottom"/>
            </w:pPr>
            <w:r>
              <w:rPr>
                <w:rFonts w:ascii="Arial" w:eastAsia="宋体" w:hAnsi="Arial" w:cs="Arial"/>
                <w:color w:val="000000"/>
                <w:sz w:val="18"/>
                <w:szCs w:val="18"/>
              </w:rPr>
              <w:t>444 </w:t>
            </w:r>
          </w:p>
        </w:tc>
        <w:tc>
          <w:tcPr>
            <w:tcW w:w="0" w:type="auto"/>
            <w:shd w:val="clear" w:color="auto" w:fill="FFFFFF"/>
            <w:tcMar>
              <w:top w:w="40" w:type="dxa"/>
              <w:left w:w="0" w:type="dxa"/>
              <w:bottom w:w="40" w:type="dxa"/>
              <w:right w:w="20" w:type="dxa"/>
            </w:tcMar>
            <w:vAlign w:val="bottom"/>
          </w:tcPr>
          <w:p w14:paraId="22CFAFE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FE2"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FE3" w14:textId="77777777" w:rsidR="002661BA" w:rsidRDefault="00D972BC">
            <w:pPr>
              <w:jc w:val="right"/>
              <w:textAlignment w:val="bottom"/>
            </w:pPr>
            <w:r>
              <w:rPr>
                <w:rFonts w:ascii="Arial" w:eastAsia="宋体" w:hAnsi="Arial" w:cs="Arial"/>
                <w:color w:val="000000"/>
                <w:sz w:val="18"/>
                <w:szCs w:val="18"/>
              </w:rPr>
              <w:t>1,051 </w:t>
            </w:r>
          </w:p>
        </w:tc>
        <w:tc>
          <w:tcPr>
            <w:tcW w:w="0" w:type="auto"/>
            <w:shd w:val="clear" w:color="auto" w:fill="FFFFFF"/>
            <w:tcMar>
              <w:top w:w="40" w:type="dxa"/>
              <w:left w:w="0" w:type="dxa"/>
              <w:bottom w:w="40" w:type="dxa"/>
              <w:right w:w="20" w:type="dxa"/>
            </w:tcMar>
            <w:vAlign w:val="bottom"/>
          </w:tcPr>
          <w:p w14:paraId="22CFAFE4" w14:textId="77777777" w:rsidR="002661BA" w:rsidRDefault="002661BA">
            <w:pPr>
              <w:jc w:val="right"/>
              <w:rPr>
                <w:rFonts w:ascii="宋体"/>
              </w:rPr>
            </w:pPr>
          </w:p>
        </w:tc>
      </w:tr>
      <w:tr w:rsidR="002661BA" w14:paraId="22CFAFEC" w14:textId="77777777">
        <w:trPr>
          <w:jc w:val="center"/>
        </w:trPr>
        <w:tc>
          <w:tcPr>
            <w:tcW w:w="0" w:type="auto"/>
            <w:gridSpan w:val="3"/>
            <w:shd w:val="clear" w:color="auto" w:fill="E2E2E2"/>
            <w:tcMar>
              <w:top w:w="40" w:type="dxa"/>
              <w:left w:w="20" w:type="dxa"/>
              <w:bottom w:w="40" w:type="dxa"/>
              <w:right w:w="20" w:type="dxa"/>
            </w:tcMar>
            <w:vAlign w:val="bottom"/>
          </w:tcPr>
          <w:p w14:paraId="22CFAFE6" w14:textId="77777777" w:rsidR="002661BA" w:rsidRDefault="00D972BC">
            <w:pPr>
              <w:textAlignment w:val="bottom"/>
            </w:pPr>
            <w:r>
              <w:rPr>
                <w:rFonts w:ascii="Arial" w:eastAsia="宋体" w:hAnsi="Arial" w:cs="Arial"/>
                <w:color w:val="000000"/>
                <w:sz w:val="18"/>
                <w:szCs w:val="18"/>
              </w:rPr>
              <w:t>Other assets</w:t>
            </w:r>
          </w:p>
        </w:tc>
        <w:tc>
          <w:tcPr>
            <w:tcW w:w="0" w:type="auto"/>
            <w:gridSpan w:val="2"/>
            <w:shd w:val="clear" w:color="auto" w:fill="E2E2E2"/>
            <w:tcMar>
              <w:top w:w="40" w:type="dxa"/>
              <w:left w:w="20" w:type="dxa"/>
              <w:bottom w:w="40" w:type="dxa"/>
              <w:right w:w="0" w:type="dxa"/>
            </w:tcMar>
            <w:vAlign w:val="bottom"/>
          </w:tcPr>
          <w:p w14:paraId="22CFAFE7" w14:textId="77777777" w:rsidR="002661BA" w:rsidRDefault="00D972BC">
            <w:pPr>
              <w:jc w:val="right"/>
              <w:textAlignment w:val="bottom"/>
            </w:pPr>
            <w:r>
              <w:rPr>
                <w:rFonts w:ascii="Arial" w:eastAsia="宋体" w:hAnsi="Arial" w:cs="Arial"/>
                <w:color w:val="000000"/>
                <w:sz w:val="18"/>
                <w:szCs w:val="18"/>
              </w:rPr>
              <w:t>139 </w:t>
            </w:r>
          </w:p>
        </w:tc>
        <w:tc>
          <w:tcPr>
            <w:tcW w:w="0" w:type="auto"/>
            <w:shd w:val="clear" w:color="auto" w:fill="E2E2E2"/>
            <w:tcMar>
              <w:top w:w="40" w:type="dxa"/>
              <w:left w:w="0" w:type="dxa"/>
              <w:bottom w:w="40" w:type="dxa"/>
              <w:right w:w="20" w:type="dxa"/>
            </w:tcMar>
            <w:vAlign w:val="bottom"/>
          </w:tcPr>
          <w:p w14:paraId="22CFAFE8"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FE9"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AFEA" w14:textId="77777777" w:rsidR="002661BA" w:rsidRDefault="00D972BC">
            <w:pPr>
              <w:jc w:val="right"/>
              <w:textAlignment w:val="bottom"/>
            </w:pPr>
            <w:r>
              <w:rPr>
                <w:rFonts w:ascii="Arial" w:eastAsia="宋体" w:hAnsi="Arial" w:cs="Arial"/>
                <w:color w:val="000000"/>
                <w:sz w:val="18"/>
                <w:szCs w:val="18"/>
              </w:rPr>
              <w:t>131 </w:t>
            </w:r>
          </w:p>
        </w:tc>
        <w:tc>
          <w:tcPr>
            <w:tcW w:w="0" w:type="auto"/>
            <w:shd w:val="clear" w:color="auto" w:fill="E2E2E2"/>
            <w:tcMar>
              <w:top w:w="40" w:type="dxa"/>
              <w:left w:w="0" w:type="dxa"/>
              <w:bottom w:w="40" w:type="dxa"/>
              <w:right w:w="20" w:type="dxa"/>
            </w:tcMar>
            <w:vAlign w:val="bottom"/>
          </w:tcPr>
          <w:p w14:paraId="22CFAFEB" w14:textId="77777777" w:rsidR="002661BA" w:rsidRDefault="002661BA">
            <w:pPr>
              <w:jc w:val="right"/>
              <w:rPr>
                <w:rFonts w:ascii="宋体"/>
              </w:rPr>
            </w:pPr>
          </w:p>
        </w:tc>
      </w:tr>
      <w:tr w:rsidR="002661BA" w14:paraId="22CFAFF1" w14:textId="77777777">
        <w:trPr>
          <w:jc w:val="center"/>
          <w:hidden/>
        </w:trPr>
        <w:tc>
          <w:tcPr>
            <w:tcW w:w="0" w:type="auto"/>
            <w:gridSpan w:val="3"/>
            <w:shd w:val="clear" w:color="auto" w:fill="auto"/>
            <w:vAlign w:val="bottom"/>
          </w:tcPr>
          <w:p w14:paraId="22CFAFED" w14:textId="77777777" w:rsidR="002661BA" w:rsidRDefault="002661BA">
            <w:pPr>
              <w:rPr>
                <w:rFonts w:ascii="宋体"/>
                <w:vanish/>
              </w:rPr>
            </w:pPr>
          </w:p>
        </w:tc>
        <w:tc>
          <w:tcPr>
            <w:tcW w:w="0" w:type="auto"/>
            <w:gridSpan w:val="3"/>
            <w:shd w:val="clear" w:color="auto" w:fill="auto"/>
            <w:vAlign w:val="bottom"/>
          </w:tcPr>
          <w:p w14:paraId="22CFAFEE" w14:textId="77777777" w:rsidR="002661BA" w:rsidRDefault="002661BA">
            <w:pPr>
              <w:rPr>
                <w:rFonts w:ascii="宋体"/>
                <w:vanish/>
              </w:rPr>
            </w:pPr>
          </w:p>
        </w:tc>
        <w:tc>
          <w:tcPr>
            <w:tcW w:w="0" w:type="auto"/>
            <w:gridSpan w:val="3"/>
            <w:shd w:val="clear" w:color="auto" w:fill="auto"/>
            <w:vAlign w:val="bottom"/>
          </w:tcPr>
          <w:p w14:paraId="22CFAFEF" w14:textId="77777777" w:rsidR="002661BA" w:rsidRDefault="002661BA">
            <w:pPr>
              <w:rPr>
                <w:rFonts w:ascii="宋体"/>
                <w:vanish/>
              </w:rPr>
            </w:pPr>
          </w:p>
        </w:tc>
        <w:tc>
          <w:tcPr>
            <w:tcW w:w="0" w:type="auto"/>
            <w:gridSpan w:val="3"/>
            <w:shd w:val="clear" w:color="auto" w:fill="auto"/>
            <w:vAlign w:val="bottom"/>
          </w:tcPr>
          <w:p w14:paraId="22CFAFF0" w14:textId="77777777" w:rsidR="002661BA" w:rsidRDefault="002661BA">
            <w:pPr>
              <w:rPr>
                <w:rFonts w:ascii="宋体"/>
                <w:vanish/>
              </w:rPr>
            </w:pPr>
          </w:p>
        </w:tc>
      </w:tr>
      <w:tr w:rsidR="002661BA" w14:paraId="22CFAFF8" w14:textId="77777777">
        <w:trPr>
          <w:jc w:val="center"/>
        </w:trPr>
        <w:tc>
          <w:tcPr>
            <w:tcW w:w="0" w:type="auto"/>
            <w:gridSpan w:val="3"/>
            <w:shd w:val="clear" w:color="auto" w:fill="FFFFFF"/>
            <w:tcMar>
              <w:top w:w="40" w:type="dxa"/>
              <w:left w:w="20" w:type="dxa"/>
              <w:bottom w:w="40" w:type="dxa"/>
              <w:right w:w="20" w:type="dxa"/>
            </w:tcMar>
            <w:vAlign w:val="bottom"/>
          </w:tcPr>
          <w:p w14:paraId="22CFAFF2" w14:textId="77777777" w:rsidR="002661BA" w:rsidRDefault="00D972BC">
            <w:pPr>
              <w:textAlignment w:val="bottom"/>
            </w:pPr>
            <w:r>
              <w:rPr>
                <w:rFonts w:ascii="Arial" w:eastAsia="宋体" w:hAnsi="Arial" w:cs="Arial"/>
                <w:color w:val="000000"/>
                <w:sz w:val="18"/>
                <w:szCs w:val="18"/>
              </w:rPr>
              <w:t>Long-term assets of discontinued operations</w:t>
            </w:r>
          </w:p>
        </w:tc>
        <w:tc>
          <w:tcPr>
            <w:tcW w:w="0" w:type="auto"/>
            <w:gridSpan w:val="2"/>
            <w:shd w:val="clear" w:color="auto" w:fill="FFFFFF"/>
            <w:tcMar>
              <w:top w:w="40" w:type="dxa"/>
              <w:left w:w="20" w:type="dxa"/>
              <w:bottom w:w="40" w:type="dxa"/>
              <w:right w:w="0" w:type="dxa"/>
            </w:tcMar>
            <w:vAlign w:val="bottom"/>
          </w:tcPr>
          <w:p w14:paraId="22CFAFF3"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AFF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AFF5"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AFF6" w14:textId="77777777" w:rsidR="002661BA" w:rsidRDefault="00D972BC">
            <w:pPr>
              <w:jc w:val="right"/>
              <w:textAlignment w:val="bottom"/>
            </w:pPr>
            <w:r>
              <w:rPr>
                <w:rFonts w:ascii="Arial" w:eastAsia="宋体" w:hAnsi="Arial" w:cs="Arial"/>
                <w:color w:val="000000"/>
                <w:sz w:val="18"/>
                <w:szCs w:val="18"/>
              </w:rPr>
              <w:t>549 </w:t>
            </w:r>
          </w:p>
        </w:tc>
        <w:tc>
          <w:tcPr>
            <w:tcW w:w="0" w:type="auto"/>
            <w:shd w:val="clear" w:color="auto" w:fill="FFFFFF"/>
            <w:tcMar>
              <w:top w:w="40" w:type="dxa"/>
              <w:left w:w="0" w:type="dxa"/>
              <w:bottom w:w="40" w:type="dxa"/>
              <w:right w:w="20" w:type="dxa"/>
            </w:tcMar>
            <w:vAlign w:val="bottom"/>
          </w:tcPr>
          <w:p w14:paraId="22CFAFF7" w14:textId="77777777" w:rsidR="002661BA" w:rsidRDefault="002661BA">
            <w:pPr>
              <w:jc w:val="right"/>
              <w:rPr>
                <w:rFonts w:ascii="宋体"/>
              </w:rPr>
            </w:pPr>
          </w:p>
        </w:tc>
      </w:tr>
      <w:tr w:rsidR="002661BA" w14:paraId="22CFB001" w14:textId="77777777">
        <w:trPr>
          <w:jc w:val="center"/>
        </w:trPr>
        <w:tc>
          <w:tcPr>
            <w:tcW w:w="0" w:type="auto"/>
            <w:gridSpan w:val="3"/>
            <w:shd w:val="clear" w:color="auto" w:fill="E2E2E2"/>
            <w:tcMar>
              <w:top w:w="40" w:type="dxa"/>
              <w:left w:w="965" w:type="dxa"/>
              <w:bottom w:w="40" w:type="dxa"/>
              <w:right w:w="20" w:type="dxa"/>
            </w:tcMar>
            <w:vAlign w:val="bottom"/>
          </w:tcPr>
          <w:p w14:paraId="22CFAFF9" w14:textId="77777777" w:rsidR="002661BA" w:rsidRDefault="00D972BC">
            <w:pPr>
              <w:textAlignment w:val="bottom"/>
            </w:pPr>
            <w:r>
              <w:rPr>
                <w:rFonts w:ascii="Arial" w:eastAsia="宋体" w:hAnsi="Arial" w:cs="Arial"/>
                <w:color w:val="000000"/>
                <w:sz w:val="18"/>
                <w:szCs w:val="18"/>
              </w:rPr>
              <w:t>Total assets</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AFFA"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FFB" w14:textId="77777777" w:rsidR="002661BA" w:rsidRDefault="00D972BC">
            <w:pPr>
              <w:jc w:val="right"/>
              <w:textAlignment w:val="bottom"/>
            </w:pPr>
            <w:r>
              <w:rPr>
                <w:rFonts w:ascii="Arial" w:eastAsia="宋体" w:hAnsi="Arial" w:cs="Arial"/>
                <w:color w:val="000000"/>
                <w:sz w:val="18"/>
                <w:szCs w:val="18"/>
              </w:rPr>
              <w:t>26,626 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AFFC"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AFFD"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AFFE"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AFFF" w14:textId="77777777" w:rsidR="002661BA" w:rsidRDefault="00D972BC">
            <w:pPr>
              <w:jc w:val="right"/>
              <w:textAlignment w:val="bottom"/>
            </w:pPr>
            <w:r>
              <w:rPr>
                <w:rFonts w:ascii="Arial" w:eastAsia="宋体" w:hAnsi="Arial" w:cs="Arial"/>
                <w:color w:val="000000"/>
                <w:sz w:val="18"/>
                <w:szCs w:val="18"/>
              </w:rPr>
              <w:t>19,310 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000" w14:textId="77777777" w:rsidR="002661BA" w:rsidRDefault="002661BA">
            <w:pPr>
              <w:jc w:val="right"/>
              <w:rPr>
                <w:rFonts w:ascii="宋体"/>
              </w:rPr>
            </w:pPr>
          </w:p>
        </w:tc>
      </w:tr>
      <w:tr w:rsidR="002661BA" w14:paraId="22CFB006" w14:textId="77777777">
        <w:trPr>
          <w:jc w:val="center"/>
        </w:trPr>
        <w:tc>
          <w:tcPr>
            <w:tcW w:w="0" w:type="auto"/>
            <w:gridSpan w:val="3"/>
            <w:shd w:val="clear" w:color="auto" w:fill="FFFFFF"/>
            <w:tcMar>
              <w:top w:w="40" w:type="dxa"/>
              <w:left w:w="20" w:type="dxa"/>
              <w:bottom w:w="40" w:type="dxa"/>
              <w:right w:w="20" w:type="dxa"/>
            </w:tcMar>
            <w:vAlign w:val="bottom"/>
          </w:tcPr>
          <w:p w14:paraId="22CFB002" w14:textId="77777777" w:rsidR="002661BA" w:rsidRDefault="00D972BC">
            <w:pPr>
              <w:jc w:val="center"/>
              <w:textAlignment w:val="bottom"/>
            </w:pPr>
            <w:r>
              <w:rPr>
                <w:rFonts w:ascii="Arial" w:eastAsia="宋体" w:hAnsi="Arial" w:cs="Arial"/>
                <w:b/>
                <w:bCs/>
                <w:color w:val="000000"/>
                <w:sz w:val="18"/>
                <w:szCs w:val="18"/>
              </w:rPr>
              <w:t>LIABILITIES AND STOCKHOLDERS’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B003"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004" w14:textId="77777777" w:rsidR="002661BA" w:rsidRDefault="002661B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B005" w14:textId="77777777" w:rsidR="002661BA" w:rsidRDefault="002661BA">
            <w:pPr>
              <w:rPr>
                <w:rFonts w:ascii="宋体"/>
              </w:rPr>
            </w:pPr>
          </w:p>
        </w:tc>
      </w:tr>
      <w:tr w:rsidR="002661BA" w14:paraId="22CFB00B" w14:textId="77777777">
        <w:trPr>
          <w:jc w:val="center"/>
        </w:trPr>
        <w:tc>
          <w:tcPr>
            <w:tcW w:w="0" w:type="auto"/>
            <w:gridSpan w:val="3"/>
            <w:shd w:val="clear" w:color="auto" w:fill="E2E2E2"/>
            <w:tcMar>
              <w:top w:w="40" w:type="dxa"/>
              <w:left w:w="20" w:type="dxa"/>
              <w:bottom w:w="40" w:type="dxa"/>
              <w:right w:w="20" w:type="dxa"/>
            </w:tcMar>
            <w:vAlign w:val="bottom"/>
          </w:tcPr>
          <w:p w14:paraId="22CFB007" w14:textId="77777777" w:rsidR="002661BA" w:rsidRDefault="00D972BC">
            <w:pPr>
              <w:textAlignment w:val="bottom"/>
            </w:pPr>
            <w:r>
              <w:rPr>
                <w:rFonts w:ascii="Arial" w:eastAsia="宋体" w:hAnsi="Arial" w:cs="Arial"/>
                <w:color w:val="000000"/>
                <w:sz w:val="18"/>
                <w:szCs w:val="18"/>
              </w:rPr>
              <w:t>Current liabilities:</w:t>
            </w:r>
          </w:p>
        </w:tc>
        <w:tc>
          <w:tcPr>
            <w:tcW w:w="0" w:type="auto"/>
            <w:gridSpan w:val="3"/>
            <w:shd w:val="clear" w:color="auto" w:fill="E2E2E2"/>
            <w:tcMar>
              <w:top w:w="40" w:type="dxa"/>
              <w:left w:w="20" w:type="dxa"/>
              <w:bottom w:w="40" w:type="dxa"/>
              <w:right w:w="20" w:type="dxa"/>
            </w:tcMar>
            <w:vAlign w:val="bottom"/>
          </w:tcPr>
          <w:p w14:paraId="22CFB008" w14:textId="77777777" w:rsidR="002661BA" w:rsidRDefault="00D972BC">
            <w:pPr>
              <w:jc w:val="right"/>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22CFB009"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B00A" w14:textId="77777777" w:rsidR="002661BA" w:rsidRDefault="00D972BC">
            <w:pPr>
              <w:jc w:val="right"/>
              <w:textAlignment w:val="bottom"/>
            </w:pPr>
            <w:r>
              <w:rPr>
                <w:rFonts w:ascii="Arial" w:eastAsia="宋体" w:hAnsi="Arial" w:cs="Arial"/>
                <w:color w:val="000000"/>
                <w:sz w:val="18"/>
                <w:szCs w:val="18"/>
              </w:rPr>
              <w:t> </w:t>
            </w:r>
          </w:p>
        </w:tc>
      </w:tr>
      <w:tr w:rsidR="002661BA" w14:paraId="22CFB014" w14:textId="77777777">
        <w:trPr>
          <w:jc w:val="center"/>
        </w:trPr>
        <w:tc>
          <w:tcPr>
            <w:tcW w:w="0" w:type="auto"/>
            <w:gridSpan w:val="3"/>
            <w:shd w:val="clear" w:color="auto" w:fill="FFFFFF"/>
            <w:tcMar>
              <w:top w:w="40" w:type="dxa"/>
              <w:left w:w="515" w:type="dxa"/>
              <w:bottom w:w="40" w:type="dxa"/>
              <w:right w:w="20" w:type="dxa"/>
            </w:tcMar>
            <w:vAlign w:val="bottom"/>
          </w:tcPr>
          <w:p w14:paraId="22CFB00C" w14:textId="77777777" w:rsidR="002661BA" w:rsidRDefault="00D972BC">
            <w:pPr>
              <w:textAlignment w:val="bottom"/>
            </w:pPr>
            <w:r>
              <w:rPr>
                <w:rFonts w:ascii="Arial" w:eastAsia="宋体" w:hAnsi="Arial" w:cs="Arial"/>
                <w:color w:val="000000"/>
                <w:sz w:val="18"/>
                <w:szCs w:val="18"/>
              </w:rPr>
              <w:t>Short-term debt</w:t>
            </w:r>
          </w:p>
        </w:tc>
        <w:tc>
          <w:tcPr>
            <w:tcW w:w="0" w:type="auto"/>
            <w:shd w:val="clear" w:color="auto" w:fill="FFFFFF"/>
            <w:tcMar>
              <w:top w:w="40" w:type="dxa"/>
              <w:left w:w="20" w:type="dxa"/>
              <w:bottom w:w="40" w:type="dxa"/>
              <w:right w:w="0" w:type="dxa"/>
            </w:tcMar>
            <w:vAlign w:val="bottom"/>
          </w:tcPr>
          <w:p w14:paraId="22CFB00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00E" w14:textId="77777777" w:rsidR="002661BA" w:rsidRDefault="00D972BC">
            <w:pPr>
              <w:jc w:val="right"/>
              <w:textAlignment w:val="bottom"/>
            </w:pPr>
            <w:r>
              <w:rPr>
                <w:rFonts w:ascii="Arial" w:eastAsia="宋体" w:hAnsi="Arial" w:cs="Arial"/>
                <w:color w:val="000000"/>
                <w:sz w:val="18"/>
                <w:szCs w:val="18"/>
              </w:rPr>
              <w:t>1,355 </w:t>
            </w:r>
          </w:p>
        </w:tc>
        <w:tc>
          <w:tcPr>
            <w:tcW w:w="0" w:type="auto"/>
            <w:shd w:val="clear" w:color="auto" w:fill="FFFFFF"/>
            <w:tcMar>
              <w:top w:w="40" w:type="dxa"/>
              <w:left w:w="0" w:type="dxa"/>
              <w:bottom w:w="40" w:type="dxa"/>
              <w:right w:w="20" w:type="dxa"/>
            </w:tcMar>
            <w:vAlign w:val="bottom"/>
          </w:tcPr>
          <w:p w14:paraId="22CFB00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010"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B011"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012" w14:textId="77777777" w:rsidR="002661BA" w:rsidRDefault="00D972BC">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22CFB013" w14:textId="77777777" w:rsidR="002661BA" w:rsidRDefault="002661BA">
            <w:pPr>
              <w:jc w:val="right"/>
              <w:rPr>
                <w:rFonts w:ascii="宋体"/>
              </w:rPr>
            </w:pPr>
          </w:p>
        </w:tc>
      </w:tr>
      <w:tr w:rsidR="002661BA" w14:paraId="22CFB01B" w14:textId="77777777">
        <w:trPr>
          <w:jc w:val="center"/>
        </w:trPr>
        <w:tc>
          <w:tcPr>
            <w:tcW w:w="0" w:type="auto"/>
            <w:gridSpan w:val="3"/>
            <w:shd w:val="clear" w:color="auto" w:fill="E2E2E2"/>
            <w:tcMar>
              <w:top w:w="40" w:type="dxa"/>
              <w:left w:w="515" w:type="dxa"/>
              <w:bottom w:w="40" w:type="dxa"/>
              <w:right w:w="20" w:type="dxa"/>
            </w:tcMar>
            <w:vAlign w:val="bottom"/>
          </w:tcPr>
          <w:p w14:paraId="22CFB015" w14:textId="77777777" w:rsidR="002661BA" w:rsidRDefault="00D972BC">
            <w:pPr>
              <w:textAlignment w:val="bottom"/>
            </w:pPr>
            <w:r>
              <w:rPr>
                <w:rFonts w:ascii="Arial" w:eastAsia="宋体" w:hAnsi="Arial" w:cs="Arial"/>
                <w:color w:val="000000"/>
                <w:sz w:val="18"/>
                <w:szCs w:val="18"/>
              </w:rPr>
              <w:t>Accounts payable</w:t>
            </w:r>
          </w:p>
        </w:tc>
        <w:tc>
          <w:tcPr>
            <w:tcW w:w="0" w:type="auto"/>
            <w:gridSpan w:val="2"/>
            <w:shd w:val="clear" w:color="auto" w:fill="E2E2E2"/>
            <w:tcMar>
              <w:top w:w="40" w:type="dxa"/>
              <w:left w:w="20" w:type="dxa"/>
              <w:bottom w:w="40" w:type="dxa"/>
              <w:right w:w="0" w:type="dxa"/>
            </w:tcMar>
            <w:vAlign w:val="bottom"/>
          </w:tcPr>
          <w:p w14:paraId="22CFB016" w14:textId="77777777" w:rsidR="002661BA" w:rsidRDefault="00D972BC">
            <w:pPr>
              <w:jc w:val="right"/>
              <w:textAlignment w:val="bottom"/>
            </w:pPr>
            <w:r>
              <w:rPr>
                <w:rFonts w:ascii="Arial" w:eastAsia="宋体" w:hAnsi="Arial" w:cs="Arial"/>
                <w:color w:val="000000"/>
                <w:sz w:val="18"/>
                <w:szCs w:val="18"/>
              </w:rPr>
              <w:t>262 </w:t>
            </w:r>
          </w:p>
        </w:tc>
        <w:tc>
          <w:tcPr>
            <w:tcW w:w="0" w:type="auto"/>
            <w:shd w:val="clear" w:color="auto" w:fill="E2E2E2"/>
            <w:tcMar>
              <w:top w:w="40" w:type="dxa"/>
              <w:left w:w="0" w:type="dxa"/>
              <w:bottom w:w="40" w:type="dxa"/>
              <w:right w:w="20" w:type="dxa"/>
            </w:tcMar>
            <w:vAlign w:val="bottom"/>
          </w:tcPr>
          <w:p w14:paraId="22CFB017"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018"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019" w14:textId="77777777" w:rsidR="002661BA" w:rsidRDefault="00D972BC">
            <w:pPr>
              <w:jc w:val="right"/>
              <w:textAlignment w:val="bottom"/>
            </w:pPr>
            <w:r>
              <w:rPr>
                <w:rFonts w:ascii="Arial" w:eastAsia="宋体" w:hAnsi="Arial" w:cs="Arial"/>
                <w:color w:val="000000"/>
                <w:sz w:val="18"/>
                <w:szCs w:val="18"/>
              </w:rPr>
              <w:t>278 </w:t>
            </w:r>
          </w:p>
        </w:tc>
        <w:tc>
          <w:tcPr>
            <w:tcW w:w="0" w:type="auto"/>
            <w:shd w:val="clear" w:color="auto" w:fill="E2E2E2"/>
            <w:tcMar>
              <w:top w:w="40" w:type="dxa"/>
              <w:left w:w="0" w:type="dxa"/>
              <w:bottom w:w="40" w:type="dxa"/>
              <w:right w:w="20" w:type="dxa"/>
            </w:tcMar>
            <w:vAlign w:val="bottom"/>
          </w:tcPr>
          <w:p w14:paraId="22CFB01A" w14:textId="77777777" w:rsidR="002661BA" w:rsidRDefault="002661BA">
            <w:pPr>
              <w:jc w:val="right"/>
              <w:rPr>
                <w:rFonts w:ascii="宋体"/>
              </w:rPr>
            </w:pPr>
          </w:p>
        </w:tc>
      </w:tr>
      <w:tr w:rsidR="002661BA" w14:paraId="22CFB022" w14:textId="77777777">
        <w:trPr>
          <w:jc w:val="center"/>
        </w:trPr>
        <w:tc>
          <w:tcPr>
            <w:tcW w:w="0" w:type="auto"/>
            <w:gridSpan w:val="3"/>
            <w:shd w:val="clear" w:color="auto" w:fill="FFFFFF"/>
            <w:tcMar>
              <w:top w:w="40" w:type="dxa"/>
              <w:left w:w="515" w:type="dxa"/>
              <w:bottom w:w="40" w:type="dxa"/>
              <w:right w:w="20" w:type="dxa"/>
            </w:tcMar>
            <w:vAlign w:val="bottom"/>
          </w:tcPr>
          <w:p w14:paraId="22CFB01C" w14:textId="77777777" w:rsidR="002661BA" w:rsidRDefault="00D972BC">
            <w:pPr>
              <w:textAlignment w:val="bottom"/>
            </w:pPr>
            <w:r>
              <w:rPr>
                <w:rFonts w:ascii="Arial" w:eastAsia="宋体" w:hAnsi="Arial" w:cs="Arial"/>
                <w:color w:val="000000"/>
                <w:sz w:val="18"/>
                <w:szCs w:val="18"/>
              </w:rPr>
              <w:t>Customer accounts and funds payable</w:t>
            </w:r>
          </w:p>
        </w:tc>
        <w:tc>
          <w:tcPr>
            <w:tcW w:w="0" w:type="auto"/>
            <w:gridSpan w:val="2"/>
            <w:shd w:val="clear" w:color="auto" w:fill="FFFFFF"/>
            <w:tcMar>
              <w:top w:w="40" w:type="dxa"/>
              <w:left w:w="20" w:type="dxa"/>
              <w:bottom w:w="40" w:type="dxa"/>
              <w:right w:w="0" w:type="dxa"/>
            </w:tcMar>
            <w:vAlign w:val="bottom"/>
          </w:tcPr>
          <w:p w14:paraId="22CFB01D" w14:textId="77777777" w:rsidR="002661BA" w:rsidRDefault="00D972BC">
            <w:pPr>
              <w:jc w:val="right"/>
              <w:textAlignment w:val="bottom"/>
            </w:pPr>
            <w:r>
              <w:rPr>
                <w:rFonts w:ascii="Arial" w:eastAsia="宋体" w:hAnsi="Arial" w:cs="Arial"/>
                <w:color w:val="000000"/>
                <w:sz w:val="18"/>
                <w:szCs w:val="18"/>
              </w:rPr>
              <w:t>707 </w:t>
            </w:r>
          </w:p>
        </w:tc>
        <w:tc>
          <w:tcPr>
            <w:tcW w:w="0" w:type="auto"/>
            <w:shd w:val="clear" w:color="auto" w:fill="FFFFFF"/>
            <w:tcMar>
              <w:top w:w="40" w:type="dxa"/>
              <w:left w:w="0" w:type="dxa"/>
              <w:bottom w:w="40" w:type="dxa"/>
              <w:right w:w="20" w:type="dxa"/>
            </w:tcMar>
            <w:vAlign w:val="bottom"/>
          </w:tcPr>
          <w:p w14:paraId="22CFB01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01F"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020" w14:textId="77777777" w:rsidR="002661BA" w:rsidRDefault="00D972BC">
            <w:pPr>
              <w:jc w:val="right"/>
              <w:textAlignment w:val="bottom"/>
            </w:pPr>
            <w:r>
              <w:rPr>
                <w:rFonts w:ascii="Arial" w:eastAsia="宋体" w:hAnsi="Arial" w:cs="Arial"/>
                <w:color w:val="000000"/>
                <w:sz w:val="18"/>
                <w:szCs w:val="18"/>
              </w:rPr>
              <w:t>379 </w:t>
            </w:r>
          </w:p>
        </w:tc>
        <w:tc>
          <w:tcPr>
            <w:tcW w:w="0" w:type="auto"/>
            <w:shd w:val="clear" w:color="auto" w:fill="FFFFFF"/>
            <w:tcMar>
              <w:top w:w="40" w:type="dxa"/>
              <w:left w:w="0" w:type="dxa"/>
              <w:bottom w:w="40" w:type="dxa"/>
              <w:right w:w="20" w:type="dxa"/>
            </w:tcMar>
            <w:vAlign w:val="bottom"/>
          </w:tcPr>
          <w:p w14:paraId="22CFB021" w14:textId="77777777" w:rsidR="002661BA" w:rsidRDefault="002661BA">
            <w:pPr>
              <w:jc w:val="right"/>
              <w:rPr>
                <w:rFonts w:ascii="宋体"/>
              </w:rPr>
            </w:pPr>
          </w:p>
        </w:tc>
      </w:tr>
      <w:tr w:rsidR="002661BA" w14:paraId="22CFB029" w14:textId="77777777">
        <w:trPr>
          <w:jc w:val="center"/>
        </w:trPr>
        <w:tc>
          <w:tcPr>
            <w:tcW w:w="0" w:type="auto"/>
            <w:gridSpan w:val="3"/>
            <w:shd w:val="clear" w:color="auto" w:fill="E2E2E2"/>
            <w:tcMar>
              <w:top w:w="40" w:type="dxa"/>
              <w:left w:w="515" w:type="dxa"/>
              <w:bottom w:w="40" w:type="dxa"/>
              <w:right w:w="20" w:type="dxa"/>
            </w:tcMar>
            <w:vAlign w:val="bottom"/>
          </w:tcPr>
          <w:p w14:paraId="22CFB023" w14:textId="77777777" w:rsidR="002661BA" w:rsidRDefault="00D972BC">
            <w:pPr>
              <w:textAlignment w:val="bottom"/>
            </w:pPr>
            <w:r>
              <w:rPr>
                <w:rFonts w:ascii="Arial" w:eastAsia="宋体" w:hAnsi="Arial" w:cs="Arial"/>
                <w:color w:val="000000"/>
                <w:sz w:val="18"/>
                <w:szCs w:val="18"/>
              </w:rPr>
              <w:t xml:space="preserve">Accrued expenses and other </w:t>
            </w:r>
            <w:r>
              <w:rPr>
                <w:rFonts w:ascii="Arial" w:eastAsia="宋体" w:hAnsi="Arial" w:cs="Arial"/>
                <w:color w:val="000000"/>
                <w:sz w:val="18"/>
                <w:szCs w:val="18"/>
              </w:rPr>
              <w:t>current liabilities</w:t>
            </w:r>
          </w:p>
        </w:tc>
        <w:tc>
          <w:tcPr>
            <w:tcW w:w="0" w:type="auto"/>
            <w:gridSpan w:val="2"/>
            <w:shd w:val="clear" w:color="auto" w:fill="E2E2E2"/>
            <w:tcMar>
              <w:top w:w="40" w:type="dxa"/>
              <w:left w:w="20" w:type="dxa"/>
              <w:bottom w:w="40" w:type="dxa"/>
              <w:right w:w="0" w:type="dxa"/>
            </w:tcMar>
            <w:vAlign w:val="bottom"/>
          </w:tcPr>
          <w:p w14:paraId="22CFB024" w14:textId="77777777" w:rsidR="002661BA" w:rsidRDefault="00D972BC">
            <w:pPr>
              <w:jc w:val="right"/>
              <w:textAlignment w:val="bottom"/>
            </w:pPr>
            <w:r>
              <w:rPr>
                <w:rFonts w:ascii="Arial" w:eastAsia="宋体" w:hAnsi="Arial" w:cs="Arial"/>
                <w:color w:val="000000"/>
                <w:sz w:val="18"/>
                <w:szCs w:val="18"/>
              </w:rPr>
              <w:t>1,848 </w:t>
            </w:r>
          </w:p>
        </w:tc>
        <w:tc>
          <w:tcPr>
            <w:tcW w:w="0" w:type="auto"/>
            <w:shd w:val="clear" w:color="auto" w:fill="E2E2E2"/>
            <w:tcMar>
              <w:top w:w="40" w:type="dxa"/>
              <w:left w:w="0" w:type="dxa"/>
              <w:bottom w:w="40" w:type="dxa"/>
              <w:right w:w="20" w:type="dxa"/>
            </w:tcMar>
            <w:vAlign w:val="bottom"/>
          </w:tcPr>
          <w:p w14:paraId="22CFB02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026"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027" w14:textId="77777777" w:rsidR="002661BA" w:rsidRDefault="00D972BC">
            <w:pPr>
              <w:jc w:val="right"/>
              <w:textAlignment w:val="bottom"/>
            </w:pPr>
            <w:r>
              <w:rPr>
                <w:rFonts w:ascii="Arial" w:eastAsia="宋体" w:hAnsi="Arial" w:cs="Arial"/>
                <w:color w:val="000000"/>
                <w:sz w:val="18"/>
                <w:szCs w:val="18"/>
              </w:rPr>
              <w:t>1,767 </w:t>
            </w:r>
          </w:p>
        </w:tc>
        <w:tc>
          <w:tcPr>
            <w:tcW w:w="0" w:type="auto"/>
            <w:shd w:val="clear" w:color="auto" w:fill="E2E2E2"/>
            <w:tcMar>
              <w:top w:w="40" w:type="dxa"/>
              <w:left w:w="0" w:type="dxa"/>
              <w:bottom w:w="40" w:type="dxa"/>
              <w:right w:w="20" w:type="dxa"/>
            </w:tcMar>
            <w:vAlign w:val="bottom"/>
          </w:tcPr>
          <w:p w14:paraId="22CFB028" w14:textId="77777777" w:rsidR="002661BA" w:rsidRDefault="002661BA">
            <w:pPr>
              <w:jc w:val="right"/>
              <w:rPr>
                <w:rFonts w:ascii="宋体"/>
              </w:rPr>
            </w:pPr>
          </w:p>
        </w:tc>
      </w:tr>
      <w:tr w:rsidR="002661BA" w14:paraId="22CFB030" w14:textId="77777777">
        <w:trPr>
          <w:jc w:val="center"/>
        </w:trPr>
        <w:tc>
          <w:tcPr>
            <w:tcW w:w="0" w:type="auto"/>
            <w:gridSpan w:val="3"/>
            <w:shd w:val="clear" w:color="auto" w:fill="FFFFFF"/>
            <w:tcMar>
              <w:top w:w="40" w:type="dxa"/>
              <w:left w:w="515" w:type="dxa"/>
              <w:bottom w:w="40" w:type="dxa"/>
              <w:right w:w="20" w:type="dxa"/>
            </w:tcMar>
            <w:vAlign w:val="bottom"/>
          </w:tcPr>
          <w:p w14:paraId="22CFB02A" w14:textId="77777777" w:rsidR="002661BA" w:rsidRDefault="00D972BC">
            <w:pPr>
              <w:textAlignment w:val="bottom"/>
            </w:pPr>
            <w:r>
              <w:rPr>
                <w:rFonts w:ascii="Arial" w:eastAsia="宋体" w:hAnsi="Arial" w:cs="Arial"/>
                <w:color w:val="000000"/>
                <w:sz w:val="18"/>
                <w:szCs w:val="18"/>
              </w:rPr>
              <w:t>Deferred revenue</w:t>
            </w:r>
          </w:p>
        </w:tc>
        <w:tc>
          <w:tcPr>
            <w:tcW w:w="0" w:type="auto"/>
            <w:gridSpan w:val="2"/>
            <w:shd w:val="clear" w:color="auto" w:fill="FFFFFF"/>
            <w:tcMar>
              <w:top w:w="40" w:type="dxa"/>
              <w:left w:w="20" w:type="dxa"/>
              <w:bottom w:w="40" w:type="dxa"/>
              <w:right w:w="0" w:type="dxa"/>
            </w:tcMar>
            <w:vAlign w:val="bottom"/>
          </w:tcPr>
          <w:p w14:paraId="22CFB02B" w14:textId="77777777" w:rsidR="002661BA" w:rsidRDefault="00D972BC">
            <w:pPr>
              <w:jc w:val="right"/>
              <w:textAlignment w:val="bottom"/>
            </w:pPr>
            <w:r>
              <w:rPr>
                <w:rFonts w:ascii="Arial" w:eastAsia="宋体" w:hAnsi="Arial" w:cs="Arial"/>
                <w:color w:val="000000"/>
                <w:sz w:val="18"/>
                <w:szCs w:val="18"/>
              </w:rPr>
              <w:t>79 </w:t>
            </w:r>
          </w:p>
        </w:tc>
        <w:tc>
          <w:tcPr>
            <w:tcW w:w="0" w:type="auto"/>
            <w:shd w:val="clear" w:color="auto" w:fill="FFFFFF"/>
            <w:tcMar>
              <w:top w:w="40" w:type="dxa"/>
              <w:left w:w="0" w:type="dxa"/>
              <w:bottom w:w="40" w:type="dxa"/>
              <w:right w:w="20" w:type="dxa"/>
            </w:tcMar>
            <w:vAlign w:val="bottom"/>
          </w:tcPr>
          <w:p w14:paraId="22CFB02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02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02E" w14:textId="77777777" w:rsidR="002661BA" w:rsidRDefault="00D972BC">
            <w:pPr>
              <w:jc w:val="right"/>
              <w:textAlignment w:val="bottom"/>
            </w:pPr>
            <w:r>
              <w:rPr>
                <w:rFonts w:ascii="Arial" w:eastAsia="宋体" w:hAnsi="Arial" w:cs="Arial"/>
                <w:color w:val="000000"/>
                <w:sz w:val="18"/>
                <w:szCs w:val="18"/>
              </w:rPr>
              <w:t>98 </w:t>
            </w:r>
          </w:p>
        </w:tc>
        <w:tc>
          <w:tcPr>
            <w:tcW w:w="0" w:type="auto"/>
            <w:shd w:val="clear" w:color="auto" w:fill="FFFFFF"/>
            <w:tcMar>
              <w:top w:w="40" w:type="dxa"/>
              <w:left w:w="0" w:type="dxa"/>
              <w:bottom w:w="40" w:type="dxa"/>
              <w:right w:w="20" w:type="dxa"/>
            </w:tcMar>
            <w:vAlign w:val="bottom"/>
          </w:tcPr>
          <w:p w14:paraId="22CFB02F" w14:textId="77777777" w:rsidR="002661BA" w:rsidRDefault="002661BA">
            <w:pPr>
              <w:jc w:val="right"/>
              <w:rPr>
                <w:rFonts w:ascii="宋体"/>
              </w:rPr>
            </w:pPr>
          </w:p>
        </w:tc>
      </w:tr>
      <w:tr w:rsidR="002661BA" w14:paraId="22CFB037" w14:textId="77777777">
        <w:trPr>
          <w:jc w:val="center"/>
        </w:trPr>
        <w:tc>
          <w:tcPr>
            <w:tcW w:w="0" w:type="auto"/>
            <w:gridSpan w:val="3"/>
            <w:shd w:val="clear" w:color="auto" w:fill="E2E2E2"/>
            <w:tcMar>
              <w:top w:w="40" w:type="dxa"/>
              <w:left w:w="515" w:type="dxa"/>
              <w:bottom w:w="40" w:type="dxa"/>
              <w:right w:w="20" w:type="dxa"/>
            </w:tcMar>
            <w:vAlign w:val="bottom"/>
          </w:tcPr>
          <w:p w14:paraId="22CFB031" w14:textId="77777777" w:rsidR="002661BA" w:rsidRDefault="00D972BC">
            <w:pPr>
              <w:textAlignment w:val="bottom"/>
            </w:pPr>
            <w:r>
              <w:rPr>
                <w:rFonts w:ascii="Arial" w:eastAsia="宋体" w:hAnsi="Arial" w:cs="Arial"/>
                <w:color w:val="000000"/>
                <w:sz w:val="18"/>
                <w:szCs w:val="18"/>
              </w:rPr>
              <w:t>Income taxes payable</w:t>
            </w:r>
          </w:p>
        </w:tc>
        <w:tc>
          <w:tcPr>
            <w:tcW w:w="0" w:type="auto"/>
            <w:gridSpan w:val="2"/>
            <w:shd w:val="clear" w:color="auto" w:fill="E2E2E2"/>
            <w:tcMar>
              <w:top w:w="40" w:type="dxa"/>
              <w:left w:w="20" w:type="dxa"/>
              <w:bottom w:w="40" w:type="dxa"/>
              <w:right w:w="0" w:type="dxa"/>
            </w:tcMar>
            <w:vAlign w:val="bottom"/>
          </w:tcPr>
          <w:p w14:paraId="22CFB032" w14:textId="77777777" w:rsidR="002661BA" w:rsidRDefault="00D972BC">
            <w:pPr>
              <w:jc w:val="right"/>
              <w:textAlignment w:val="bottom"/>
            </w:pPr>
            <w:r>
              <w:rPr>
                <w:rFonts w:ascii="Arial" w:eastAsia="宋体" w:hAnsi="Arial" w:cs="Arial"/>
                <w:color w:val="000000"/>
                <w:sz w:val="18"/>
                <w:szCs w:val="18"/>
              </w:rPr>
              <w:t>371 </w:t>
            </w:r>
          </w:p>
        </w:tc>
        <w:tc>
          <w:tcPr>
            <w:tcW w:w="0" w:type="auto"/>
            <w:shd w:val="clear" w:color="auto" w:fill="E2E2E2"/>
            <w:tcMar>
              <w:top w:w="40" w:type="dxa"/>
              <w:left w:w="0" w:type="dxa"/>
              <w:bottom w:w="40" w:type="dxa"/>
              <w:right w:w="20" w:type="dxa"/>
            </w:tcMar>
            <w:vAlign w:val="bottom"/>
          </w:tcPr>
          <w:p w14:paraId="22CFB033"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034"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035" w14:textId="77777777" w:rsidR="002661BA" w:rsidRDefault="00D972BC">
            <w:pPr>
              <w:jc w:val="right"/>
              <w:textAlignment w:val="bottom"/>
            </w:pPr>
            <w:r>
              <w:rPr>
                <w:rFonts w:ascii="Arial" w:eastAsia="宋体" w:hAnsi="Arial" w:cs="Arial"/>
                <w:color w:val="000000"/>
                <w:sz w:val="18"/>
                <w:szCs w:val="18"/>
              </w:rPr>
              <w:t>167 </w:t>
            </w:r>
          </w:p>
        </w:tc>
        <w:tc>
          <w:tcPr>
            <w:tcW w:w="0" w:type="auto"/>
            <w:shd w:val="clear" w:color="auto" w:fill="E2E2E2"/>
            <w:tcMar>
              <w:top w:w="40" w:type="dxa"/>
              <w:left w:w="0" w:type="dxa"/>
              <w:bottom w:w="40" w:type="dxa"/>
              <w:right w:w="20" w:type="dxa"/>
            </w:tcMar>
            <w:vAlign w:val="bottom"/>
          </w:tcPr>
          <w:p w14:paraId="22CFB036" w14:textId="77777777" w:rsidR="002661BA" w:rsidRDefault="002661BA">
            <w:pPr>
              <w:jc w:val="right"/>
              <w:rPr>
                <w:rFonts w:ascii="宋体"/>
              </w:rPr>
            </w:pPr>
          </w:p>
        </w:tc>
      </w:tr>
      <w:tr w:rsidR="002661BA" w14:paraId="22CFB03C" w14:textId="77777777">
        <w:trPr>
          <w:jc w:val="center"/>
          <w:hidden/>
        </w:trPr>
        <w:tc>
          <w:tcPr>
            <w:tcW w:w="0" w:type="auto"/>
            <w:gridSpan w:val="3"/>
            <w:shd w:val="clear" w:color="auto" w:fill="auto"/>
            <w:vAlign w:val="bottom"/>
          </w:tcPr>
          <w:p w14:paraId="22CFB038" w14:textId="77777777" w:rsidR="002661BA" w:rsidRDefault="002661BA">
            <w:pPr>
              <w:rPr>
                <w:rFonts w:ascii="宋体"/>
                <w:vanish/>
              </w:rPr>
            </w:pPr>
          </w:p>
        </w:tc>
        <w:tc>
          <w:tcPr>
            <w:tcW w:w="0" w:type="auto"/>
            <w:gridSpan w:val="3"/>
            <w:shd w:val="clear" w:color="auto" w:fill="auto"/>
            <w:vAlign w:val="bottom"/>
          </w:tcPr>
          <w:p w14:paraId="22CFB039" w14:textId="77777777" w:rsidR="002661BA" w:rsidRDefault="002661BA">
            <w:pPr>
              <w:rPr>
                <w:rFonts w:ascii="宋体"/>
                <w:vanish/>
              </w:rPr>
            </w:pPr>
          </w:p>
        </w:tc>
        <w:tc>
          <w:tcPr>
            <w:tcW w:w="0" w:type="auto"/>
            <w:gridSpan w:val="3"/>
            <w:shd w:val="clear" w:color="auto" w:fill="auto"/>
            <w:vAlign w:val="bottom"/>
          </w:tcPr>
          <w:p w14:paraId="22CFB03A" w14:textId="77777777" w:rsidR="002661BA" w:rsidRDefault="002661BA">
            <w:pPr>
              <w:rPr>
                <w:rFonts w:ascii="宋体"/>
                <w:vanish/>
              </w:rPr>
            </w:pPr>
          </w:p>
        </w:tc>
        <w:tc>
          <w:tcPr>
            <w:tcW w:w="0" w:type="auto"/>
            <w:gridSpan w:val="3"/>
            <w:shd w:val="clear" w:color="auto" w:fill="auto"/>
            <w:vAlign w:val="bottom"/>
          </w:tcPr>
          <w:p w14:paraId="22CFB03B" w14:textId="77777777" w:rsidR="002661BA" w:rsidRDefault="002661BA">
            <w:pPr>
              <w:rPr>
                <w:rFonts w:ascii="宋体"/>
                <w:vanish/>
              </w:rPr>
            </w:pPr>
          </w:p>
        </w:tc>
      </w:tr>
      <w:tr w:rsidR="002661BA" w14:paraId="22CFB043" w14:textId="77777777">
        <w:trPr>
          <w:jc w:val="center"/>
        </w:trPr>
        <w:tc>
          <w:tcPr>
            <w:tcW w:w="0" w:type="auto"/>
            <w:gridSpan w:val="3"/>
            <w:shd w:val="clear" w:color="auto" w:fill="FFFFFF"/>
            <w:tcMar>
              <w:top w:w="40" w:type="dxa"/>
              <w:left w:w="515" w:type="dxa"/>
              <w:bottom w:w="40" w:type="dxa"/>
              <w:right w:w="20" w:type="dxa"/>
            </w:tcMar>
            <w:vAlign w:val="bottom"/>
          </w:tcPr>
          <w:p w14:paraId="22CFB03D" w14:textId="77777777" w:rsidR="002661BA" w:rsidRDefault="00D972BC">
            <w:pPr>
              <w:textAlignment w:val="bottom"/>
            </w:pPr>
            <w:r>
              <w:rPr>
                <w:rFonts w:ascii="Arial" w:eastAsia="宋体" w:hAnsi="Arial" w:cs="Arial"/>
                <w:color w:val="000000"/>
                <w:sz w:val="18"/>
                <w:szCs w:val="18"/>
              </w:rPr>
              <w:t>Current liabilities of discontinued operations</w:t>
            </w:r>
          </w:p>
        </w:tc>
        <w:tc>
          <w:tcPr>
            <w:tcW w:w="0" w:type="auto"/>
            <w:gridSpan w:val="2"/>
            <w:shd w:val="clear" w:color="auto" w:fill="FFFFFF"/>
            <w:tcMar>
              <w:top w:w="40" w:type="dxa"/>
              <w:left w:w="20" w:type="dxa"/>
              <w:bottom w:w="40" w:type="dxa"/>
              <w:right w:w="0" w:type="dxa"/>
            </w:tcMar>
            <w:vAlign w:val="bottom"/>
          </w:tcPr>
          <w:p w14:paraId="22CFB03E"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03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04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041" w14:textId="77777777" w:rsidR="002661BA" w:rsidRDefault="00D972BC">
            <w:pPr>
              <w:jc w:val="right"/>
              <w:textAlignment w:val="bottom"/>
            </w:pPr>
            <w:r>
              <w:rPr>
                <w:rFonts w:ascii="Arial" w:eastAsia="宋体" w:hAnsi="Arial" w:cs="Arial"/>
                <w:color w:val="000000"/>
                <w:sz w:val="18"/>
                <w:szCs w:val="18"/>
              </w:rPr>
              <w:t>1,307 </w:t>
            </w:r>
          </w:p>
        </w:tc>
        <w:tc>
          <w:tcPr>
            <w:tcW w:w="0" w:type="auto"/>
            <w:shd w:val="clear" w:color="auto" w:fill="FFFFFF"/>
            <w:tcMar>
              <w:top w:w="40" w:type="dxa"/>
              <w:left w:w="0" w:type="dxa"/>
              <w:bottom w:w="40" w:type="dxa"/>
              <w:right w:w="20" w:type="dxa"/>
            </w:tcMar>
            <w:vAlign w:val="bottom"/>
          </w:tcPr>
          <w:p w14:paraId="22CFB042" w14:textId="77777777" w:rsidR="002661BA" w:rsidRDefault="002661BA">
            <w:pPr>
              <w:jc w:val="right"/>
              <w:rPr>
                <w:rFonts w:ascii="宋体"/>
              </w:rPr>
            </w:pPr>
          </w:p>
        </w:tc>
      </w:tr>
      <w:tr w:rsidR="002661BA" w14:paraId="22CFB04A" w14:textId="77777777">
        <w:trPr>
          <w:jc w:val="center"/>
        </w:trPr>
        <w:tc>
          <w:tcPr>
            <w:tcW w:w="0" w:type="auto"/>
            <w:gridSpan w:val="3"/>
            <w:shd w:val="clear" w:color="auto" w:fill="E2E2E2"/>
            <w:tcMar>
              <w:top w:w="40" w:type="dxa"/>
              <w:left w:w="965" w:type="dxa"/>
              <w:bottom w:w="40" w:type="dxa"/>
              <w:right w:w="20" w:type="dxa"/>
            </w:tcMar>
            <w:vAlign w:val="bottom"/>
          </w:tcPr>
          <w:p w14:paraId="22CFB044" w14:textId="77777777" w:rsidR="002661BA" w:rsidRDefault="00D972BC">
            <w:pPr>
              <w:textAlignment w:val="bottom"/>
            </w:pPr>
            <w:r>
              <w:rPr>
                <w:rFonts w:ascii="Arial" w:eastAsia="宋体" w:hAnsi="Arial" w:cs="Arial"/>
                <w:color w:val="000000"/>
                <w:sz w:val="18"/>
                <w:szCs w:val="18"/>
              </w:rPr>
              <w:t>Total current liabilities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045" w14:textId="77777777" w:rsidR="002661BA" w:rsidRDefault="00D972BC">
            <w:pPr>
              <w:jc w:val="right"/>
              <w:textAlignment w:val="bottom"/>
            </w:pPr>
            <w:r>
              <w:rPr>
                <w:rFonts w:ascii="Arial" w:eastAsia="宋体" w:hAnsi="Arial" w:cs="Arial"/>
                <w:color w:val="000000"/>
                <w:sz w:val="18"/>
                <w:szCs w:val="18"/>
              </w:rPr>
              <w:t>4,622 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046"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047"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048" w14:textId="77777777" w:rsidR="002661BA" w:rsidRDefault="00D972BC">
            <w:pPr>
              <w:jc w:val="right"/>
              <w:textAlignment w:val="bottom"/>
            </w:pPr>
            <w:r>
              <w:rPr>
                <w:rFonts w:ascii="Arial" w:eastAsia="宋体" w:hAnsi="Arial" w:cs="Arial"/>
                <w:color w:val="000000"/>
                <w:sz w:val="18"/>
                <w:szCs w:val="18"/>
              </w:rPr>
              <w:t>4,002 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049" w14:textId="77777777" w:rsidR="002661BA" w:rsidRDefault="002661BA">
            <w:pPr>
              <w:jc w:val="right"/>
              <w:rPr>
                <w:rFonts w:ascii="宋体"/>
              </w:rPr>
            </w:pPr>
          </w:p>
        </w:tc>
      </w:tr>
      <w:tr w:rsidR="002661BA" w14:paraId="22CFB051" w14:textId="77777777">
        <w:trPr>
          <w:jc w:val="center"/>
        </w:trPr>
        <w:tc>
          <w:tcPr>
            <w:tcW w:w="0" w:type="auto"/>
            <w:gridSpan w:val="3"/>
            <w:shd w:val="clear" w:color="auto" w:fill="FFFFFF"/>
            <w:tcMar>
              <w:top w:w="40" w:type="dxa"/>
              <w:left w:w="20" w:type="dxa"/>
              <w:bottom w:w="40" w:type="dxa"/>
              <w:right w:w="20" w:type="dxa"/>
            </w:tcMar>
            <w:vAlign w:val="bottom"/>
          </w:tcPr>
          <w:p w14:paraId="22CFB04B" w14:textId="77777777" w:rsidR="002661BA" w:rsidRDefault="00D972BC">
            <w:pPr>
              <w:textAlignment w:val="bottom"/>
            </w:pPr>
            <w:r>
              <w:rPr>
                <w:rFonts w:ascii="Arial" w:eastAsia="宋体" w:hAnsi="Arial" w:cs="Arial"/>
                <w:color w:val="000000"/>
                <w:sz w:val="18"/>
                <w:szCs w:val="18"/>
              </w:rPr>
              <w:t xml:space="preserve">Operating lease liabilities </w:t>
            </w:r>
          </w:p>
        </w:tc>
        <w:tc>
          <w:tcPr>
            <w:tcW w:w="0" w:type="auto"/>
            <w:gridSpan w:val="2"/>
            <w:shd w:val="clear" w:color="auto" w:fill="FFFFFF"/>
            <w:tcMar>
              <w:top w:w="40" w:type="dxa"/>
              <w:left w:w="20" w:type="dxa"/>
              <w:bottom w:w="40" w:type="dxa"/>
              <w:right w:w="0" w:type="dxa"/>
            </w:tcMar>
            <w:vAlign w:val="bottom"/>
          </w:tcPr>
          <w:p w14:paraId="22CFB04C" w14:textId="77777777" w:rsidR="002661BA" w:rsidRDefault="00D972BC">
            <w:pPr>
              <w:jc w:val="right"/>
              <w:textAlignment w:val="bottom"/>
            </w:pPr>
            <w:r>
              <w:rPr>
                <w:rFonts w:ascii="Arial" w:eastAsia="宋体" w:hAnsi="Arial" w:cs="Arial"/>
                <w:color w:val="000000"/>
                <w:sz w:val="18"/>
                <w:szCs w:val="18"/>
              </w:rPr>
              <w:t>200 </w:t>
            </w:r>
          </w:p>
        </w:tc>
        <w:tc>
          <w:tcPr>
            <w:tcW w:w="0" w:type="auto"/>
            <w:shd w:val="clear" w:color="auto" w:fill="FFFFFF"/>
            <w:tcMar>
              <w:top w:w="40" w:type="dxa"/>
              <w:left w:w="0" w:type="dxa"/>
              <w:bottom w:w="40" w:type="dxa"/>
              <w:right w:w="20" w:type="dxa"/>
            </w:tcMar>
            <w:vAlign w:val="bottom"/>
          </w:tcPr>
          <w:p w14:paraId="22CFB04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04E"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04F" w14:textId="77777777" w:rsidR="002661BA" w:rsidRDefault="00D972BC">
            <w:pPr>
              <w:jc w:val="right"/>
              <w:textAlignment w:val="bottom"/>
            </w:pPr>
            <w:r>
              <w:rPr>
                <w:rFonts w:ascii="Arial" w:eastAsia="宋体" w:hAnsi="Arial" w:cs="Arial"/>
                <w:color w:val="000000"/>
                <w:sz w:val="18"/>
                <w:szCs w:val="18"/>
              </w:rPr>
              <w:t>316 </w:t>
            </w:r>
          </w:p>
        </w:tc>
        <w:tc>
          <w:tcPr>
            <w:tcW w:w="0" w:type="auto"/>
            <w:shd w:val="clear" w:color="auto" w:fill="FFFFFF"/>
            <w:tcMar>
              <w:top w:w="40" w:type="dxa"/>
              <w:left w:w="0" w:type="dxa"/>
              <w:bottom w:w="40" w:type="dxa"/>
              <w:right w:w="20" w:type="dxa"/>
            </w:tcMar>
            <w:vAlign w:val="bottom"/>
          </w:tcPr>
          <w:p w14:paraId="22CFB050" w14:textId="77777777" w:rsidR="002661BA" w:rsidRDefault="002661BA">
            <w:pPr>
              <w:jc w:val="right"/>
              <w:rPr>
                <w:rFonts w:ascii="宋体"/>
              </w:rPr>
            </w:pPr>
          </w:p>
        </w:tc>
      </w:tr>
      <w:tr w:rsidR="002661BA" w14:paraId="22CFB058" w14:textId="77777777">
        <w:trPr>
          <w:jc w:val="center"/>
        </w:trPr>
        <w:tc>
          <w:tcPr>
            <w:tcW w:w="0" w:type="auto"/>
            <w:gridSpan w:val="3"/>
            <w:shd w:val="clear" w:color="auto" w:fill="E2E2E2"/>
            <w:tcMar>
              <w:top w:w="40" w:type="dxa"/>
              <w:left w:w="20" w:type="dxa"/>
              <w:bottom w:w="40" w:type="dxa"/>
              <w:right w:w="20" w:type="dxa"/>
            </w:tcMar>
            <w:vAlign w:val="bottom"/>
          </w:tcPr>
          <w:p w14:paraId="22CFB052" w14:textId="77777777" w:rsidR="002661BA" w:rsidRDefault="00D972BC">
            <w:pPr>
              <w:textAlignment w:val="bottom"/>
            </w:pPr>
            <w:r>
              <w:rPr>
                <w:rFonts w:ascii="Arial" w:eastAsia="宋体" w:hAnsi="Arial" w:cs="Arial"/>
                <w:color w:val="000000"/>
                <w:sz w:val="18"/>
                <w:szCs w:val="18"/>
              </w:rPr>
              <w:t>Deferred tax liabilities</w:t>
            </w:r>
          </w:p>
        </w:tc>
        <w:tc>
          <w:tcPr>
            <w:tcW w:w="0" w:type="auto"/>
            <w:gridSpan w:val="2"/>
            <w:shd w:val="clear" w:color="auto" w:fill="E2E2E2"/>
            <w:tcMar>
              <w:top w:w="40" w:type="dxa"/>
              <w:left w:w="20" w:type="dxa"/>
              <w:bottom w:w="40" w:type="dxa"/>
              <w:right w:w="0" w:type="dxa"/>
            </w:tcMar>
            <w:vAlign w:val="bottom"/>
          </w:tcPr>
          <w:p w14:paraId="22CFB053" w14:textId="77777777" w:rsidR="002661BA" w:rsidRDefault="00D972BC">
            <w:pPr>
              <w:jc w:val="right"/>
              <w:textAlignment w:val="bottom"/>
            </w:pPr>
            <w:r>
              <w:rPr>
                <w:rFonts w:ascii="Arial" w:eastAsia="宋体" w:hAnsi="Arial" w:cs="Arial"/>
                <w:color w:val="000000"/>
                <w:sz w:val="18"/>
                <w:szCs w:val="18"/>
              </w:rPr>
              <w:t>3,116 </w:t>
            </w:r>
          </w:p>
        </w:tc>
        <w:tc>
          <w:tcPr>
            <w:tcW w:w="0" w:type="auto"/>
            <w:shd w:val="clear" w:color="auto" w:fill="E2E2E2"/>
            <w:tcMar>
              <w:top w:w="40" w:type="dxa"/>
              <w:left w:w="0" w:type="dxa"/>
              <w:bottom w:w="40" w:type="dxa"/>
              <w:right w:w="20" w:type="dxa"/>
            </w:tcMar>
            <w:vAlign w:val="bottom"/>
          </w:tcPr>
          <w:p w14:paraId="22CFB054"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055"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056" w14:textId="77777777" w:rsidR="002661BA" w:rsidRDefault="00D972BC">
            <w:pPr>
              <w:jc w:val="right"/>
              <w:textAlignment w:val="bottom"/>
            </w:pPr>
            <w:r>
              <w:rPr>
                <w:rFonts w:ascii="Arial" w:eastAsia="宋体" w:hAnsi="Arial" w:cs="Arial"/>
                <w:color w:val="000000"/>
                <w:sz w:val="18"/>
                <w:szCs w:val="18"/>
              </w:rPr>
              <w:t>2,368 </w:t>
            </w:r>
          </w:p>
        </w:tc>
        <w:tc>
          <w:tcPr>
            <w:tcW w:w="0" w:type="auto"/>
            <w:shd w:val="clear" w:color="auto" w:fill="E2E2E2"/>
            <w:tcMar>
              <w:top w:w="40" w:type="dxa"/>
              <w:left w:w="0" w:type="dxa"/>
              <w:bottom w:w="40" w:type="dxa"/>
              <w:right w:w="20" w:type="dxa"/>
            </w:tcMar>
            <w:vAlign w:val="bottom"/>
          </w:tcPr>
          <w:p w14:paraId="22CFB057" w14:textId="77777777" w:rsidR="002661BA" w:rsidRDefault="002661BA">
            <w:pPr>
              <w:jc w:val="right"/>
              <w:rPr>
                <w:rFonts w:ascii="宋体"/>
              </w:rPr>
            </w:pPr>
          </w:p>
        </w:tc>
      </w:tr>
      <w:tr w:rsidR="002661BA" w14:paraId="22CFB05F" w14:textId="77777777">
        <w:trPr>
          <w:jc w:val="center"/>
        </w:trPr>
        <w:tc>
          <w:tcPr>
            <w:tcW w:w="0" w:type="auto"/>
            <w:gridSpan w:val="3"/>
            <w:shd w:val="clear" w:color="auto" w:fill="FFFFFF"/>
            <w:tcMar>
              <w:top w:w="40" w:type="dxa"/>
              <w:left w:w="20" w:type="dxa"/>
              <w:bottom w:w="40" w:type="dxa"/>
              <w:right w:w="20" w:type="dxa"/>
            </w:tcMar>
            <w:vAlign w:val="bottom"/>
          </w:tcPr>
          <w:p w14:paraId="22CFB059" w14:textId="77777777" w:rsidR="002661BA" w:rsidRDefault="00D972BC">
            <w:pPr>
              <w:textAlignment w:val="bottom"/>
            </w:pPr>
            <w:r>
              <w:rPr>
                <w:rFonts w:ascii="Arial" w:eastAsia="宋体" w:hAnsi="Arial" w:cs="Arial"/>
                <w:color w:val="000000"/>
                <w:sz w:val="18"/>
                <w:szCs w:val="18"/>
              </w:rPr>
              <w:t>Long-term debt</w:t>
            </w:r>
          </w:p>
        </w:tc>
        <w:tc>
          <w:tcPr>
            <w:tcW w:w="0" w:type="auto"/>
            <w:gridSpan w:val="2"/>
            <w:shd w:val="clear" w:color="auto" w:fill="FFFFFF"/>
            <w:tcMar>
              <w:top w:w="40" w:type="dxa"/>
              <w:left w:w="20" w:type="dxa"/>
              <w:bottom w:w="40" w:type="dxa"/>
              <w:right w:w="0" w:type="dxa"/>
            </w:tcMar>
            <w:vAlign w:val="bottom"/>
          </w:tcPr>
          <w:p w14:paraId="22CFB05A" w14:textId="77777777" w:rsidR="002661BA" w:rsidRDefault="00D972BC">
            <w:pPr>
              <w:jc w:val="right"/>
              <w:textAlignment w:val="bottom"/>
            </w:pPr>
            <w:r>
              <w:rPr>
                <w:rFonts w:ascii="Arial" w:eastAsia="宋体" w:hAnsi="Arial" w:cs="Arial"/>
                <w:color w:val="000000"/>
                <w:sz w:val="18"/>
                <w:szCs w:val="18"/>
              </w:rPr>
              <w:t>7,727 </w:t>
            </w:r>
          </w:p>
        </w:tc>
        <w:tc>
          <w:tcPr>
            <w:tcW w:w="0" w:type="auto"/>
            <w:shd w:val="clear" w:color="auto" w:fill="FFFFFF"/>
            <w:tcMar>
              <w:top w:w="40" w:type="dxa"/>
              <w:left w:w="0" w:type="dxa"/>
              <w:bottom w:w="40" w:type="dxa"/>
              <w:right w:w="20" w:type="dxa"/>
            </w:tcMar>
            <w:vAlign w:val="bottom"/>
          </w:tcPr>
          <w:p w14:paraId="22CFB05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05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05D" w14:textId="77777777" w:rsidR="002661BA" w:rsidRDefault="00D972BC">
            <w:pPr>
              <w:jc w:val="right"/>
              <w:textAlignment w:val="bottom"/>
            </w:pPr>
            <w:r>
              <w:rPr>
                <w:rFonts w:ascii="Arial" w:eastAsia="宋体" w:hAnsi="Arial" w:cs="Arial"/>
                <w:color w:val="000000"/>
                <w:sz w:val="18"/>
                <w:szCs w:val="18"/>
              </w:rPr>
              <w:t>7,740 </w:t>
            </w:r>
          </w:p>
        </w:tc>
        <w:tc>
          <w:tcPr>
            <w:tcW w:w="0" w:type="auto"/>
            <w:shd w:val="clear" w:color="auto" w:fill="FFFFFF"/>
            <w:tcMar>
              <w:top w:w="40" w:type="dxa"/>
              <w:left w:w="0" w:type="dxa"/>
              <w:bottom w:w="40" w:type="dxa"/>
              <w:right w:w="20" w:type="dxa"/>
            </w:tcMar>
            <w:vAlign w:val="bottom"/>
          </w:tcPr>
          <w:p w14:paraId="22CFB05E" w14:textId="77777777" w:rsidR="002661BA" w:rsidRDefault="002661BA">
            <w:pPr>
              <w:jc w:val="right"/>
              <w:rPr>
                <w:rFonts w:ascii="宋体"/>
              </w:rPr>
            </w:pPr>
          </w:p>
        </w:tc>
      </w:tr>
      <w:tr w:rsidR="002661BA" w14:paraId="22CFB066" w14:textId="77777777">
        <w:trPr>
          <w:jc w:val="center"/>
        </w:trPr>
        <w:tc>
          <w:tcPr>
            <w:tcW w:w="0" w:type="auto"/>
            <w:gridSpan w:val="3"/>
            <w:shd w:val="clear" w:color="auto" w:fill="E2E2E2"/>
            <w:tcMar>
              <w:top w:w="40" w:type="dxa"/>
              <w:left w:w="20" w:type="dxa"/>
              <w:bottom w:w="40" w:type="dxa"/>
              <w:right w:w="20" w:type="dxa"/>
            </w:tcMar>
            <w:vAlign w:val="bottom"/>
          </w:tcPr>
          <w:p w14:paraId="22CFB060" w14:textId="77777777" w:rsidR="002661BA" w:rsidRDefault="00D972BC">
            <w:pPr>
              <w:textAlignment w:val="bottom"/>
            </w:pPr>
            <w:r>
              <w:rPr>
                <w:rFonts w:ascii="Arial" w:eastAsia="宋体" w:hAnsi="Arial" w:cs="Arial"/>
                <w:color w:val="000000"/>
                <w:sz w:val="18"/>
                <w:szCs w:val="18"/>
              </w:rPr>
              <w:t>Other liabilities</w:t>
            </w:r>
          </w:p>
        </w:tc>
        <w:tc>
          <w:tcPr>
            <w:tcW w:w="0" w:type="auto"/>
            <w:gridSpan w:val="2"/>
            <w:shd w:val="clear" w:color="auto" w:fill="E2E2E2"/>
            <w:tcMar>
              <w:top w:w="40" w:type="dxa"/>
              <w:left w:w="20" w:type="dxa"/>
              <w:bottom w:w="40" w:type="dxa"/>
              <w:right w:w="0" w:type="dxa"/>
            </w:tcMar>
            <w:vAlign w:val="bottom"/>
          </w:tcPr>
          <w:p w14:paraId="22CFB061" w14:textId="77777777" w:rsidR="002661BA" w:rsidRDefault="00D972BC">
            <w:pPr>
              <w:jc w:val="right"/>
              <w:textAlignment w:val="bottom"/>
            </w:pPr>
            <w:r>
              <w:rPr>
                <w:rFonts w:ascii="Arial" w:eastAsia="宋体" w:hAnsi="Arial" w:cs="Arial"/>
                <w:color w:val="000000"/>
                <w:sz w:val="18"/>
                <w:szCs w:val="18"/>
              </w:rPr>
              <w:t>1,183 </w:t>
            </w:r>
          </w:p>
        </w:tc>
        <w:tc>
          <w:tcPr>
            <w:tcW w:w="0" w:type="auto"/>
            <w:shd w:val="clear" w:color="auto" w:fill="E2E2E2"/>
            <w:tcMar>
              <w:top w:w="40" w:type="dxa"/>
              <w:left w:w="0" w:type="dxa"/>
              <w:bottom w:w="40" w:type="dxa"/>
              <w:right w:w="20" w:type="dxa"/>
            </w:tcMar>
            <w:vAlign w:val="bottom"/>
          </w:tcPr>
          <w:p w14:paraId="22CFB06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063"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064" w14:textId="77777777" w:rsidR="002661BA" w:rsidRDefault="00D972BC">
            <w:pPr>
              <w:jc w:val="right"/>
              <w:textAlignment w:val="bottom"/>
            </w:pPr>
            <w:r>
              <w:rPr>
                <w:rFonts w:ascii="Arial" w:eastAsia="宋体" w:hAnsi="Arial" w:cs="Arial"/>
                <w:color w:val="000000"/>
                <w:sz w:val="18"/>
                <w:szCs w:val="18"/>
              </w:rPr>
              <w:t>1,260 </w:t>
            </w:r>
          </w:p>
        </w:tc>
        <w:tc>
          <w:tcPr>
            <w:tcW w:w="0" w:type="auto"/>
            <w:shd w:val="clear" w:color="auto" w:fill="E2E2E2"/>
            <w:tcMar>
              <w:top w:w="40" w:type="dxa"/>
              <w:left w:w="0" w:type="dxa"/>
              <w:bottom w:w="40" w:type="dxa"/>
              <w:right w:w="20" w:type="dxa"/>
            </w:tcMar>
            <w:vAlign w:val="bottom"/>
          </w:tcPr>
          <w:p w14:paraId="22CFB065" w14:textId="77777777" w:rsidR="002661BA" w:rsidRDefault="002661BA">
            <w:pPr>
              <w:jc w:val="right"/>
              <w:rPr>
                <w:rFonts w:ascii="宋体"/>
              </w:rPr>
            </w:pPr>
          </w:p>
        </w:tc>
      </w:tr>
      <w:tr w:rsidR="002661BA" w14:paraId="22CFB06B" w14:textId="77777777">
        <w:trPr>
          <w:jc w:val="center"/>
          <w:hidden/>
        </w:trPr>
        <w:tc>
          <w:tcPr>
            <w:tcW w:w="0" w:type="auto"/>
            <w:gridSpan w:val="3"/>
            <w:shd w:val="clear" w:color="auto" w:fill="auto"/>
            <w:vAlign w:val="bottom"/>
          </w:tcPr>
          <w:p w14:paraId="22CFB067" w14:textId="77777777" w:rsidR="002661BA" w:rsidRDefault="002661BA">
            <w:pPr>
              <w:rPr>
                <w:rFonts w:ascii="宋体"/>
                <w:vanish/>
              </w:rPr>
            </w:pPr>
          </w:p>
        </w:tc>
        <w:tc>
          <w:tcPr>
            <w:tcW w:w="0" w:type="auto"/>
            <w:gridSpan w:val="3"/>
            <w:shd w:val="clear" w:color="auto" w:fill="auto"/>
            <w:vAlign w:val="bottom"/>
          </w:tcPr>
          <w:p w14:paraId="22CFB068" w14:textId="77777777" w:rsidR="002661BA" w:rsidRDefault="002661BA">
            <w:pPr>
              <w:rPr>
                <w:rFonts w:ascii="宋体"/>
                <w:vanish/>
              </w:rPr>
            </w:pPr>
          </w:p>
        </w:tc>
        <w:tc>
          <w:tcPr>
            <w:tcW w:w="0" w:type="auto"/>
            <w:gridSpan w:val="3"/>
            <w:shd w:val="clear" w:color="auto" w:fill="auto"/>
            <w:vAlign w:val="bottom"/>
          </w:tcPr>
          <w:p w14:paraId="22CFB069" w14:textId="77777777" w:rsidR="002661BA" w:rsidRDefault="002661BA">
            <w:pPr>
              <w:rPr>
                <w:rFonts w:ascii="宋体"/>
                <w:vanish/>
              </w:rPr>
            </w:pPr>
          </w:p>
        </w:tc>
        <w:tc>
          <w:tcPr>
            <w:tcW w:w="0" w:type="auto"/>
            <w:gridSpan w:val="3"/>
            <w:shd w:val="clear" w:color="auto" w:fill="auto"/>
            <w:vAlign w:val="bottom"/>
          </w:tcPr>
          <w:p w14:paraId="22CFB06A" w14:textId="77777777" w:rsidR="002661BA" w:rsidRDefault="002661BA">
            <w:pPr>
              <w:rPr>
                <w:rFonts w:ascii="宋体"/>
                <w:vanish/>
              </w:rPr>
            </w:pPr>
          </w:p>
        </w:tc>
      </w:tr>
      <w:tr w:rsidR="002661BA" w14:paraId="22CFB072" w14:textId="77777777">
        <w:trPr>
          <w:jc w:val="center"/>
        </w:trPr>
        <w:tc>
          <w:tcPr>
            <w:tcW w:w="0" w:type="auto"/>
            <w:gridSpan w:val="3"/>
            <w:shd w:val="clear" w:color="auto" w:fill="FFFFFF"/>
            <w:tcMar>
              <w:top w:w="40" w:type="dxa"/>
              <w:left w:w="20" w:type="dxa"/>
              <w:bottom w:w="40" w:type="dxa"/>
              <w:right w:w="20" w:type="dxa"/>
            </w:tcMar>
            <w:vAlign w:val="bottom"/>
          </w:tcPr>
          <w:p w14:paraId="22CFB06C" w14:textId="77777777" w:rsidR="002661BA" w:rsidRDefault="00D972BC">
            <w:pPr>
              <w:textAlignment w:val="bottom"/>
            </w:pPr>
            <w:r>
              <w:rPr>
                <w:rFonts w:ascii="Arial" w:eastAsia="宋体" w:hAnsi="Arial" w:cs="Arial"/>
                <w:color w:val="000000"/>
                <w:sz w:val="18"/>
                <w:szCs w:val="18"/>
              </w:rPr>
              <w:t>Long-term liabilities of discontinued operations</w:t>
            </w:r>
          </w:p>
        </w:tc>
        <w:tc>
          <w:tcPr>
            <w:tcW w:w="0" w:type="auto"/>
            <w:gridSpan w:val="2"/>
            <w:shd w:val="clear" w:color="auto" w:fill="FFFFFF"/>
            <w:tcMar>
              <w:top w:w="40" w:type="dxa"/>
              <w:left w:w="20" w:type="dxa"/>
              <w:bottom w:w="40" w:type="dxa"/>
              <w:right w:w="0" w:type="dxa"/>
            </w:tcMar>
            <w:vAlign w:val="bottom"/>
          </w:tcPr>
          <w:p w14:paraId="22CFB06D"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06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06F"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070" w14:textId="77777777" w:rsidR="002661BA" w:rsidRDefault="00D972BC">
            <w:pPr>
              <w:jc w:val="right"/>
              <w:textAlignment w:val="bottom"/>
            </w:pPr>
            <w:r>
              <w:rPr>
                <w:rFonts w:ascii="Arial" w:eastAsia="宋体" w:hAnsi="Arial" w:cs="Arial"/>
                <w:color w:val="000000"/>
                <w:sz w:val="18"/>
                <w:szCs w:val="18"/>
              </w:rPr>
              <w:t>63 </w:t>
            </w:r>
          </w:p>
        </w:tc>
        <w:tc>
          <w:tcPr>
            <w:tcW w:w="0" w:type="auto"/>
            <w:shd w:val="clear" w:color="auto" w:fill="FFFFFF"/>
            <w:tcMar>
              <w:top w:w="40" w:type="dxa"/>
              <w:left w:w="0" w:type="dxa"/>
              <w:bottom w:w="40" w:type="dxa"/>
              <w:right w:w="20" w:type="dxa"/>
            </w:tcMar>
            <w:vAlign w:val="bottom"/>
          </w:tcPr>
          <w:p w14:paraId="22CFB071" w14:textId="77777777" w:rsidR="002661BA" w:rsidRDefault="002661BA">
            <w:pPr>
              <w:jc w:val="right"/>
              <w:rPr>
                <w:rFonts w:ascii="宋体"/>
              </w:rPr>
            </w:pPr>
          </w:p>
        </w:tc>
      </w:tr>
      <w:tr w:rsidR="002661BA" w14:paraId="22CFB079" w14:textId="77777777">
        <w:trPr>
          <w:jc w:val="center"/>
        </w:trPr>
        <w:tc>
          <w:tcPr>
            <w:tcW w:w="0" w:type="auto"/>
            <w:gridSpan w:val="3"/>
            <w:shd w:val="clear" w:color="auto" w:fill="E2E2E2"/>
            <w:tcMar>
              <w:top w:w="40" w:type="dxa"/>
              <w:left w:w="965" w:type="dxa"/>
              <w:bottom w:w="40" w:type="dxa"/>
              <w:right w:w="20" w:type="dxa"/>
            </w:tcMar>
            <w:vAlign w:val="bottom"/>
          </w:tcPr>
          <w:p w14:paraId="22CFB073" w14:textId="77777777" w:rsidR="002661BA" w:rsidRDefault="00D972BC">
            <w:pPr>
              <w:textAlignment w:val="bottom"/>
            </w:pPr>
            <w:r>
              <w:rPr>
                <w:rFonts w:ascii="Arial" w:eastAsia="宋体" w:hAnsi="Arial" w:cs="Arial"/>
                <w:color w:val="000000"/>
                <w:sz w:val="18"/>
                <w:szCs w:val="18"/>
              </w:rPr>
              <w:t>Total liabilities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074" w14:textId="77777777" w:rsidR="002661BA" w:rsidRDefault="00D972BC">
            <w:pPr>
              <w:jc w:val="right"/>
              <w:textAlignment w:val="bottom"/>
            </w:pPr>
            <w:r>
              <w:rPr>
                <w:rFonts w:ascii="Arial" w:eastAsia="宋体" w:hAnsi="Arial" w:cs="Arial"/>
                <w:color w:val="000000"/>
                <w:sz w:val="18"/>
                <w:szCs w:val="18"/>
              </w:rPr>
              <w:t>16,848 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07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076"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077" w14:textId="77777777" w:rsidR="002661BA" w:rsidRDefault="00D972BC">
            <w:pPr>
              <w:jc w:val="right"/>
              <w:textAlignment w:val="bottom"/>
            </w:pPr>
            <w:r>
              <w:rPr>
                <w:rFonts w:ascii="Arial" w:eastAsia="宋体" w:hAnsi="Arial" w:cs="Arial"/>
                <w:color w:val="000000"/>
                <w:sz w:val="18"/>
                <w:szCs w:val="18"/>
              </w:rPr>
              <w:t>15,749 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078" w14:textId="77777777" w:rsidR="002661BA" w:rsidRDefault="002661BA">
            <w:pPr>
              <w:jc w:val="right"/>
              <w:rPr>
                <w:rFonts w:ascii="宋体"/>
              </w:rPr>
            </w:pPr>
          </w:p>
        </w:tc>
      </w:tr>
      <w:tr w:rsidR="002661BA" w14:paraId="22CFB07E" w14:textId="77777777">
        <w:trPr>
          <w:jc w:val="center"/>
        </w:trPr>
        <w:tc>
          <w:tcPr>
            <w:tcW w:w="0" w:type="auto"/>
            <w:gridSpan w:val="3"/>
            <w:shd w:val="clear" w:color="auto" w:fill="FFFFFF"/>
            <w:tcMar>
              <w:top w:w="40" w:type="dxa"/>
              <w:left w:w="20" w:type="dxa"/>
              <w:bottom w:w="40" w:type="dxa"/>
              <w:right w:w="20" w:type="dxa"/>
            </w:tcMar>
            <w:vAlign w:val="bottom"/>
          </w:tcPr>
          <w:p w14:paraId="22CFB07A" w14:textId="77777777" w:rsidR="002661BA" w:rsidRDefault="00D972BC">
            <w:pPr>
              <w:textAlignment w:val="bottom"/>
            </w:pPr>
            <w:r>
              <w:rPr>
                <w:rFonts w:ascii="Arial" w:eastAsia="宋体" w:hAnsi="Arial" w:cs="Arial"/>
                <w:color w:val="000000"/>
                <w:sz w:val="18"/>
                <w:szCs w:val="18"/>
              </w:rPr>
              <w:t>Commitments and contingencies (Note 12)</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07B"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07C" w14:textId="77777777" w:rsidR="002661BA" w:rsidRDefault="002661B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07D" w14:textId="77777777" w:rsidR="002661BA" w:rsidRDefault="002661BA">
            <w:pPr>
              <w:rPr>
                <w:rFonts w:ascii="宋体"/>
              </w:rPr>
            </w:pPr>
          </w:p>
        </w:tc>
      </w:tr>
      <w:tr w:rsidR="002661BA" w14:paraId="22CFB083" w14:textId="77777777">
        <w:trPr>
          <w:jc w:val="center"/>
        </w:trPr>
        <w:tc>
          <w:tcPr>
            <w:tcW w:w="0" w:type="auto"/>
            <w:gridSpan w:val="3"/>
            <w:shd w:val="clear" w:color="auto" w:fill="E2E2E2"/>
            <w:tcMar>
              <w:top w:w="40" w:type="dxa"/>
              <w:left w:w="20" w:type="dxa"/>
              <w:bottom w:w="40" w:type="dxa"/>
              <w:right w:w="20" w:type="dxa"/>
            </w:tcMar>
            <w:vAlign w:val="bottom"/>
          </w:tcPr>
          <w:p w14:paraId="22CFB07F" w14:textId="77777777" w:rsidR="002661BA" w:rsidRDefault="00D972BC">
            <w:pPr>
              <w:textAlignment w:val="bottom"/>
            </w:pPr>
            <w:r>
              <w:rPr>
                <w:rFonts w:ascii="Arial" w:eastAsia="宋体" w:hAnsi="Arial" w:cs="Arial"/>
                <w:color w:val="000000"/>
                <w:sz w:val="18"/>
                <w:szCs w:val="18"/>
              </w:rPr>
              <w:t>Stockholders’ equity:</w:t>
            </w:r>
          </w:p>
        </w:tc>
        <w:tc>
          <w:tcPr>
            <w:tcW w:w="0" w:type="auto"/>
            <w:gridSpan w:val="3"/>
            <w:shd w:val="clear" w:color="auto" w:fill="E2E2E2"/>
            <w:tcMar>
              <w:top w:w="0" w:type="dxa"/>
              <w:left w:w="20" w:type="dxa"/>
              <w:bottom w:w="0" w:type="dxa"/>
              <w:right w:w="20" w:type="dxa"/>
            </w:tcMar>
            <w:vAlign w:val="bottom"/>
          </w:tcPr>
          <w:p w14:paraId="22CFB080"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B081"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B082" w14:textId="77777777" w:rsidR="002661BA" w:rsidRDefault="002661BA">
            <w:pPr>
              <w:rPr>
                <w:rFonts w:ascii="宋体"/>
              </w:rPr>
            </w:pPr>
          </w:p>
        </w:tc>
      </w:tr>
      <w:tr w:rsidR="002661BA" w14:paraId="22CFB08A" w14:textId="77777777">
        <w:trPr>
          <w:jc w:val="center"/>
        </w:trPr>
        <w:tc>
          <w:tcPr>
            <w:tcW w:w="0" w:type="auto"/>
            <w:gridSpan w:val="3"/>
            <w:shd w:val="clear" w:color="auto" w:fill="FFFFFF"/>
            <w:tcMar>
              <w:top w:w="40" w:type="dxa"/>
              <w:left w:w="20" w:type="dxa"/>
              <w:bottom w:w="40" w:type="dxa"/>
              <w:right w:w="20" w:type="dxa"/>
            </w:tcMar>
            <w:vAlign w:val="bottom"/>
          </w:tcPr>
          <w:p w14:paraId="22CFB084" w14:textId="77777777" w:rsidR="002661BA" w:rsidRDefault="00D972BC">
            <w:pPr>
              <w:textAlignment w:val="bottom"/>
            </w:pPr>
            <w:r>
              <w:rPr>
                <w:rFonts w:ascii="Arial" w:eastAsia="宋体" w:hAnsi="Arial" w:cs="Arial"/>
                <w:color w:val="000000"/>
                <w:sz w:val="18"/>
                <w:szCs w:val="18"/>
              </w:rPr>
              <w:t>Common stock, $0.001 par value; 3,580 shares authorized; 594 and 684 shares outstanding</w:t>
            </w:r>
          </w:p>
        </w:tc>
        <w:tc>
          <w:tcPr>
            <w:tcW w:w="0" w:type="auto"/>
            <w:gridSpan w:val="2"/>
            <w:shd w:val="clear" w:color="auto" w:fill="FFFFFF"/>
            <w:tcMar>
              <w:top w:w="40" w:type="dxa"/>
              <w:left w:w="20" w:type="dxa"/>
              <w:bottom w:w="40" w:type="dxa"/>
              <w:right w:w="0" w:type="dxa"/>
            </w:tcMar>
            <w:vAlign w:val="bottom"/>
          </w:tcPr>
          <w:p w14:paraId="22CFB085" w14:textId="77777777" w:rsidR="002661BA" w:rsidRDefault="00D972BC">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22CFB08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087"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088" w14:textId="77777777" w:rsidR="002661BA" w:rsidRDefault="00D972BC">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22CFB089" w14:textId="77777777" w:rsidR="002661BA" w:rsidRDefault="002661BA">
            <w:pPr>
              <w:jc w:val="right"/>
              <w:rPr>
                <w:rFonts w:ascii="宋体"/>
              </w:rPr>
            </w:pPr>
          </w:p>
        </w:tc>
      </w:tr>
      <w:tr w:rsidR="002661BA" w14:paraId="22CFB091" w14:textId="77777777">
        <w:trPr>
          <w:jc w:val="center"/>
        </w:trPr>
        <w:tc>
          <w:tcPr>
            <w:tcW w:w="0" w:type="auto"/>
            <w:gridSpan w:val="3"/>
            <w:shd w:val="clear" w:color="auto" w:fill="E2E2E2"/>
            <w:tcMar>
              <w:top w:w="40" w:type="dxa"/>
              <w:left w:w="20" w:type="dxa"/>
              <w:bottom w:w="40" w:type="dxa"/>
              <w:right w:w="20" w:type="dxa"/>
            </w:tcMar>
            <w:vAlign w:val="bottom"/>
          </w:tcPr>
          <w:p w14:paraId="22CFB08B" w14:textId="77777777" w:rsidR="002661BA" w:rsidRDefault="00D972BC">
            <w:pPr>
              <w:textAlignment w:val="bottom"/>
            </w:pPr>
            <w:r>
              <w:rPr>
                <w:rFonts w:ascii="Arial" w:eastAsia="宋体" w:hAnsi="Arial" w:cs="Arial"/>
                <w:color w:val="000000"/>
                <w:sz w:val="18"/>
                <w:szCs w:val="18"/>
              </w:rPr>
              <w:t>Additional paid-in capital</w:t>
            </w:r>
          </w:p>
        </w:tc>
        <w:tc>
          <w:tcPr>
            <w:tcW w:w="0" w:type="auto"/>
            <w:gridSpan w:val="2"/>
            <w:shd w:val="clear" w:color="auto" w:fill="E2E2E2"/>
            <w:tcMar>
              <w:top w:w="40" w:type="dxa"/>
              <w:left w:w="20" w:type="dxa"/>
              <w:bottom w:w="40" w:type="dxa"/>
              <w:right w:w="0" w:type="dxa"/>
            </w:tcMar>
            <w:vAlign w:val="bottom"/>
          </w:tcPr>
          <w:p w14:paraId="22CFB08C" w14:textId="77777777" w:rsidR="002661BA" w:rsidRDefault="00D972BC">
            <w:pPr>
              <w:jc w:val="right"/>
              <w:textAlignment w:val="bottom"/>
            </w:pPr>
            <w:r>
              <w:rPr>
                <w:rFonts w:ascii="Arial" w:eastAsia="宋体" w:hAnsi="Arial" w:cs="Arial"/>
                <w:color w:val="000000"/>
                <w:sz w:val="18"/>
                <w:szCs w:val="18"/>
              </w:rPr>
              <w:t>16,659 </w:t>
            </w:r>
          </w:p>
        </w:tc>
        <w:tc>
          <w:tcPr>
            <w:tcW w:w="0" w:type="auto"/>
            <w:shd w:val="clear" w:color="auto" w:fill="E2E2E2"/>
            <w:tcMar>
              <w:top w:w="40" w:type="dxa"/>
              <w:left w:w="0" w:type="dxa"/>
              <w:bottom w:w="40" w:type="dxa"/>
              <w:right w:w="20" w:type="dxa"/>
            </w:tcMar>
            <w:vAlign w:val="bottom"/>
          </w:tcPr>
          <w:p w14:paraId="22CFB08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08E"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08F" w14:textId="77777777" w:rsidR="002661BA" w:rsidRDefault="00D972BC">
            <w:pPr>
              <w:jc w:val="right"/>
              <w:textAlignment w:val="bottom"/>
            </w:pPr>
            <w:r>
              <w:rPr>
                <w:rFonts w:ascii="Arial" w:eastAsia="宋体" w:hAnsi="Arial" w:cs="Arial"/>
                <w:color w:val="000000"/>
                <w:sz w:val="18"/>
                <w:szCs w:val="18"/>
              </w:rPr>
              <w:t>16,497 </w:t>
            </w:r>
          </w:p>
        </w:tc>
        <w:tc>
          <w:tcPr>
            <w:tcW w:w="0" w:type="auto"/>
            <w:shd w:val="clear" w:color="auto" w:fill="E2E2E2"/>
            <w:tcMar>
              <w:top w:w="40" w:type="dxa"/>
              <w:left w:w="0" w:type="dxa"/>
              <w:bottom w:w="40" w:type="dxa"/>
              <w:right w:w="20" w:type="dxa"/>
            </w:tcMar>
            <w:vAlign w:val="bottom"/>
          </w:tcPr>
          <w:p w14:paraId="22CFB090" w14:textId="77777777" w:rsidR="002661BA" w:rsidRDefault="002661BA">
            <w:pPr>
              <w:jc w:val="right"/>
              <w:rPr>
                <w:rFonts w:ascii="宋体"/>
              </w:rPr>
            </w:pPr>
          </w:p>
        </w:tc>
      </w:tr>
      <w:tr w:rsidR="002661BA" w14:paraId="22CFB098" w14:textId="77777777">
        <w:trPr>
          <w:jc w:val="center"/>
        </w:trPr>
        <w:tc>
          <w:tcPr>
            <w:tcW w:w="0" w:type="auto"/>
            <w:gridSpan w:val="3"/>
            <w:shd w:val="clear" w:color="auto" w:fill="FFFFFF"/>
            <w:tcMar>
              <w:top w:w="40" w:type="dxa"/>
              <w:left w:w="20" w:type="dxa"/>
              <w:bottom w:w="40" w:type="dxa"/>
              <w:right w:w="20" w:type="dxa"/>
            </w:tcMar>
            <w:vAlign w:val="bottom"/>
          </w:tcPr>
          <w:p w14:paraId="22CFB092" w14:textId="77777777" w:rsidR="002661BA" w:rsidRDefault="00D972BC">
            <w:pPr>
              <w:textAlignment w:val="bottom"/>
            </w:pPr>
            <w:r>
              <w:rPr>
                <w:rFonts w:ascii="Arial" w:eastAsia="宋体" w:hAnsi="Arial" w:cs="Arial"/>
                <w:color w:val="000000"/>
                <w:sz w:val="18"/>
                <w:szCs w:val="18"/>
              </w:rPr>
              <w:t xml:space="preserve">Treasury stock at cost, </w:t>
            </w:r>
            <w:r>
              <w:rPr>
                <w:rFonts w:ascii="Arial" w:eastAsia="宋体" w:hAnsi="Arial" w:cs="Arial"/>
                <w:color w:val="000000"/>
                <w:sz w:val="18"/>
                <w:szCs w:val="18"/>
              </w:rPr>
              <w:t>1,121 and 1,021 shares</w:t>
            </w:r>
          </w:p>
        </w:tc>
        <w:tc>
          <w:tcPr>
            <w:tcW w:w="0" w:type="auto"/>
            <w:gridSpan w:val="2"/>
            <w:shd w:val="clear" w:color="auto" w:fill="FFFFFF"/>
            <w:tcMar>
              <w:top w:w="40" w:type="dxa"/>
              <w:left w:w="20" w:type="dxa"/>
              <w:bottom w:w="40" w:type="dxa"/>
              <w:right w:w="0" w:type="dxa"/>
            </w:tcMar>
            <w:vAlign w:val="bottom"/>
          </w:tcPr>
          <w:p w14:paraId="22CFB093" w14:textId="77777777" w:rsidR="002661BA" w:rsidRDefault="00D972BC">
            <w:pPr>
              <w:jc w:val="right"/>
              <w:textAlignment w:val="bottom"/>
            </w:pPr>
            <w:r>
              <w:rPr>
                <w:rFonts w:ascii="Arial" w:eastAsia="宋体" w:hAnsi="Arial" w:cs="Arial"/>
                <w:color w:val="000000"/>
                <w:sz w:val="18"/>
                <w:szCs w:val="18"/>
              </w:rPr>
              <w:t>(43,371)</w:t>
            </w:r>
          </w:p>
        </w:tc>
        <w:tc>
          <w:tcPr>
            <w:tcW w:w="0" w:type="auto"/>
            <w:shd w:val="clear" w:color="auto" w:fill="FFFFFF"/>
            <w:tcMar>
              <w:top w:w="40" w:type="dxa"/>
              <w:left w:w="0" w:type="dxa"/>
              <w:bottom w:w="40" w:type="dxa"/>
              <w:right w:w="20" w:type="dxa"/>
            </w:tcMar>
            <w:vAlign w:val="bottom"/>
          </w:tcPr>
          <w:p w14:paraId="22CFB09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095"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096" w14:textId="77777777" w:rsidR="002661BA" w:rsidRDefault="00D972BC">
            <w:pPr>
              <w:jc w:val="right"/>
              <w:textAlignment w:val="bottom"/>
            </w:pPr>
            <w:r>
              <w:rPr>
                <w:rFonts w:ascii="Arial" w:eastAsia="宋体" w:hAnsi="Arial" w:cs="Arial"/>
                <w:color w:val="000000"/>
                <w:sz w:val="18"/>
                <w:szCs w:val="18"/>
              </w:rPr>
              <w:t>(36,515)</w:t>
            </w:r>
          </w:p>
        </w:tc>
        <w:tc>
          <w:tcPr>
            <w:tcW w:w="0" w:type="auto"/>
            <w:shd w:val="clear" w:color="auto" w:fill="FFFFFF"/>
            <w:tcMar>
              <w:top w:w="40" w:type="dxa"/>
              <w:left w:w="0" w:type="dxa"/>
              <w:bottom w:w="40" w:type="dxa"/>
              <w:right w:w="20" w:type="dxa"/>
            </w:tcMar>
            <w:vAlign w:val="bottom"/>
          </w:tcPr>
          <w:p w14:paraId="22CFB097" w14:textId="77777777" w:rsidR="002661BA" w:rsidRDefault="002661BA">
            <w:pPr>
              <w:jc w:val="right"/>
              <w:rPr>
                <w:rFonts w:ascii="宋体"/>
              </w:rPr>
            </w:pPr>
          </w:p>
        </w:tc>
      </w:tr>
      <w:tr w:rsidR="002661BA" w14:paraId="22CFB09F" w14:textId="77777777">
        <w:trPr>
          <w:jc w:val="center"/>
        </w:trPr>
        <w:tc>
          <w:tcPr>
            <w:tcW w:w="0" w:type="auto"/>
            <w:gridSpan w:val="3"/>
            <w:shd w:val="clear" w:color="auto" w:fill="E2E2E2"/>
            <w:tcMar>
              <w:top w:w="40" w:type="dxa"/>
              <w:left w:w="20" w:type="dxa"/>
              <w:bottom w:w="40" w:type="dxa"/>
              <w:right w:w="20" w:type="dxa"/>
            </w:tcMar>
            <w:vAlign w:val="bottom"/>
          </w:tcPr>
          <w:p w14:paraId="22CFB099" w14:textId="77777777" w:rsidR="002661BA" w:rsidRDefault="00D972BC">
            <w:pPr>
              <w:textAlignment w:val="bottom"/>
            </w:pPr>
            <w:r>
              <w:rPr>
                <w:rFonts w:ascii="Arial" w:eastAsia="宋体" w:hAnsi="Arial" w:cs="Arial"/>
                <w:color w:val="000000"/>
                <w:sz w:val="18"/>
                <w:szCs w:val="18"/>
              </w:rPr>
              <w:t>Retained earnings</w:t>
            </w:r>
          </w:p>
        </w:tc>
        <w:tc>
          <w:tcPr>
            <w:tcW w:w="0" w:type="auto"/>
            <w:gridSpan w:val="2"/>
            <w:shd w:val="clear" w:color="auto" w:fill="E2E2E2"/>
            <w:tcMar>
              <w:top w:w="40" w:type="dxa"/>
              <w:left w:w="20" w:type="dxa"/>
              <w:bottom w:w="40" w:type="dxa"/>
              <w:right w:w="0" w:type="dxa"/>
            </w:tcMar>
            <w:vAlign w:val="bottom"/>
          </w:tcPr>
          <w:p w14:paraId="22CFB09A" w14:textId="77777777" w:rsidR="002661BA" w:rsidRDefault="00D972BC">
            <w:pPr>
              <w:jc w:val="right"/>
              <w:textAlignment w:val="bottom"/>
            </w:pPr>
            <w:r>
              <w:rPr>
                <w:rFonts w:ascii="Arial" w:eastAsia="宋体" w:hAnsi="Arial" w:cs="Arial"/>
                <w:color w:val="000000"/>
                <w:sz w:val="18"/>
                <w:szCs w:val="18"/>
              </w:rPr>
              <w:t>36,090 </w:t>
            </w:r>
          </w:p>
        </w:tc>
        <w:tc>
          <w:tcPr>
            <w:tcW w:w="0" w:type="auto"/>
            <w:shd w:val="clear" w:color="auto" w:fill="E2E2E2"/>
            <w:tcMar>
              <w:top w:w="40" w:type="dxa"/>
              <w:left w:w="0" w:type="dxa"/>
              <w:bottom w:w="40" w:type="dxa"/>
              <w:right w:w="20" w:type="dxa"/>
            </w:tcMar>
            <w:vAlign w:val="bottom"/>
          </w:tcPr>
          <w:p w14:paraId="22CFB09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09C"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09D" w14:textId="77777777" w:rsidR="002661BA" w:rsidRDefault="00D972BC">
            <w:pPr>
              <w:jc w:val="right"/>
              <w:textAlignment w:val="bottom"/>
            </w:pPr>
            <w:r>
              <w:rPr>
                <w:rFonts w:ascii="Arial" w:eastAsia="宋体" w:hAnsi="Arial" w:cs="Arial"/>
                <w:color w:val="000000"/>
                <w:sz w:val="18"/>
                <w:szCs w:val="18"/>
              </w:rPr>
              <w:t>22,961 </w:t>
            </w:r>
          </w:p>
        </w:tc>
        <w:tc>
          <w:tcPr>
            <w:tcW w:w="0" w:type="auto"/>
            <w:shd w:val="clear" w:color="auto" w:fill="E2E2E2"/>
            <w:tcMar>
              <w:top w:w="40" w:type="dxa"/>
              <w:left w:w="0" w:type="dxa"/>
              <w:bottom w:w="40" w:type="dxa"/>
              <w:right w:w="20" w:type="dxa"/>
            </w:tcMar>
            <w:vAlign w:val="bottom"/>
          </w:tcPr>
          <w:p w14:paraId="22CFB09E" w14:textId="77777777" w:rsidR="002661BA" w:rsidRDefault="002661BA">
            <w:pPr>
              <w:jc w:val="right"/>
              <w:rPr>
                <w:rFonts w:ascii="宋体"/>
              </w:rPr>
            </w:pPr>
          </w:p>
        </w:tc>
      </w:tr>
      <w:tr w:rsidR="002661BA" w14:paraId="22CFB0A6" w14:textId="77777777">
        <w:trPr>
          <w:jc w:val="center"/>
        </w:trPr>
        <w:tc>
          <w:tcPr>
            <w:tcW w:w="0" w:type="auto"/>
            <w:gridSpan w:val="3"/>
            <w:shd w:val="clear" w:color="auto" w:fill="FFFFFF"/>
            <w:tcMar>
              <w:top w:w="40" w:type="dxa"/>
              <w:left w:w="20" w:type="dxa"/>
              <w:bottom w:w="40" w:type="dxa"/>
              <w:right w:w="20" w:type="dxa"/>
            </w:tcMar>
            <w:vAlign w:val="bottom"/>
          </w:tcPr>
          <w:p w14:paraId="22CFB0A0" w14:textId="77777777" w:rsidR="002661BA" w:rsidRDefault="00D972BC">
            <w:pPr>
              <w:textAlignment w:val="bottom"/>
            </w:pPr>
            <w:r>
              <w:rPr>
                <w:rFonts w:ascii="Arial" w:eastAsia="宋体" w:hAnsi="Arial" w:cs="Arial"/>
                <w:color w:val="000000"/>
                <w:sz w:val="18"/>
                <w:szCs w:val="18"/>
              </w:rPr>
              <w:t>Accumulated other comprehensive income</w:t>
            </w:r>
          </w:p>
        </w:tc>
        <w:tc>
          <w:tcPr>
            <w:tcW w:w="0" w:type="auto"/>
            <w:gridSpan w:val="2"/>
            <w:shd w:val="clear" w:color="auto" w:fill="FFFFFF"/>
            <w:tcMar>
              <w:top w:w="40" w:type="dxa"/>
              <w:left w:w="20" w:type="dxa"/>
              <w:bottom w:w="40" w:type="dxa"/>
              <w:right w:w="0" w:type="dxa"/>
            </w:tcMar>
            <w:vAlign w:val="bottom"/>
          </w:tcPr>
          <w:p w14:paraId="22CFB0A1" w14:textId="77777777" w:rsidR="002661BA" w:rsidRDefault="00D972BC">
            <w:pPr>
              <w:jc w:val="right"/>
              <w:textAlignment w:val="bottom"/>
            </w:pPr>
            <w:r>
              <w:rPr>
                <w:rFonts w:ascii="Arial" w:eastAsia="宋体" w:hAnsi="Arial" w:cs="Arial"/>
                <w:color w:val="000000"/>
                <w:sz w:val="18"/>
                <w:szCs w:val="18"/>
              </w:rPr>
              <w:t>398 </w:t>
            </w:r>
          </w:p>
        </w:tc>
        <w:tc>
          <w:tcPr>
            <w:tcW w:w="0" w:type="auto"/>
            <w:shd w:val="clear" w:color="auto" w:fill="FFFFFF"/>
            <w:tcMar>
              <w:top w:w="40" w:type="dxa"/>
              <w:left w:w="0" w:type="dxa"/>
              <w:bottom w:w="40" w:type="dxa"/>
              <w:right w:w="20" w:type="dxa"/>
            </w:tcMar>
            <w:vAlign w:val="bottom"/>
          </w:tcPr>
          <w:p w14:paraId="22CFB0A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0A3"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0A4" w14:textId="77777777" w:rsidR="002661BA" w:rsidRDefault="00D972BC">
            <w:pPr>
              <w:jc w:val="right"/>
              <w:textAlignment w:val="bottom"/>
            </w:pPr>
            <w:r>
              <w:rPr>
                <w:rFonts w:ascii="Arial" w:eastAsia="宋体" w:hAnsi="Arial" w:cs="Arial"/>
                <w:color w:val="000000"/>
                <w:sz w:val="18"/>
                <w:szCs w:val="18"/>
              </w:rPr>
              <w:t>616 </w:t>
            </w:r>
          </w:p>
        </w:tc>
        <w:tc>
          <w:tcPr>
            <w:tcW w:w="0" w:type="auto"/>
            <w:shd w:val="clear" w:color="auto" w:fill="FFFFFF"/>
            <w:tcMar>
              <w:top w:w="40" w:type="dxa"/>
              <w:left w:w="0" w:type="dxa"/>
              <w:bottom w:w="40" w:type="dxa"/>
              <w:right w:w="20" w:type="dxa"/>
            </w:tcMar>
            <w:vAlign w:val="bottom"/>
          </w:tcPr>
          <w:p w14:paraId="22CFB0A5" w14:textId="77777777" w:rsidR="002661BA" w:rsidRDefault="002661BA">
            <w:pPr>
              <w:jc w:val="right"/>
              <w:rPr>
                <w:rFonts w:ascii="宋体"/>
              </w:rPr>
            </w:pPr>
          </w:p>
        </w:tc>
      </w:tr>
      <w:tr w:rsidR="002661BA" w14:paraId="22CFB0AD" w14:textId="77777777">
        <w:trPr>
          <w:jc w:val="center"/>
        </w:trPr>
        <w:tc>
          <w:tcPr>
            <w:tcW w:w="0" w:type="auto"/>
            <w:gridSpan w:val="3"/>
            <w:shd w:val="clear" w:color="auto" w:fill="E2E2E2"/>
            <w:tcMar>
              <w:top w:w="40" w:type="dxa"/>
              <w:left w:w="965" w:type="dxa"/>
              <w:bottom w:w="40" w:type="dxa"/>
              <w:right w:w="20" w:type="dxa"/>
            </w:tcMar>
            <w:vAlign w:val="bottom"/>
          </w:tcPr>
          <w:p w14:paraId="22CFB0A7" w14:textId="77777777" w:rsidR="002661BA" w:rsidRDefault="00D972BC">
            <w:pPr>
              <w:textAlignment w:val="bottom"/>
            </w:pPr>
            <w:r>
              <w:rPr>
                <w:rFonts w:ascii="Arial" w:eastAsia="宋体" w:hAnsi="Arial" w:cs="Arial"/>
                <w:color w:val="000000"/>
                <w:sz w:val="18"/>
                <w:szCs w:val="18"/>
              </w:rPr>
              <w:t>Total stockholders’ equity</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0A8" w14:textId="77777777" w:rsidR="002661BA" w:rsidRDefault="00D972BC">
            <w:pPr>
              <w:jc w:val="right"/>
              <w:textAlignment w:val="bottom"/>
            </w:pPr>
            <w:r>
              <w:rPr>
                <w:rFonts w:ascii="Arial" w:eastAsia="宋体" w:hAnsi="Arial" w:cs="Arial"/>
                <w:color w:val="000000"/>
                <w:sz w:val="18"/>
                <w:szCs w:val="18"/>
              </w:rPr>
              <w:t>9,778 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0A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0AA"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0AB" w14:textId="77777777" w:rsidR="002661BA" w:rsidRDefault="00D972BC">
            <w:pPr>
              <w:jc w:val="right"/>
              <w:textAlignment w:val="bottom"/>
            </w:pPr>
            <w:r>
              <w:rPr>
                <w:rFonts w:ascii="Arial" w:eastAsia="宋体" w:hAnsi="Arial" w:cs="Arial"/>
                <w:color w:val="000000"/>
                <w:sz w:val="18"/>
                <w:szCs w:val="18"/>
              </w:rPr>
              <w:t>3,561 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0AC" w14:textId="77777777" w:rsidR="002661BA" w:rsidRDefault="002661BA">
            <w:pPr>
              <w:jc w:val="right"/>
              <w:rPr>
                <w:rFonts w:ascii="宋体"/>
              </w:rPr>
            </w:pPr>
          </w:p>
        </w:tc>
      </w:tr>
      <w:tr w:rsidR="002661BA" w14:paraId="22CFB0B6" w14:textId="77777777">
        <w:trPr>
          <w:jc w:val="center"/>
        </w:trPr>
        <w:tc>
          <w:tcPr>
            <w:tcW w:w="0" w:type="auto"/>
            <w:gridSpan w:val="3"/>
            <w:shd w:val="clear" w:color="auto" w:fill="FFFFFF"/>
            <w:tcMar>
              <w:top w:w="40" w:type="dxa"/>
              <w:left w:w="965" w:type="dxa"/>
              <w:bottom w:w="40" w:type="dxa"/>
              <w:right w:w="20" w:type="dxa"/>
            </w:tcMar>
            <w:vAlign w:val="bottom"/>
          </w:tcPr>
          <w:p w14:paraId="22CFB0AE" w14:textId="77777777" w:rsidR="002661BA" w:rsidRDefault="00D972BC">
            <w:pPr>
              <w:textAlignment w:val="bottom"/>
            </w:pPr>
            <w:r>
              <w:rPr>
                <w:rFonts w:ascii="Arial" w:eastAsia="宋体" w:hAnsi="Arial" w:cs="Arial"/>
                <w:color w:val="000000"/>
                <w:sz w:val="18"/>
                <w:szCs w:val="18"/>
              </w:rPr>
              <w:t>Total liabilities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B0A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B0B0" w14:textId="77777777" w:rsidR="002661BA" w:rsidRDefault="00D972BC">
            <w:pPr>
              <w:jc w:val="right"/>
              <w:textAlignment w:val="bottom"/>
            </w:pPr>
            <w:r>
              <w:rPr>
                <w:rFonts w:ascii="Arial" w:eastAsia="宋体" w:hAnsi="Arial" w:cs="Arial"/>
                <w:color w:val="000000"/>
                <w:sz w:val="18"/>
                <w:szCs w:val="18"/>
              </w:rPr>
              <w:t>26,626 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B0B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0B2"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B0B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B0B4" w14:textId="77777777" w:rsidR="002661BA" w:rsidRDefault="00D972BC">
            <w:pPr>
              <w:jc w:val="right"/>
              <w:textAlignment w:val="bottom"/>
            </w:pPr>
            <w:r>
              <w:rPr>
                <w:rFonts w:ascii="Arial" w:eastAsia="宋体" w:hAnsi="Arial" w:cs="Arial"/>
                <w:color w:val="000000"/>
                <w:sz w:val="18"/>
                <w:szCs w:val="18"/>
              </w:rPr>
              <w:t>19,310 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B0B5" w14:textId="77777777" w:rsidR="002661BA" w:rsidRDefault="002661BA">
            <w:pPr>
              <w:jc w:val="right"/>
              <w:rPr>
                <w:rFonts w:ascii="宋体"/>
              </w:rPr>
            </w:pPr>
          </w:p>
        </w:tc>
      </w:tr>
    </w:tbl>
    <w:p w14:paraId="22CFB0B7" w14:textId="77777777" w:rsidR="002661BA" w:rsidRDefault="00D972BC">
      <w:pPr>
        <w:spacing w:before="120"/>
        <w:jc w:val="center"/>
      </w:pPr>
      <w:r>
        <w:rPr>
          <w:rFonts w:ascii="Arial" w:eastAsia="宋体" w:hAnsi="Arial" w:cs="Arial"/>
          <w:color w:val="000000"/>
          <w:sz w:val="18"/>
          <w:szCs w:val="18"/>
        </w:rPr>
        <w:t xml:space="preserve">The accompanying notes are an integral part of these consolidated financial statements. </w:t>
      </w:r>
    </w:p>
    <w:p w14:paraId="22CFB0B8" w14:textId="77777777" w:rsidR="002661BA" w:rsidRDefault="00D972BC">
      <w:pPr>
        <w:jc w:val="center"/>
      </w:pPr>
      <w:r>
        <w:rPr>
          <w:rFonts w:ascii="Arial" w:eastAsia="宋体" w:hAnsi="Arial" w:cs="Arial"/>
          <w:color w:val="000000"/>
          <w:sz w:val="18"/>
          <w:szCs w:val="18"/>
        </w:rPr>
        <w:t>57</w:t>
      </w:r>
    </w:p>
    <w:p w14:paraId="22CFB0B9" w14:textId="77777777" w:rsidR="002661BA" w:rsidRDefault="00D972BC">
      <w:r>
        <w:pict w14:anchorId="22CFE4EA">
          <v:rect id="_x0000_i1081" style="width:415.3pt;height:1.5pt" o:hralign="center" o:hrstd="t" o:hr="t" fillcolor="#a0a0a0" stroked="f"/>
        </w:pict>
      </w:r>
    </w:p>
    <w:p w14:paraId="22CFB0BA" w14:textId="77777777" w:rsidR="002661BA" w:rsidRDefault="00D972BC">
      <w:hyperlink r:id="rId92" w:anchor="id0d7a71b05ce452ea9fdb54f3cb359c7_7" w:history="1">
        <w:r>
          <w:rPr>
            <w:rStyle w:val="a5"/>
            <w:rFonts w:ascii="Arial" w:eastAsia="宋体" w:hAnsi="Arial" w:cs="Arial"/>
            <w:sz w:val="18"/>
            <w:szCs w:val="18"/>
          </w:rPr>
          <w:t>Table of Contents</w:t>
        </w:r>
      </w:hyperlink>
    </w:p>
    <w:p w14:paraId="22CFB0BB" w14:textId="77777777" w:rsidR="002661BA" w:rsidRDefault="00D972BC">
      <w:pPr>
        <w:jc w:val="center"/>
      </w:pPr>
      <w:r>
        <w:rPr>
          <w:rFonts w:ascii="Arial" w:eastAsia="宋体" w:hAnsi="Arial" w:cs="Arial"/>
          <w:b/>
          <w:bCs/>
          <w:color w:val="000000"/>
          <w:sz w:val="20"/>
          <w:szCs w:val="20"/>
        </w:rPr>
        <w:t xml:space="preserve">eBay Inc. </w:t>
      </w:r>
    </w:p>
    <w:p w14:paraId="22CFB0BC" w14:textId="77777777" w:rsidR="002661BA" w:rsidRDefault="00D972BC">
      <w:pPr>
        <w:spacing w:before="80" w:after="120"/>
        <w:jc w:val="center"/>
      </w:pPr>
      <w:r>
        <w:rPr>
          <w:rFonts w:ascii="Arial" w:eastAsia="宋体" w:hAnsi="Arial" w:cs="Arial"/>
          <w:b/>
          <w:bCs/>
          <w:color w:val="000000"/>
          <w:sz w:val="20"/>
          <w:szCs w:val="20"/>
        </w:rPr>
        <w:t xml:space="preserve">CONSOLIDATED STATEMENT OF INCOME </w:t>
      </w:r>
    </w:p>
    <w:tbl>
      <w:tblPr>
        <w:tblW w:w="4978" w:type="pct"/>
        <w:tblCellMar>
          <w:top w:w="15" w:type="dxa"/>
          <w:left w:w="15" w:type="dxa"/>
          <w:bottom w:w="15" w:type="dxa"/>
          <w:right w:w="15" w:type="dxa"/>
        </w:tblCellMar>
        <w:tblLook w:val="04A0" w:firstRow="1" w:lastRow="0" w:firstColumn="1" w:lastColumn="0" w:noHBand="0" w:noVBand="1"/>
      </w:tblPr>
      <w:tblGrid>
        <w:gridCol w:w="40"/>
        <w:gridCol w:w="4836"/>
        <w:gridCol w:w="39"/>
        <w:gridCol w:w="121"/>
        <w:gridCol w:w="899"/>
        <w:gridCol w:w="36"/>
        <w:gridCol w:w="36"/>
        <w:gridCol w:w="36"/>
        <w:gridCol w:w="36"/>
        <w:gridCol w:w="121"/>
        <w:gridCol w:w="899"/>
        <w:gridCol w:w="36"/>
        <w:gridCol w:w="36"/>
        <w:gridCol w:w="36"/>
        <w:gridCol w:w="36"/>
        <w:gridCol w:w="121"/>
        <w:gridCol w:w="899"/>
        <w:gridCol w:w="36"/>
      </w:tblGrid>
      <w:tr w:rsidR="002661BA" w14:paraId="22CFB0CF" w14:textId="77777777">
        <w:tc>
          <w:tcPr>
            <w:tcW w:w="50" w:type="pct"/>
            <w:shd w:val="clear" w:color="auto" w:fill="auto"/>
            <w:vAlign w:val="bottom"/>
          </w:tcPr>
          <w:p w14:paraId="22CFB0BD" w14:textId="77777777" w:rsidR="002661BA" w:rsidRDefault="002661BA">
            <w:pPr>
              <w:rPr>
                <w:rFonts w:ascii="宋体"/>
              </w:rPr>
            </w:pPr>
          </w:p>
        </w:tc>
        <w:tc>
          <w:tcPr>
            <w:tcW w:w="2969" w:type="pct"/>
            <w:shd w:val="clear" w:color="auto" w:fill="auto"/>
            <w:vAlign w:val="bottom"/>
          </w:tcPr>
          <w:p w14:paraId="22CFB0BE" w14:textId="77777777" w:rsidR="002661BA" w:rsidRDefault="002661BA">
            <w:pPr>
              <w:rPr>
                <w:rFonts w:ascii="宋体"/>
              </w:rPr>
            </w:pPr>
          </w:p>
        </w:tc>
        <w:tc>
          <w:tcPr>
            <w:tcW w:w="5" w:type="pct"/>
            <w:shd w:val="clear" w:color="auto" w:fill="auto"/>
            <w:vAlign w:val="bottom"/>
          </w:tcPr>
          <w:p w14:paraId="22CFB0BF" w14:textId="77777777" w:rsidR="002661BA" w:rsidRDefault="002661BA">
            <w:pPr>
              <w:rPr>
                <w:rFonts w:ascii="宋体"/>
              </w:rPr>
            </w:pPr>
          </w:p>
        </w:tc>
        <w:tc>
          <w:tcPr>
            <w:tcW w:w="50" w:type="pct"/>
            <w:shd w:val="clear" w:color="auto" w:fill="auto"/>
            <w:vAlign w:val="bottom"/>
          </w:tcPr>
          <w:p w14:paraId="22CFB0C0" w14:textId="77777777" w:rsidR="002661BA" w:rsidRDefault="002661BA">
            <w:pPr>
              <w:rPr>
                <w:rFonts w:ascii="宋体"/>
              </w:rPr>
            </w:pPr>
          </w:p>
        </w:tc>
        <w:tc>
          <w:tcPr>
            <w:tcW w:w="583" w:type="pct"/>
            <w:shd w:val="clear" w:color="auto" w:fill="auto"/>
            <w:vAlign w:val="bottom"/>
          </w:tcPr>
          <w:p w14:paraId="22CFB0C1" w14:textId="77777777" w:rsidR="002661BA" w:rsidRDefault="002661BA">
            <w:pPr>
              <w:rPr>
                <w:rFonts w:ascii="宋体"/>
              </w:rPr>
            </w:pPr>
          </w:p>
        </w:tc>
        <w:tc>
          <w:tcPr>
            <w:tcW w:w="5" w:type="pct"/>
            <w:shd w:val="clear" w:color="auto" w:fill="auto"/>
            <w:vAlign w:val="bottom"/>
          </w:tcPr>
          <w:p w14:paraId="22CFB0C2" w14:textId="77777777" w:rsidR="002661BA" w:rsidRDefault="002661BA">
            <w:pPr>
              <w:rPr>
                <w:rFonts w:ascii="宋体"/>
              </w:rPr>
            </w:pPr>
          </w:p>
        </w:tc>
        <w:tc>
          <w:tcPr>
            <w:tcW w:w="5" w:type="pct"/>
            <w:shd w:val="clear" w:color="auto" w:fill="auto"/>
            <w:vAlign w:val="bottom"/>
          </w:tcPr>
          <w:p w14:paraId="22CFB0C3" w14:textId="77777777" w:rsidR="002661BA" w:rsidRDefault="002661BA">
            <w:pPr>
              <w:rPr>
                <w:rFonts w:ascii="宋体"/>
              </w:rPr>
            </w:pPr>
          </w:p>
        </w:tc>
        <w:tc>
          <w:tcPr>
            <w:tcW w:w="19" w:type="pct"/>
            <w:shd w:val="clear" w:color="auto" w:fill="auto"/>
            <w:vAlign w:val="bottom"/>
          </w:tcPr>
          <w:p w14:paraId="22CFB0C4" w14:textId="77777777" w:rsidR="002661BA" w:rsidRDefault="002661BA">
            <w:pPr>
              <w:rPr>
                <w:rFonts w:ascii="宋体"/>
              </w:rPr>
            </w:pPr>
          </w:p>
        </w:tc>
        <w:tc>
          <w:tcPr>
            <w:tcW w:w="5" w:type="pct"/>
            <w:shd w:val="clear" w:color="auto" w:fill="auto"/>
            <w:vAlign w:val="bottom"/>
          </w:tcPr>
          <w:p w14:paraId="22CFB0C5" w14:textId="77777777" w:rsidR="002661BA" w:rsidRDefault="002661BA">
            <w:pPr>
              <w:rPr>
                <w:rFonts w:ascii="宋体"/>
              </w:rPr>
            </w:pPr>
          </w:p>
        </w:tc>
        <w:tc>
          <w:tcPr>
            <w:tcW w:w="50" w:type="pct"/>
            <w:shd w:val="clear" w:color="auto" w:fill="auto"/>
            <w:vAlign w:val="bottom"/>
          </w:tcPr>
          <w:p w14:paraId="22CFB0C6" w14:textId="77777777" w:rsidR="002661BA" w:rsidRDefault="002661BA">
            <w:pPr>
              <w:rPr>
                <w:rFonts w:ascii="宋体"/>
              </w:rPr>
            </w:pPr>
          </w:p>
        </w:tc>
        <w:tc>
          <w:tcPr>
            <w:tcW w:w="583" w:type="pct"/>
            <w:shd w:val="clear" w:color="auto" w:fill="auto"/>
            <w:vAlign w:val="bottom"/>
          </w:tcPr>
          <w:p w14:paraId="22CFB0C7" w14:textId="77777777" w:rsidR="002661BA" w:rsidRDefault="002661BA">
            <w:pPr>
              <w:rPr>
                <w:rFonts w:ascii="宋体"/>
              </w:rPr>
            </w:pPr>
          </w:p>
        </w:tc>
        <w:tc>
          <w:tcPr>
            <w:tcW w:w="5" w:type="pct"/>
            <w:shd w:val="clear" w:color="auto" w:fill="auto"/>
            <w:vAlign w:val="bottom"/>
          </w:tcPr>
          <w:p w14:paraId="22CFB0C8" w14:textId="77777777" w:rsidR="002661BA" w:rsidRDefault="002661BA">
            <w:pPr>
              <w:rPr>
                <w:rFonts w:ascii="宋体"/>
              </w:rPr>
            </w:pPr>
          </w:p>
        </w:tc>
        <w:tc>
          <w:tcPr>
            <w:tcW w:w="5" w:type="pct"/>
            <w:shd w:val="clear" w:color="auto" w:fill="auto"/>
            <w:vAlign w:val="bottom"/>
          </w:tcPr>
          <w:p w14:paraId="22CFB0C9" w14:textId="77777777" w:rsidR="002661BA" w:rsidRDefault="002661BA">
            <w:pPr>
              <w:rPr>
                <w:rFonts w:ascii="宋体"/>
              </w:rPr>
            </w:pPr>
          </w:p>
        </w:tc>
        <w:tc>
          <w:tcPr>
            <w:tcW w:w="19" w:type="pct"/>
            <w:shd w:val="clear" w:color="auto" w:fill="auto"/>
            <w:vAlign w:val="bottom"/>
          </w:tcPr>
          <w:p w14:paraId="22CFB0CA" w14:textId="77777777" w:rsidR="002661BA" w:rsidRDefault="002661BA">
            <w:pPr>
              <w:rPr>
                <w:rFonts w:ascii="宋体"/>
              </w:rPr>
            </w:pPr>
          </w:p>
        </w:tc>
        <w:tc>
          <w:tcPr>
            <w:tcW w:w="5" w:type="pct"/>
            <w:shd w:val="clear" w:color="auto" w:fill="auto"/>
            <w:vAlign w:val="bottom"/>
          </w:tcPr>
          <w:p w14:paraId="22CFB0CB" w14:textId="77777777" w:rsidR="002661BA" w:rsidRDefault="002661BA">
            <w:pPr>
              <w:rPr>
                <w:rFonts w:ascii="宋体"/>
              </w:rPr>
            </w:pPr>
          </w:p>
        </w:tc>
        <w:tc>
          <w:tcPr>
            <w:tcW w:w="50" w:type="pct"/>
            <w:shd w:val="clear" w:color="auto" w:fill="auto"/>
            <w:vAlign w:val="bottom"/>
          </w:tcPr>
          <w:p w14:paraId="22CFB0CC" w14:textId="77777777" w:rsidR="002661BA" w:rsidRDefault="002661BA">
            <w:pPr>
              <w:rPr>
                <w:rFonts w:ascii="宋体"/>
              </w:rPr>
            </w:pPr>
          </w:p>
        </w:tc>
        <w:tc>
          <w:tcPr>
            <w:tcW w:w="583" w:type="pct"/>
            <w:shd w:val="clear" w:color="auto" w:fill="auto"/>
            <w:vAlign w:val="bottom"/>
          </w:tcPr>
          <w:p w14:paraId="22CFB0CD" w14:textId="77777777" w:rsidR="002661BA" w:rsidRDefault="002661BA">
            <w:pPr>
              <w:rPr>
                <w:rFonts w:ascii="宋体"/>
              </w:rPr>
            </w:pPr>
          </w:p>
        </w:tc>
        <w:tc>
          <w:tcPr>
            <w:tcW w:w="5" w:type="pct"/>
            <w:shd w:val="clear" w:color="auto" w:fill="auto"/>
            <w:vAlign w:val="bottom"/>
          </w:tcPr>
          <w:p w14:paraId="22CFB0CE" w14:textId="77777777" w:rsidR="002661BA" w:rsidRDefault="002661BA">
            <w:pPr>
              <w:rPr>
                <w:rFonts w:ascii="宋体"/>
              </w:rPr>
            </w:pPr>
          </w:p>
        </w:tc>
      </w:tr>
      <w:tr w:rsidR="002661BA" w14:paraId="22CFB0D2" w14:textId="77777777">
        <w:tc>
          <w:tcPr>
            <w:tcW w:w="0" w:type="auto"/>
            <w:gridSpan w:val="3"/>
            <w:shd w:val="clear" w:color="auto" w:fill="auto"/>
            <w:tcMar>
              <w:top w:w="40" w:type="dxa"/>
              <w:left w:w="20" w:type="dxa"/>
              <w:bottom w:w="40" w:type="dxa"/>
              <w:right w:w="20" w:type="dxa"/>
            </w:tcMar>
            <w:vAlign w:val="bottom"/>
          </w:tcPr>
          <w:p w14:paraId="22CFB0D0" w14:textId="77777777" w:rsidR="002661BA" w:rsidRDefault="00D972BC">
            <w:pPr>
              <w:textAlignment w:val="bottom"/>
            </w:pPr>
            <w:r>
              <w:rPr>
                <w:rFonts w:ascii="Arial" w:eastAsia="宋体" w:hAnsi="Arial" w:cs="Arial"/>
                <w:b/>
                <w:bCs/>
                <w:color w:val="000000"/>
                <w:sz w:val="18"/>
                <w:szCs w:val="18"/>
              </w:rPr>
              <w:t> </w:t>
            </w:r>
          </w:p>
        </w:tc>
        <w:tc>
          <w:tcPr>
            <w:tcW w:w="0" w:type="auto"/>
            <w:gridSpan w:val="15"/>
            <w:shd w:val="clear" w:color="auto" w:fill="auto"/>
            <w:tcMar>
              <w:top w:w="40" w:type="dxa"/>
              <w:left w:w="20" w:type="dxa"/>
              <w:bottom w:w="40" w:type="dxa"/>
              <w:right w:w="20" w:type="dxa"/>
            </w:tcMar>
            <w:vAlign w:val="bottom"/>
          </w:tcPr>
          <w:p w14:paraId="22CFB0D1" w14:textId="77777777" w:rsidR="002661BA" w:rsidRDefault="00D972BC">
            <w:pPr>
              <w:jc w:val="center"/>
              <w:textAlignment w:val="bottom"/>
            </w:pPr>
            <w:r>
              <w:rPr>
                <w:rFonts w:ascii="Arial" w:eastAsia="宋体" w:hAnsi="Arial" w:cs="Arial"/>
                <w:b/>
                <w:bCs/>
                <w:color w:val="000000"/>
                <w:sz w:val="17"/>
                <w:szCs w:val="17"/>
              </w:rPr>
              <w:t xml:space="preserve">Year Ended </w:t>
            </w:r>
            <w:r>
              <w:rPr>
                <w:rFonts w:ascii="Arial" w:eastAsia="宋体" w:hAnsi="Arial" w:cs="Arial"/>
                <w:b/>
                <w:bCs/>
                <w:color w:val="000000"/>
                <w:sz w:val="17"/>
                <w:szCs w:val="17"/>
              </w:rPr>
              <w:t>December 31,</w:t>
            </w:r>
          </w:p>
        </w:tc>
      </w:tr>
      <w:tr w:rsidR="002661BA" w14:paraId="22CFB0D9" w14:textId="77777777">
        <w:tc>
          <w:tcPr>
            <w:tcW w:w="0" w:type="auto"/>
            <w:gridSpan w:val="3"/>
            <w:shd w:val="clear" w:color="auto" w:fill="auto"/>
            <w:tcMar>
              <w:top w:w="40" w:type="dxa"/>
              <w:left w:w="20" w:type="dxa"/>
              <w:bottom w:w="40" w:type="dxa"/>
              <w:right w:w="20" w:type="dxa"/>
            </w:tcMar>
            <w:vAlign w:val="bottom"/>
          </w:tcPr>
          <w:p w14:paraId="22CFB0D3" w14:textId="77777777" w:rsidR="002661BA" w:rsidRDefault="00D972BC">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0D4"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0D5" w14:textId="77777777" w:rsidR="002661BA" w:rsidRDefault="002661B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B0D6"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0D7" w14:textId="77777777" w:rsidR="002661BA" w:rsidRDefault="002661B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B0D8"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B0DC" w14:textId="77777777">
        <w:tc>
          <w:tcPr>
            <w:tcW w:w="0" w:type="auto"/>
            <w:gridSpan w:val="3"/>
            <w:shd w:val="clear" w:color="auto" w:fill="auto"/>
            <w:tcMar>
              <w:top w:w="40" w:type="dxa"/>
              <w:left w:w="20" w:type="dxa"/>
              <w:bottom w:w="40" w:type="dxa"/>
              <w:right w:w="20" w:type="dxa"/>
            </w:tcMar>
            <w:vAlign w:val="bottom"/>
          </w:tcPr>
          <w:p w14:paraId="22CFB0DA" w14:textId="77777777" w:rsidR="002661BA" w:rsidRDefault="00D972BC">
            <w:pPr>
              <w:textAlignment w:val="bottom"/>
            </w:pPr>
            <w:r>
              <w:rPr>
                <w:rFonts w:ascii="Arial" w:eastAsia="宋体" w:hAnsi="Arial" w:cs="Arial"/>
                <w:b/>
                <w:bCs/>
                <w:color w:val="000000"/>
                <w:sz w:val="18"/>
                <w:szCs w:val="18"/>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2CFB0DB" w14:textId="77777777" w:rsidR="002661BA" w:rsidRDefault="00D972BC">
            <w:pPr>
              <w:jc w:val="center"/>
              <w:textAlignment w:val="bottom"/>
            </w:pPr>
            <w:r>
              <w:rPr>
                <w:rFonts w:ascii="Arial" w:eastAsia="宋体" w:hAnsi="Arial" w:cs="Arial"/>
                <w:b/>
                <w:bCs/>
                <w:color w:val="000000"/>
                <w:sz w:val="17"/>
                <w:szCs w:val="17"/>
              </w:rPr>
              <w:t>(In millions, except per share amounts)</w:t>
            </w:r>
          </w:p>
        </w:tc>
      </w:tr>
      <w:tr w:rsidR="002661BA" w14:paraId="22CFB0E9" w14:textId="77777777">
        <w:tc>
          <w:tcPr>
            <w:tcW w:w="0" w:type="auto"/>
            <w:gridSpan w:val="3"/>
            <w:shd w:val="clear" w:color="auto" w:fill="DBDBDB"/>
            <w:tcMar>
              <w:top w:w="40" w:type="dxa"/>
              <w:left w:w="20" w:type="dxa"/>
              <w:bottom w:w="40" w:type="dxa"/>
              <w:right w:w="20" w:type="dxa"/>
            </w:tcMar>
            <w:vAlign w:val="bottom"/>
          </w:tcPr>
          <w:p w14:paraId="22CFB0DD" w14:textId="77777777" w:rsidR="002661BA" w:rsidRDefault="00D972BC">
            <w:pPr>
              <w:textAlignment w:val="bottom"/>
            </w:pPr>
            <w:r>
              <w:rPr>
                <w:rFonts w:ascii="Arial" w:eastAsia="宋体" w:hAnsi="Arial" w:cs="Arial"/>
                <w:color w:val="000000"/>
                <w:sz w:val="18"/>
                <w:szCs w:val="18"/>
              </w:rPr>
              <w:t>Net revenues</w:t>
            </w:r>
          </w:p>
        </w:tc>
        <w:tc>
          <w:tcPr>
            <w:tcW w:w="0" w:type="auto"/>
            <w:shd w:val="clear" w:color="auto" w:fill="DBDBDB"/>
            <w:tcMar>
              <w:top w:w="40" w:type="dxa"/>
              <w:left w:w="20" w:type="dxa"/>
              <w:bottom w:w="40" w:type="dxa"/>
              <w:right w:w="0" w:type="dxa"/>
            </w:tcMar>
            <w:vAlign w:val="bottom"/>
          </w:tcPr>
          <w:p w14:paraId="22CFB0DE"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B0DF" w14:textId="77777777" w:rsidR="002661BA" w:rsidRDefault="00D972BC">
            <w:pPr>
              <w:jc w:val="right"/>
              <w:textAlignment w:val="bottom"/>
            </w:pPr>
            <w:r>
              <w:rPr>
                <w:rFonts w:ascii="Arial" w:eastAsia="宋体" w:hAnsi="Arial" w:cs="Arial"/>
                <w:color w:val="000000"/>
                <w:sz w:val="18"/>
                <w:szCs w:val="18"/>
              </w:rPr>
              <w:t>10,420 </w:t>
            </w:r>
          </w:p>
        </w:tc>
        <w:tc>
          <w:tcPr>
            <w:tcW w:w="0" w:type="auto"/>
            <w:shd w:val="clear" w:color="auto" w:fill="DBDBDB"/>
            <w:tcMar>
              <w:top w:w="40" w:type="dxa"/>
              <w:left w:w="0" w:type="dxa"/>
              <w:bottom w:w="40" w:type="dxa"/>
              <w:right w:w="20" w:type="dxa"/>
            </w:tcMar>
            <w:vAlign w:val="bottom"/>
          </w:tcPr>
          <w:p w14:paraId="22CFB0E0"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0E1"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B0E2"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B0E3" w14:textId="77777777" w:rsidR="002661BA" w:rsidRDefault="00D972BC">
            <w:pPr>
              <w:jc w:val="right"/>
              <w:textAlignment w:val="bottom"/>
            </w:pPr>
            <w:r>
              <w:rPr>
                <w:rFonts w:ascii="Arial" w:eastAsia="宋体" w:hAnsi="Arial" w:cs="Arial"/>
                <w:color w:val="000000"/>
                <w:sz w:val="18"/>
                <w:szCs w:val="18"/>
              </w:rPr>
              <w:t>8,894 </w:t>
            </w:r>
          </w:p>
        </w:tc>
        <w:tc>
          <w:tcPr>
            <w:tcW w:w="0" w:type="auto"/>
            <w:shd w:val="clear" w:color="auto" w:fill="DBDBDB"/>
            <w:tcMar>
              <w:top w:w="40" w:type="dxa"/>
              <w:left w:w="0" w:type="dxa"/>
              <w:bottom w:w="40" w:type="dxa"/>
              <w:right w:w="20" w:type="dxa"/>
            </w:tcMar>
            <w:vAlign w:val="bottom"/>
          </w:tcPr>
          <w:p w14:paraId="22CFB0E4"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0E5"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B0E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B0E7" w14:textId="77777777" w:rsidR="002661BA" w:rsidRDefault="00D972BC">
            <w:pPr>
              <w:jc w:val="right"/>
              <w:textAlignment w:val="bottom"/>
            </w:pPr>
            <w:r>
              <w:rPr>
                <w:rFonts w:ascii="Arial" w:eastAsia="宋体" w:hAnsi="Arial" w:cs="Arial"/>
                <w:color w:val="000000"/>
                <w:sz w:val="18"/>
                <w:szCs w:val="18"/>
              </w:rPr>
              <w:t>7,429 </w:t>
            </w:r>
          </w:p>
        </w:tc>
        <w:tc>
          <w:tcPr>
            <w:tcW w:w="0" w:type="auto"/>
            <w:shd w:val="clear" w:color="auto" w:fill="DBDBDB"/>
            <w:tcMar>
              <w:top w:w="40" w:type="dxa"/>
              <w:left w:w="0" w:type="dxa"/>
              <w:bottom w:w="40" w:type="dxa"/>
              <w:right w:w="20" w:type="dxa"/>
            </w:tcMar>
            <w:vAlign w:val="bottom"/>
          </w:tcPr>
          <w:p w14:paraId="22CFB0E8" w14:textId="77777777" w:rsidR="002661BA" w:rsidRDefault="002661BA">
            <w:pPr>
              <w:jc w:val="right"/>
              <w:rPr>
                <w:rFonts w:ascii="宋体"/>
              </w:rPr>
            </w:pPr>
          </w:p>
        </w:tc>
      </w:tr>
      <w:tr w:rsidR="002661BA" w14:paraId="22CFB0F3" w14:textId="77777777">
        <w:tc>
          <w:tcPr>
            <w:tcW w:w="0" w:type="auto"/>
            <w:gridSpan w:val="3"/>
            <w:shd w:val="clear" w:color="auto" w:fill="FFFFFF"/>
            <w:tcMar>
              <w:top w:w="40" w:type="dxa"/>
              <w:left w:w="20" w:type="dxa"/>
              <w:bottom w:w="40" w:type="dxa"/>
              <w:right w:w="20" w:type="dxa"/>
            </w:tcMar>
            <w:vAlign w:val="bottom"/>
          </w:tcPr>
          <w:p w14:paraId="22CFB0EA" w14:textId="77777777" w:rsidR="002661BA" w:rsidRDefault="00D972BC">
            <w:pPr>
              <w:textAlignment w:val="bottom"/>
            </w:pPr>
            <w:r>
              <w:rPr>
                <w:rFonts w:ascii="Arial" w:eastAsia="宋体" w:hAnsi="Arial" w:cs="Arial"/>
                <w:color w:val="000000"/>
                <w:sz w:val="18"/>
                <w:szCs w:val="18"/>
              </w:rPr>
              <w:t>Cost of net revenues</w:t>
            </w:r>
          </w:p>
        </w:tc>
        <w:tc>
          <w:tcPr>
            <w:tcW w:w="0" w:type="auto"/>
            <w:gridSpan w:val="2"/>
            <w:shd w:val="clear" w:color="auto" w:fill="FFFFFF"/>
            <w:tcMar>
              <w:top w:w="40" w:type="dxa"/>
              <w:left w:w="20" w:type="dxa"/>
              <w:bottom w:w="40" w:type="dxa"/>
              <w:right w:w="0" w:type="dxa"/>
            </w:tcMar>
            <w:vAlign w:val="bottom"/>
          </w:tcPr>
          <w:p w14:paraId="22CFB0EB" w14:textId="77777777" w:rsidR="002661BA" w:rsidRDefault="00D972BC">
            <w:pPr>
              <w:jc w:val="right"/>
              <w:textAlignment w:val="bottom"/>
            </w:pPr>
            <w:r>
              <w:rPr>
                <w:rFonts w:ascii="Arial" w:eastAsia="宋体" w:hAnsi="Arial" w:cs="Arial"/>
                <w:color w:val="000000"/>
                <w:sz w:val="18"/>
                <w:szCs w:val="18"/>
              </w:rPr>
              <w:t>2,650 </w:t>
            </w:r>
          </w:p>
        </w:tc>
        <w:tc>
          <w:tcPr>
            <w:tcW w:w="0" w:type="auto"/>
            <w:shd w:val="clear" w:color="auto" w:fill="FFFFFF"/>
            <w:tcMar>
              <w:top w:w="40" w:type="dxa"/>
              <w:left w:w="0" w:type="dxa"/>
              <w:bottom w:w="40" w:type="dxa"/>
              <w:right w:w="20" w:type="dxa"/>
            </w:tcMar>
            <w:vAlign w:val="bottom"/>
          </w:tcPr>
          <w:p w14:paraId="22CFB0E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0E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0EE" w14:textId="77777777" w:rsidR="002661BA" w:rsidRDefault="00D972BC">
            <w:pPr>
              <w:jc w:val="right"/>
              <w:textAlignment w:val="bottom"/>
            </w:pPr>
            <w:r>
              <w:rPr>
                <w:rFonts w:ascii="Arial" w:eastAsia="宋体" w:hAnsi="Arial" w:cs="Arial"/>
                <w:color w:val="000000"/>
                <w:sz w:val="18"/>
                <w:szCs w:val="18"/>
              </w:rPr>
              <w:t>1,797 </w:t>
            </w:r>
          </w:p>
        </w:tc>
        <w:tc>
          <w:tcPr>
            <w:tcW w:w="0" w:type="auto"/>
            <w:shd w:val="clear" w:color="auto" w:fill="FFFFFF"/>
            <w:tcMar>
              <w:top w:w="40" w:type="dxa"/>
              <w:left w:w="0" w:type="dxa"/>
              <w:bottom w:w="40" w:type="dxa"/>
              <w:right w:w="20" w:type="dxa"/>
            </w:tcMar>
            <w:vAlign w:val="bottom"/>
          </w:tcPr>
          <w:p w14:paraId="22CFB0E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0F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0F1" w14:textId="77777777" w:rsidR="002661BA" w:rsidRDefault="00D972BC">
            <w:pPr>
              <w:jc w:val="right"/>
              <w:textAlignment w:val="bottom"/>
            </w:pPr>
            <w:r>
              <w:rPr>
                <w:rFonts w:ascii="Arial" w:eastAsia="宋体" w:hAnsi="Arial" w:cs="Arial"/>
                <w:color w:val="000000"/>
                <w:sz w:val="18"/>
                <w:szCs w:val="18"/>
              </w:rPr>
              <w:t>1,585 </w:t>
            </w:r>
          </w:p>
        </w:tc>
        <w:tc>
          <w:tcPr>
            <w:tcW w:w="0" w:type="auto"/>
            <w:shd w:val="clear" w:color="auto" w:fill="FFFFFF"/>
            <w:tcMar>
              <w:top w:w="40" w:type="dxa"/>
              <w:left w:w="0" w:type="dxa"/>
              <w:bottom w:w="40" w:type="dxa"/>
              <w:right w:w="20" w:type="dxa"/>
            </w:tcMar>
            <w:vAlign w:val="bottom"/>
          </w:tcPr>
          <w:p w14:paraId="22CFB0F2" w14:textId="77777777" w:rsidR="002661BA" w:rsidRDefault="002661BA">
            <w:pPr>
              <w:jc w:val="right"/>
              <w:rPr>
                <w:rFonts w:ascii="宋体"/>
              </w:rPr>
            </w:pPr>
          </w:p>
        </w:tc>
      </w:tr>
      <w:tr w:rsidR="002661BA" w14:paraId="22CFB0FD" w14:textId="77777777">
        <w:tc>
          <w:tcPr>
            <w:tcW w:w="0" w:type="auto"/>
            <w:gridSpan w:val="3"/>
            <w:shd w:val="clear" w:color="auto" w:fill="DBDBDB"/>
            <w:tcMar>
              <w:top w:w="40" w:type="dxa"/>
              <w:left w:w="875" w:type="dxa"/>
              <w:bottom w:w="40" w:type="dxa"/>
              <w:right w:w="20" w:type="dxa"/>
            </w:tcMar>
            <w:vAlign w:val="bottom"/>
          </w:tcPr>
          <w:p w14:paraId="22CFB0F4" w14:textId="77777777" w:rsidR="002661BA" w:rsidRDefault="00D972BC">
            <w:pPr>
              <w:textAlignment w:val="bottom"/>
            </w:pPr>
            <w:r>
              <w:rPr>
                <w:rFonts w:ascii="Arial" w:eastAsia="宋体" w:hAnsi="Arial" w:cs="Arial"/>
                <w:color w:val="000000"/>
                <w:sz w:val="18"/>
                <w:szCs w:val="18"/>
              </w:rPr>
              <w:t>Gross profit</w:t>
            </w: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0F5" w14:textId="77777777" w:rsidR="002661BA" w:rsidRDefault="00D972BC">
            <w:pPr>
              <w:jc w:val="right"/>
              <w:textAlignment w:val="bottom"/>
            </w:pPr>
            <w:r>
              <w:rPr>
                <w:rFonts w:ascii="Arial" w:eastAsia="宋体" w:hAnsi="Arial" w:cs="Arial"/>
                <w:color w:val="000000"/>
                <w:sz w:val="18"/>
                <w:szCs w:val="18"/>
              </w:rPr>
              <w:t>7,770 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0F6"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0F7"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0F8" w14:textId="77777777" w:rsidR="002661BA" w:rsidRDefault="00D972BC">
            <w:pPr>
              <w:jc w:val="right"/>
              <w:textAlignment w:val="bottom"/>
            </w:pPr>
            <w:r>
              <w:rPr>
                <w:rFonts w:ascii="Arial" w:eastAsia="宋体" w:hAnsi="Arial" w:cs="Arial"/>
                <w:color w:val="000000"/>
                <w:sz w:val="18"/>
                <w:szCs w:val="18"/>
              </w:rPr>
              <w:t>7,097 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0F9"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0FA"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0FB" w14:textId="77777777" w:rsidR="002661BA" w:rsidRDefault="00D972BC">
            <w:pPr>
              <w:jc w:val="right"/>
              <w:textAlignment w:val="bottom"/>
            </w:pPr>
            <w:r>
              <w:rPr>
                <w:rFonts w:ascii="Arial" w:eastAsia="宋体" w:hAnsi="Arial" w:cs="Arial"/>
                <w:color w:val="000000"/>
                <w:sz w:val="18"/>
                <w:szCs w:val="18"/>
              </w:rPr>
              <w:t>5,844 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0FC" w14:textId="77777777" w:rsidR="002661BA" w:rsidRDefault="002661BA">
            <w:pPr>
              <w:jc w:val="right"/>
              <w:rPr>
                <w:rFonts w:ascii="宋体"/>
              </w:rPr>
            </w:pPr>
          </w:p>
        </w:tc>
      </w:tr>
      <w:tr w:rsidR="002661BA" w14:paraId="22CFB104" w14:textId="77777777">
        <w:tc>
          <w:tcPr>
            <w:tcW w:w="0" w:type="auto"/>
            <w:gridSpan w:val="3"/>
            <w:shd w:val="clear" w:color="auto" w:fill="FFFFFF"/>
            <w:tcMar>
              <w:top w:w="40" w:type="dxa"/>
              <w:left w:w="20" w:type="dxa"/>
              <w:bottom w:w="40" w:type="dxa"/>
              <w:right w:w="20" w:type="dxa"/>
            </w:tcMar>
            <w:vAlign w:val="bottom"/>
          </w:tcPr>
          <w:p w14:paraId="22CFB0FE" w14:textId="77777777" w:rsidR="002661BA" w:rsidRDefault="00D972BC">
            <w:pPr>
              <w:textAlignment w:val="bottom"/>
            </w:pPr>
            <w:r>
              <w:rPr>
                <w:rFonts w:ascii="Arial" w:eastAsia="宋体" w:hAnsi="Arial" w:cs="Arial"/>
                <w:color w:val="000000"/>
                <w:sz w:val="18"/>
                <w:szCs w:val="18"/>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0FF"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100" w14:textId="77777777" w:rsidR="002661BA" w:rsidRDefault="002661B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22CFB101" w14:textId="77777777" w:rsidR="002661BA" w:rsidRDefault="00D972BC">
            <w:pPr>
              <w:jc w:val="right"/>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vAlign w:val="bottom"/>
          </w:tcPr>
          <w:p w14:paraId="22CFB102" w14:textId="77777777" w:rsidR="002661BA" w:rsidRDefault="002661B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103" w14:textId="77777777" w:rsidR="002661BA" w:rsidRDefault="002661BA">
            <w:pPr>
              <w:rPr>
                <w:rFonts w:ascii="宋体"/>
              </w:rPr>
            </w:pPr>
          </w:p>
        </w:tc>
      </w:tr>
      <w:tr w:rsidR="002661BA" w14:paraId="22CFB10E" w14:textId="77777777">
        <w:tc>
          <w:tcPr>
            <w:tcW w:w="0" w:type="auto"/>
            <w:gridSpan w:val="3"/>
            <w:shd w:val="clear" w:color="auto" w:fill="DBDBDB"/>
            <w:tcMar>
              <w:top w:w="40" w:type="dxa"/>
              <w:left w:w="515" w:type="dxa"/>
              <w:bottom w:w="40" w:type="dxa"/>
              <w:right w:w="20" w:type="dxa"/>
            </w:tcMar>
            <w:vAlign w:val="bottom"/>
          </w:tcPr>
          <w:p w14:paraId="22CFB105" w14:textId="77777777" w:rsidR="002661BA" w:rsidRDefault="00D972BC">
            <w:pPr>
              <w:textAlignment w:val="bottom"/>
            </w:pPr>
            <w:r>
              <w:rPr>
                <w:rFonts w:ascii="Arial" w:eastAsia="宋体" w:hAnsi="Arial" w:cs="Arial"/>
                <w:color w:val="000000"/>
                <w:sz w:val="18"/>
                <w:szCs w:val="18"/>
              </w:rPr>
              <w:t>Sales and marketing</w:t>
            </w:r>
          </w:p>
        </w:tc>
        <w:tc>
          <w:tcPr>
            <w:tcW w:w="0" w:type="auto"/>
            <w:gridSpan w:val="2"/>
            <w:shd w:val="clear" w:color="auto" w:fill="DBDBDB"/>
            <w:tcMar>
              <w:top w:w="40" w:type="dxa"/>
              <w:left w:w="20" w:type="dxa"/>
              <w:bottom w:w="40" w:type="dxa"/>
              <w:right w:w="0" w:type="dxa"/>
            </w:tcMar>
            <w:vAlign w:val="bottom"/>
          </w:tcPr>
          <w:p w14:paraId="22CFB106" w14:textId="77777777" w:rsidR="002661BA" w:rsidRDefault="00D972BC">
            <w:pPr>
              <w:jc w:val="right"/>
              <w:textAlignment w:val="bottom"/>
            </w:pPr>
            <w:r>
              <w:rPr>
                <w:rFonts w:ascii="Arial" w:eastAsia="宋体" w:hAnsi="Arial" w:cs="Arial"/>
                <w:color w:val="000000"/>
                <w:sz w:val="18"/>
                <w:szCs w:val="18"/>
              </w:rPr>
              <w:t>2,170 </w:t>
            </w:r>
          </w:p>
        </w:tc>
        <w:tc>
          <w:tcPr>
            <w:tcW w:w="0" w:type="auto"/>
            <w:shd w:val="clear" w:color="auto" w:fill="DBDBDB"/>
            <w:tcMar>
              <w:top w:w="40" w:type="dxa"/>
              <w:left w:w="0" w:type="dxa"/>
              <w:bottom w:w="40" w:type="dxa"/>
              <w:right w:w="20" w:type="dxa"/>
            </w:tcMar>
            <w:vAlign w:val="bottom"/>
          </w:tcPr>
          <w:p w14:paraId="22CFB107"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108"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109" w14:textId="77777777" w:rsidR="002661BA" w:rsidRDefault="00D972BC">
            <w:pPr>
              <w:jc w:val="right"/>
              <w:textAlignment w:val="bottom"/>
            </w:pPr>
            <w:r>
              <w:rPr>
                <w:rFonts w:ascii="Arial" w:eastAsia="宋体" w:hAnsi="Arial" w:cs="Arial"/>
                <w:color w:val="000000"/>
                <w:sz w:val="18"/>
                <w:szCs w:val="18"/>
              </w:rPr>
              <w:t>2,091 </w:t>
            </w:r>
          </w:p>
        </w:tc>
        <w:tc>
          <w:tcPr>
            <w:tcW w:w="0" w:type="auto"/>
            <w:shd w:val="clear" w:color="auto" w:fill="DBDBDB"/>
            <w:tcMar>
              <w:top w:w="40" w:type="dxa"/>
              <w:left w:w="0" w:type="dxa"/>
              <w:bottom w:w="40" w:type="dxa"/>
              <w:right w:w="20" w:type="dxa"/>
            </w:tcMar>
            <w:vAlign w:val="bottom"/>
          </w:tcPr>
          <w:p w14:paraId="22CFB10A"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10B"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10C" w14:textId="77777777" w:rsidR="002661BA" w:rsidRDefault="00D972BC">
            <w:pPr>
              <w:jc w:val="right"/>
              <w:textAlignment w:val="bottom"/>
            </w:pPr>
            <w:r>
              <w:rPr>
                <w:rFonts w:ascii="Arial" w:eastAsia="宋体" w:hAnsi="Arial" w:cs="Arial"/>
                <w:color w:val="000000"/>
                <w:sz w:val="18"/>
                <w:szCs w:val="18"/>
              </w:rPr>
              <w:t>1,866 </w:t>
            </w:r>
          </w:p>
        </w:tc>
        <w:tc>
          <w:tcPr>
            <w:tcW w:w="0" w:type="auto"/>
            <w:shd w:val="clear" w:color="auto" w:fill="DBDBDB"/>
            <w:tcMar>
              <w:top w:w="40" w:type="dxa"/>
              <w:left w:w="0" w:type="dxa"/>
              <w:bottom w:w="40" w:type="dxa"/>
              <w:right w:w="20" w:type="dxa"/>
            </w:tcMar>
            <w:vAlign w:val="bottom"/>
          </w:tcPr>
          <w:p w14:paraId="22CFB10D" w14:textId="77777777" w:rsidR="002661BA" w:rsidRDefault="002661BA">
            <w:pPr>
              <w:jc w:val="right"/>
              <w:rPr>
                <w:rFonts w:ascii="宋体"/>
              </w:rPr>
            </w:pPr>
          </w:p>
        </w:tc>
      </w:tr>
      <w:tr w:rsidR="002661BA" w14:paraId="22CFB118" w14:textId="77777777">
        <w:tc>
          <w:tcPr>
            <w:tcW w:w="0" w:type="auto"/>
            <w:gridSpan w:val="3"/>
            <w:shd w:val="clear" w:color="auto" w:fill="FFFFFF"/>
            <w:tcMar>
              <w:top w:w="40" w:type="dxa"/>
              <w:left w:w="515" w:type="dxa"/>
              <w:bottom w:w="40" w:type="dxa"/>
              <w:right w:w="20" w:type="dxa"/>
            </w:tcMar>
            <w:vAlign w:val="bottom"/>
          </w:tcPr>
          <w:p w14:paraId="22CFB10F" w14:textId="77777777" w:rsidR="002661BA" w:rsidRDefault="00D972BC">
            <w:pPr>
              <w:textAlignment w:val="bottom"/>
            </w:pPr>
            <w:r>
              <w:rPr>
                <w:rFonts w:ascii="Arial" w:eastAsia="宋体" w:hAnsi="Arial" w:cs="Arial"/>
                <w:color w:val="000000"/>
                <w:sz w:val="18"/>
                <w:szCs w:val="18"/>
              </w:rPr>
              <w:t>Product development</w:t>
            </w:r>
          </w:p>
        </w:tc>
        <w:tc>
          <w:tcPr>
            <w:tcW w:w="0" w:type="auto"/>
            <w:gridSpan w:val="2"/>
            <w:shd w:val="clear" w:color="auto" w:fill="FFFFFF"/>
            <w:tcMar>
              <w:top w:w="40" w:type="dxa"/>
              <w:left w:w="20" w:type="dxa"/>
              <w:bottom w:w="40" w:type="dxa"/>
              <w:right w:w="0" w:type="dxa"/>
            </w:tcMar>
            <w:vAlign w:val="bottom"/>
          </w:tcPr>
          <w:p w14:paraId="22CFB110" w14:textId="77777777" w:rsidR="002661BA" w:rsidRDefault="00D972BC">
            <w:pPr>
              <w:jc w:val="right"/>
              <w:textAlignment w:val="bottom"/>
            </w:pPr>
            <w:r>
              <w:rPr>
                <w:rFonts w:ascii="Arial" w:eastAsia="宋体" w:hAnsi="Arial" w:cs="Arial"/>
                <w:color w:val="000000"/>
                <w:sz w:val="18"/>
                <w:szCs w:val="18"/>
              </w:rPr>
              <w:t>1,325 </w:t>
            </w:r>
          </w:p>
        </w:tc>
        <w:tc>
          <w:tcPr>
            <w:tcW w:w="0" w:type="auto"/>
            <w:shd w:val="clear" w:color="auto" w:fill="FFFFFF"/>
            <w:tcMar>
              <w:top w:w="40" w:type="dxa"/>
              <w:left w:w="0" w:type="dxa"/>
              <w:bottom w:w="40" w:type="dxa"/>
              <w:right w:w="20" w:type="dxa"/>
            </w:tcMar>
            <w:vAlign w:val="bottom"/>
          </w:tcPr>
          <w:p w14:paraId="22CFB11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112"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113" w14:textId="77777777" w:rsidR="002661BA" w:rsidRDefault="00D972BC">
            <w:pPr>
              <w:jc w:val="right"/>
              <w:textAlignment w:val="bottom"/>
            </w:pPr>
            <w:r>
              <w:rPr>
                <w:rFonts w:ascii="Arial" w:eastAsia="宋体" w:hAnsi="Arial" w:cs="Arial"/>
                <w:color w:val="000000"/>
                <w:sz w:val="18"/>
                <w:szCs w:val="18"/>
              </w:rPr>
              <w:t>1,028 </w:t>
            </w:r>
          </w:p>
        </w:tc>
        <w:tc>
          <w:tcPr>
            <w:tcW w:w="0" w:type="auto"/>
            <w:shd w:val="clear" w:color="auto" w:fill="FFFFFF"/>
            <w:tcMar>
              <w:top w:w="40" w:type="dxa"/>
              <w:left w:w="0" w:type="dxa"/>
              <w:bottom w:w="40" w:type="dxa"/>
              <w:right w:w="20" w:type="dxa"/>
            </w:tcMar>
            <w:vAlign w:val="bottom"/>
          </w:tcPr>
          <w:p w14:paraId="22CFB11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115"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116" w14:textId="77777777" w:rsidR="002661BA" w:rsidRDefault="00D972BC">
            <w:pPr>
              <w:jc w:val="right"/>
              <w:textAlignment w:val="bottom"/>
            </w:pPr>
            <w:r>
              <w:rPr>
                <w:rFonts w:ascii="Arial" w:eastAsia="宋体" w:hAnsi="Arial" w:cs="Arial"/>
                <w:color w:val="000000"/>
                <w:sz w:val="18"/>
                <w:szCs w:val="18"/>
              </w:rPr>
              <w:t>930 </w:t>
            </w:r>
          </w:p>
        </w:tc>
        <w:tc>
          <w:tcPr>
            <w:tcW w:w="0" w:type="auto"/>
            <w:shd w:val="clear" w:color="auto" w:fill="FFFFFF"/>
            <w:tcMar>
              <w:top w:w="40" w:type="dxa"/>
              <w:left w:w="0" w:type="dxa"/>
              <w:bottom w:w="40" w:type="dxa"/>
              <w:right w:w="20" w:type="dxa"/>
            </w:tcMar>
            <w:vAlign w:val="bottom"/>
          </w:tcPr>
          <w:p w14:paraId="22CFB117" w14:textId="77777777" w:rsidR="002661BA" w:rsidRDefault="002661BA">
            <w:pPr>
              <w:jc w:val="right"/>
              <w:rPr>
                <w:rFonts w:ascii="宋体"/>
              </w:rPr>
            </w:pPr>
          </w:p>
        </w:tc>
      </w:tr>
      <w:tr w:rsidR="002661BA" w14:paraId="22CFB122" w14:textId="77777777">
        <w:tc>
          <w:tcPr>
            <w:tcW w:w="0" w:type="auto"/>
            <w:gridSpan w:val="3"/>
            <w:shd w:val="clear" w:color="auto" w:fill="DBDBDB"/>
            <w:tcMar>
              <w:top w:w="40" w:type="dxa"/>
              <w:left w:w="515" w:type="dxa"/>
              <w:bottom w:w="40" w:type="dxa"/>
              <w:right w:w="20" w:type="dxa"/>
            </w:tcMar>
            <w:vAlign w:val="bottom"/>
          </w:tcPr>
          <w:p w14:paraId="22CFB119" w14:textId="77777777" w:rsidR="002661BA" w:rsidRDefault="00D972BC">
            <w:pPr>
              <w:textAlignment w:val="bottom"/>
            </w:pPr>
            <w:r>
              <w:rPr>
                <w:rFonts w:ascii="Arial" w:eastAsia="宋体" w:hAnsi="Arial" w:cs="Arial"/>
                <w:color w:val="000000"/>
                <w:sz w:val="18"/>
                <w:szCs w:val="18"/>
              </w:rPr>
              <w:t xml:space="preserve">General and </w:t>
            </w:r>
            <w:r>
              <w:rPr>
                <w:rFonts w:ascii="Arial" w:eastAsia="宋体" w:hAnsi="Arial" w:cs="Arial"/>
                <w:color w:val="000000"/>
                <w:sz w:val="18"/>
                <w:szCs w:val="18"/>
              </w:rPr>
              <w:t>administrative</w:t>
            </w:r>
          </w:p>
        </w:tc>
        <w:tc>
          <w:tcPr>
            <w:tcW w:w="0" w:type="auto"/>
            <w:gridSpan w:val="2"/>
            <w:shd w:val="clear" w:color="auto" w:fill="DBDBDB"/>
            <w:tcMar>
              <w:top w:w="40" w:type="dxa"/>
              <w:left w:w="20" w:type="dxa"/>
              <w:bottom w:w="40" w:type="dxa"/>
              <w:right w:w="0" w:type="dxa"/>
            </w:tcMar>
            <w:vAlign w:val="bottom"/>
          </w:tcPr>
          <w:p w14:paraId="22CFB11A" w14:textId="77777777" w:rsidR="002661BA" w:rsidRDefault="00D972BC">
            <w:pPr>
              <w:jc w:val="right"/>
              <w:textAlignment w:val="bottom"/>
            </w:pPr>
            <w:r>
              <w:rPr>
                <w:rFonts w:ascii="Arial" w:eastAsia="宋体" w:hAnsi="Arial" w:cs="Arial"/>
                <w:color w:val="000000"/>
                <w:sz w:val="18"/>
                <w:szCs w:val="18"/>
              </w:rPr>
              <w:t>921 </w:t>
            </w:r>
          </w:p>
        </w:tc>
        <w:tc>
          <w:tcPr>
            <w:tcW w:w="0" w:type="auto"/>
            <w:shd w:val="clear" w:color="auto" w:fill="DBDBDB"/>
            <w:tcMar>
              <w:top w:w="40" w:type="dxa"/>
              <w:left w:w="0" w:type="dxa"/>
              <w:bottom w:w="40" w:type="dxa"/>
              <w:right w:w="20" w:type="dxa"/>
            </w:tcMar>
            <w:vAlign w:val="bottom"/>
          </w:tcPr>
          <w:p w14:paraId="22CFB11B"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11C"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11D" w14:textId="77777777" w:rsidR="002661BA" w:rsidRDefault="00D972BC">
            <w:pPr>
              <w:jc w:val="right"/>
              <w:textAlignment w:val="bottom"/>
            </w:pPr>
            <w:r>
              <w:rPr>
                <w:rFonts w:ascii="Arial" w:eastAsia="宋体" w:hAnsi="Arial" w:cs="Arial"/>
                <w:color w:val="000000"/>
                <w:sz w:val="18"/>
                <w:szCs w:val="18"/>
              </w:rPr>
              <w:t>985 </w:t>
            </w:r>
          </w:p>
        </w:tc>
        <w:tc>
          <w:tcPr>
            <w:tcW w:w="0" w:type="auto"/>
            <w:shd w:val="clear" w:color="auto" w:fill="DBDBDB"/>
            <w:tcMar>
              <w:top w:w="40" w:type="dxa"/>
              <w:left w:w="0" w:type="dxa"/>
              <w:bottom w:w="40" w:type="dxa"/>
              <w:right w:w="20" w:type="dxa"/>
            </w:tcMar>
            <w:vAlign w:val="bottom"/>
          </w:tcPr>
          <w:p w14:paraId="22CFB11E"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11F"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120" w14:textId="77777777" w:rsidR="002661BA" w:rsidRDefault="00D972BC">
            <w:pPr>
              <w:jc w:val="right"/>
              <w:textAlignment w:val="bottom"/>
            </w:pPr>
            <w:r>
              <w:rPr>
                <w:rFonts w:ascii="Arial" w:eastAsia="宋体" w:hAnsi="Arial" w:cs="Arial"/>
                <w:color w:val="000000"/>
                <w:sz w:val="18"/>
                <w:szCs w:val="18"/>
              </w:rPr>
              <w:t>988 </w:t>
            </w:r>
          </w:p>
        </w:tc>
        <w:tc>
          <w:tcPr>
            <w:tcW w:w="0" w:type="auto"/>
            <w:shd w:val="clear" w:color="auto" w:fill="DBDBDB"/>
            <w:tcMar>
              <w:top w:w="40" w:type="dxa"/>
              <w:left w:w="0" w:type="dxa"/>
              <w:bottom w:w="40" w:type="dxa"/>
              <w:right w:w="20" w:type="dxa"/>
            </w:tcMar>
            <w:vAlign w:val="bottom"/>
          </w:tcPr>
          <w:p w14:paraId="22CFB121" w14:textId="77777777" w:rsidR="002661BA" w:rsidRDefault="002661BA">
            <w:pPr>
              <w:jc w:val="right"/>
              <w:rPr>
                <w:rFonts w:ascii="宋体"/>
              </w:rPr>
            </w:pPr>
          </w:p>
        </w:tc>
      </w:tr>
      <w:tr w:rsidR="002661BA" w14:paraId="22CFB12C" w14:textId="77777777">
        <w:tc>
          <w:tcPr>
            <w:tcW w:w="0" w:type="auto"/>
            <w:gridSpan w:val="3"/>
            <w:shd w:val="clear" w:color="auto" w:fill="FFFFFF"/>
            <w:tcMar>
              <w:top w:w="40" w:type="dxa"/>
              <w:left w:w="515" w:type="dxa"/>
              <w:bottom w:w="40" w:type="dxa"/>
              <w:right w:w="20" w:type="dxa"/>
            </w:tcMar>
            <w:vAlign w:val="bottom"/>
          </w:tcPr>
          <w:p w14:paraId="22CFB123" w14:textId="77777777" w:rsidR="002661BA" w:rsidRDefault="00D972BC">
            <w:pPr>
              <w:textAlignment w:val="bottom"/>
            </w:pPr>
            <w:r>
              <w:rPr>
                <w:rFonts w:ascii="Arial" w:eastAsia="宋体" w:hAnsi="Arial" w:cs="Arial"/>
                <w:color w:val="000000"/>
                <w:sz w:val="18"/>
                <w:szCs w:val="18"/>
              </w:rPr>
              <w:t>Provision for transaction losses</w:t>
            </w:r>
          </w:p>
        </w:tc>
        <w:tc>
          <w:tcPr>
            <w:tcW w:w="0" w:type="auto"/>
            <w:gridSpan w:val="2"/>
            <w:shd w:val="clear" w:color="auto" w:fill="FFFFFF"/>
            <w:tcMar>
              <w:top w:w="40" w:type="dxa"/>
              <w:left w:w="20" w:type="dxa"/>
              <w:bottom w:w="40" w:type="dxa"/>
              <w:right w:w="0" w:type="dxa"/>
            </w:tcMar>
            <w:vAlign w:val="bottom"/>
          </w:tcPr>
          <w:p w14:paraId="22CFB124" w14:textId="77777777" w:rsidR="002661BA" w:rsidRDefault="00D972BC">
            <w:pPr>
              <w:jc w:val="right"/>
              <w:textAlignment w:val="bottom"/>
            </w:pPr>
            <w:r>
              <w:rPr>
                <w:rFonts w:ascii="Arial" w:eastAsia="宋体" w:hAnsi="Arial" w:cs="Arial"/>
                <w:color w:val="000000"/>
                <w:sz w:val="18"/>
                <w:szCs w:val="18"/>
              </w:rPr>
              <w:t>422 </w:t>
            </w:r>
          </w:p>
        </w:tc>
        <w:tc>
          <w:tcPr>
            <w:tcW w:w="0" w:type="auto"/>
            <w:shd w:val="clear" w:color="auto" w:fill="FFFFFF"/>
            <w:tcMar>
              <w:top w:w="40" w:type="dxa"/>
              <w:left w:w="0" w:type="dxa"/>
              <w:bottom w:w="40" w:type="dxa"/>
              <w:right w:w="20" w:type="dxa"/>
            </w:tcMar>
            <w:vAlign w:val="bottom"/>
          </w:tcPr>
          <w:p w14:paraId="22CFB12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126"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127" w14:textId="77777777" w:rsidR="002661BA" w:rsidRDefault="00D972BC">
            <w:pPr>
              <w:jc w:val="right"/>
              <w:textAlignment w:val="bottom"/>
            </w:pPr>
            <w:r>
              <w:rPr>
                <w:rFonts w:ascii="Arial" w:eastAsia="宋体" w:hAnsi="Arial" w:cs="Arial"/>
                <w:color w:val="000000"/>
                <w:sz w:val="18"/>
                <w:szCs w:val="18"/>
              </w:rPr>
              <w:t>330 </w:t>
            </w:r>
          </w:p>
        </w:tc>
        <w:tc>
          <w:tcPr>
            <w:tcW w:w="0" w:type="auto"/>
            <w:shd w:val="clear" w:color="auto" w:fill="FFFFFF"/>
            <w:tcMar>
              <w:top w:w="40" w:type="dxa"/>
              <w:left w:w="0" w:type="dxa"/>
              <w:bottom w:w="40" w:type="dxa"/>
              <w:right w:w="20" w:type="dxa"/>
            </w:tcMar>
            <w:vAlign w:val="bottom"/>
          </w:tcPr>
          <w:p w14:paraId="22CFB12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129"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12A" w14:textId="77777777" w:rsidR="002661BA" w:rsidRDefault="00D972BC">
            <w:pPr>
              <w:jc w:val="right"/>
              <w:textAlignment w:val="bottom"/>
            </w:pPr>
            <w:r>
              <w:rPr>
                <w:rFonts w:ascii="Arial" w:eastAsia="宋体" w:hAnsi="Arial" w:cs="Arial"/>
                <w:color w:val="000000"/>
                <w:sz w:val="18"/>
                <w:szCs w:val="18"/>
              </w:rPr>
              <w:t>262 </w:t>
            </w:r>
          </w:p>
        </w:tc>
        <w:tc>
          <w:tcPr>
            <w:tcW w:w="0" w:type="auto"/>
            <w:shd w:val="clear" w:color="auto" w:fill="FFFFFF"/>
            <w:tcMar>
              <w:top w:w="40" w:type="dxa"/>
              <w:left w:w="0" w:type="dxa"/>
              <w:bottom w:w="40" w:type="dxa"/>
              <w:right w:w="20" w:type="dxa"/>
            </w:tcMar>
            <w:vAlign w:val="bottom"/>
          </w:tcPr>
          <w:p w14:paraId="22CFB12B" w14:textId="77777777" w:rsidR="002661BA" w:rsidRDefault="002661BA">
            <w:pPr>
              <w:jc w:val="right"/>
              <w:rPr>
                <w:rFonts w:ascii="宋体"/>
              </w:rPr>
            </w:pPr>
          </w:p>
        </w:tc>
      </w:tr>
      <w:tr w:rsidR="002661BA" w14:paraId="22CFB136" w14:textId="77777777">
        <w:tc>
          <w:tcPr>
            <w:tcW w:w="0" w:type="auto"/>
            <w:gridSpan w:val="3"/>
            <w:shd w:val="clear" w:color="auto" w:fill="DBDBDB"/>
            <w:tcMar>
              <w:top w:w="40" w:type="dxa"/>
              <w:left w:w="515" w:type="dxa"/>
              <w:bottom w:w="40" w:type="dxa"/>
              <w:right w:w="20" w:type="dxa"/>
            </w:tcMar>
            <w:vAlign w:val="bottom"/>
          </w:tcPr>
          <w:p w14:paraId="22CFB12D" w14:textId="77777777" w:rsidR="002661BA" w:rsidRDefault="00D972BC">
            <w:pPr>
              <w:textAlignment w:val="bottom"/>
            </w:pPr>
            <w:r>
              <w:rPr>
                <w:rFonts w:ascii="Arial" w:eastAsia="宋体" w:hAnsi="Arial" w:cs="Arial"/>
                <w:color w:val="000000"/>
                <w:sz w:val="18"/>
                <w:szCs w:val="18"/>
              </w:rPr>
              <w:t>Amortization of acquired intangible assets</w:t>
            </w:r>
          </w:p>
        </w:tc>
        <w:tc>
          <w:tcPr>
            <w:tcW w:w="0" w:type="auto"/>
            <w:gridSpan w:val="2"/>
            <w:shd w:val="clear" w:color="auto" w:fill="DBDBDB"/>
            <w:tcMar>
              <w:top w:w="40" w:type="dxa"/>
              <w:left w:w="20" w:type="dxa"/>
              <w:bottom w:w="40" w:type="dxa"/>
              <w:right w:w="0" w:type="dxa"/>
            </w:tcMar>
            <w:vAlign w:val="bottom"/>
          </w:tcPr>
          <w:p w14:paraId="22CFB12E" w14:textId="77777777" w:rsidR="002661BA" w:rsidRDefault="00D972BC">
            <w:pPr>
              <w:jc w:val="right"/>
              <w:textAlignment w:val="bottom"/>
            </w:pPr>
            <w:r>
              <w:rPr>
                <w:rFonts w:ascii="Arial" w:eastAsia="宋体" w:hAnsi="Arial" w:cs="Arial"/>
                <w:color w:val="000000"/>
                <w:sz w:val="18"/>
                <w:szCs w:val="18"/>
              </w:rPr>
              <w:t>9 </w:t>
            </w:r>
          </w:p>
        </w:tc>
        <w:tc>
          <w:tcPr>
            <w:tcW w:w="0" w:type="auto"/>
            <w:shd w:val="clear" w:color="auto" w:fill="DBDBDB"/>
            <w:tcMar>
              <w:top w:w="40" w:type="dxa"/>
              <w:left w:w="0" w:type="dxa"/>
              <w:bottom w:w="40" w:type="dxa"/>
              <w:right w:w="20" w:type="dxa"/>
            </w:tcMar>
            <w:vAlign w:val="bottom"/>
          </w:tcPr>
          <w:p w14:paraId="22CFB12F"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130"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131" w14:textId="77777777" w:rsidR="002661BA" w:rsidRDefault="00D972BC">
            <w:pPr>
              <w:jc w:val="right"/>
              <w:textAlignment w:val="bottom"/>
            </w:pPr>
            <w:r>
              <w:rPr>
                <w:rFonts w:ascii="Arial" w:eastAsia="宋体" w:hAnsi="Arial" w:cs="Arial"/>
                <w:color w:val="000000"/>
                <w:sz w:val="18"/>
                <w:szCs w:val="18"/>
              </w:rPr>
              <w:t>27 </w:t>
            </w:r>
          </w:p>
        </w:tc>
        <w:tc>
          <w:tcPr>
            <w:tcW w:w="0" w:type="auto"/>
            <w:shd w:val="clear" w:color="auto" w:fill="DBDBDB"/>
            <w:tcMar>
              <w:top w:w="40" w:type="dxa"/>
              <w:left w:w="0" w:type="dxa"/>
              <w:bottom w:w="40" w:type="dxa"/>
              <w:right w:w="20" w:type="dxa"/>
            </w:tcMar>
            <w:vAlign w:val="bottom"/>
          </w:tcPr>
          <w:p w14:paraId="22CFB132"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133"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134" w14:textId="77777777" w:rsidR="002661BA" w:rsidRDefault="00D972BC">
            <w:pPr>
              <w:jc w:val="right"/>
              <w:textAlignment w:val="bottom"/>
            </w:pPr>
            <w:r>
              <w:rPr>
                <w:rFonts w:ascii="Arial" w:eastAsia="宋体" w:hAnsi="Arial" w:cs="Arial"/>
                <w:color w:val="000000"/>
                <w:sz w:val="18"/>
                <w:szCs w:val="18"/>
              </w:rPr>
              <w:t>28 </w:t>
            </w:r>
          </w:p>
        </w:tc>
        <w:tc>
          <w:tcPr>
            <w:tcW w:w="0" w:type="auto"/>
            <w:shd w:val="clear" w:color="auto" w:fill="DBDBDB"/>
            <w:tcMar>
              <w:top w:w="40" w:type="dxa"/>
              <w:left w:w="0" w:type="dxa"/>
              <w:bottom w:w="40" w:type="dxa"/>
              <w:right w:w="20" w:type="dxa"/>
            </w:tcMar>
            <w:vAlign w:val="bottom"/>
          </w:tcPr>
          <w:p w14:paraId="22CFB135" w14:textId="77777777" w:rsidR="002661BA" w:rsidRDefault="002661BA">
            <w:pPr>
              <w:jc w:val="right"/>
              <w:rPr>
                <w:rFonts w:ascii="宋体"/>
              </w:rPr>
            </w:pPr>
          </w:p>
        </w:tc>
      </w:tr>
      <w:tr w:rsidR="002661BA" w14:paraId="22CFB140" w14:textId="77777777">
        <w:tc>
          <w:tcPr>
            <w:tcW w:w="0" w:type="auto"/>
            <w:gridSpan w:val="3"/>
            <w:shd w:val="clear" w:color="auto" w:fill="FFFFFF"/>
            <w:tcMar>
              <w:top w:w="40" w:type="dxa"/>
              <w:left w:w="875" w:type="dxa"/>
              <w:bottom w:w="40" w:type="dxa"/>
              <w:right w:w="20" w:type="dxa"/>
            </w:tcMar>
            <w:vAlign w:val="bottom"/>
          </w:tcPr>
          <w:p w14:paraId="22CFB137" w14:textId="77777777" w:rsidR="002661BA" w:rsidRDefault="00D972BC">
            <w:pPr>
              <w:textAlignment w:val="bottom"/>
            </w:pPr>
            <w:r>
              <w:rPr>
                <w:rFonts w:ascii="Arial" w:eastAsia="宋体" w:hAnsi="Arial" w:cs="Arial"/>
                <w:color w:val="000000"/>
                <w:sz w:val="18"/>
                <w:szCs w:val="18"/>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138" w14:textId="77777777" w:rsidR="002661BA" w:rsidRDefault="00D972BC">
            <w:pPr>
              <w:jc w:val="right"/>
              <w:textAlignment w:val="bottom"/>
            </w:pPr>
            <w:r>
              <w:rPr>
                <w:rFonts w:ascii="Arial" w:eastAsia="宋体" w:hAnsi="Arial" w:cs="Arial"/>
                <w:color w:val="000000"/>
                <w:sz w:val="18"/>
                <w:szCs w:val="18"/>
              </w:rPr>
              <w:t>4,847 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13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13A"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13B" w14:textId="77777777" w:rsidR="002661BA" w:rsidRDefault="00D972BC">
            <w:pPr>
              <w:jc w:val="right"/>
              <w:textAlignment w:val="bottom"/>
            </w:pPr>
            <w:r>
              <w:rPr>
                <w:rFonts w:ascii="Arial" w:eastAsia="宋体" w:hAnsi="Arial" w:cs="Arial"/>
                <w:color w:val="000000"/>
                <w:sz w:val="18"/>
                <w:szCs w:val="18"/>
              </w:rPr>
              <w:t>4,461 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13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13D"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13E" w14:textId="77777777" w:rsidR="002661BA" w:rsidRDefault="00D972BC">
            <w:pPr>
              <w:jc w:val="right"/>
              <w:textAlignment w:val="bottom"/>
            </w:pPr>
            <w:r>
              <w:rPr>
                <w:rFonts w:ascii="Arial" w:eastAsia="宋体" w:hAnsi="Arial" w:cs="Arial"/>
                <w:color w:val="000000"/>
                <w:sz w:val="18"/>
                <w:szCs w:val="18"/>
              </w:rPr>
              <w:t>4,074 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13F" w14:textId="77777777" w:rsidR="002661BA" w:rsidRDefault="002661BA">
            <w:pPr>
              <w:jc w:val="right"/>
              <w:rPr>
                <w:rFonts w:ascii="宋体"/>
              </w:rPr>
            </w:pPr>
          </w:p>
        </w:tc>
      </w:tr>
      <w:tr w:rsidR="002661BA" w14:paraId="22CFB14A" w14:textId="77777777">
        <w:tc>
          <w:tcPr>
            <w:tcW w:w="0" w:type="auto"/>
            <w:gridSpan w:val="3"/>
            <w:shd w:val="clear" w:color="auto" w:fill="DBDBDB"/>
            <w:tcMar>
              <w:top w:w="40" w:type="dxa"/>
              <w:left w:w="20" w:type="dxa"/>
              <w:bottom w:w="40" w:type="dxa"/>
              <w:right w:w="20" w:type="dxa"/>
            </w:tcMar>
            <w:vAlign w:val="bottom"/>
          </w:tcPr>
          <w:p w14:paraId="22CFB141" w14:textId="77777777" w:rsidR="002661BA" w:rsidRDefault="00D972BC">
            <w:pPr>
              <w:textAlignment w:val="bottom"/>
            </w:pPr>
            <w:r>
              <w:rPr>
                <w:rFonts w:ascii="Arial" w:eastAsia="宋体" w:hAnsi="Arial" w:cs="Arial"/>
                <w:color w:val="000000"/>
                <w:sz w:val="18"/>
                <w:szCs w:val="18"/>
              </w:rPr>
              <w:t>Income from operations</w:t>
            </w: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142" w14:textId="77777777" w:rsidR="002661BA" w:rsidRDefault="00D972BC">
            <w:pPr>
              <w:jc w:val="right"/>
              <w:textAlignment w:val="bottom"/>
            </w:pPr>
            <w:r>
              <w:rPr>
                <w:rFonts w:ascii="Arial" w:eastAsia="宋体" w:hAnsi="Arial" w:cs="Arial"/>
                <w:color w:val="000000"/>
                <w:sz w:val="18"/>
                <w:szCs w:val="18"/>
              </w:rPr>
              <w:t>2,923 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143"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144"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145" w14:textId="77777777" w:rsidR="002661BA" w:rsidRDefault="00D972BC">
            <w:pPr>
              <w:jc w:val="right"/>
              <w:textAlignment w:val="bottom"/>
            </w:pPr>
            <w:r>
              <w:rPr>
                <w:rFonts w:ascii="Arial" w:eastAsia="宋体" w:hAnsi="Arial" w:cs="Arial"/>
                <w:color w:val="000000"/>
                <w:sz w:val="18"/>
                <w:szCs w:val="18"/>
              </w:rPr>
              <w:t>2,636 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146"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147"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148" w14:textId="77777777" w:rsidR="002661BA" w:rsidRDefault="00D972BC">
            <w:pPr>
              <w:jc w:val="right"/>
              <w:textAlignment w:val="bottom"/>
            </w:pPr>
            <w:r>
              <w:rPr>
                <w:rFonts w:ascii="Arial" w:eastAsia="宋体" w:hAnsi="Arial" w:cs="Arial"/>
                <w:color w:val="000000"/>
                <w:sz w:val="18"/>
                <w:szCs w:val="18"/>
              </w:rPr>
              <w:t>1,770 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149" w14:textId="77777777" w:rsidR="002661BA" w:rsidRDefault="002661BA">
            <w:pPr>
              <w:jc w:val="right"/>
              <w:rPr>
                <w:rFonts w:ascii="宋体"/>
              </w:rPr>
            </w:pPr>
          </w:p>
        </w:tc>
      </w:tr>
      <w:tr w:rsidR="002661BA" w14:paraId="22CFB154" w14:textId="77777777">
        <w:tc>
          <w:tcPr>
            <w:tcW w:w="0" w:type="auto"/>
            <w:gridSpan w:val="3"/>
            <w:shd w:val="clear" w:color="auto" w:fill="FFFFFF"/>
            <w:tcMar>
              <w:top w:w="40" w:type="dxa"/>
              <w:left w:w="20" w:type="dxa"/>
              <w:bottom w:w="40" w:type="dxa"/>
              <w:right w:w="20" w:type="dxa"/>
            </w:tcMar>
            <w:vAlign w:val="bottom"/>
          </w:tcPr>
          <w:p w14:paraId="22CFB14B" w14:textId="77777777" w:rsidR="002661BA" w:rsidRDefault="00D972BC">
            <w:pPr>
              <w:textAlignment w:val="bottom"/>
            </w:pPr>
            <w:r>
              <w:rPr>
                <w:rFonts w:ascii="Arial" w:eastAsia="宋体" w:hAnsi="Arial" w:cs="Arial"/>
                <w:color w:val="000000"/>
                <w:sz w:val="18"/>
                <w:szCs w:val="18"/>
              </w:rPr>
              <w:t>Gain (loss) on equity investments and warrant, net</w:t>
            </w:r>
          </w:p>
        </w:tc>
        <w:tc>
          <w:tcPr>
            <w:tcW w:w="0" w:type="auto"/>
            <w:gridSpan w:val="2"/>
            <w:shd w:val="clear" w:color="auto" w:fill="FFFFFF"/>
            <w:tcMar>
              <w:top w:w="40" w:type="dxa"/>
              <w:left w:w="20" w:type="dxa"/>
              <w:bottom w:w="40" w:type="dxa"/>
              <w:right w:w="0" w:type="dxa"/>
            </w:tcMar>
            <w:vAlign w:val="bottom"/>
          </w:tcPr>
          <w:p w14:paraId="22CFB14C" w14:textId="77777777" w:rsidR="002661BA" w:rsidRDefault="00D972BC">
            <w:pPr>
              <w:jc w:val="right"/>
              <w:textAlignment w:val="bottom"/>
            </w:pPr>
            <w:r>
              <w:rPr>
                <w:rFonts w:ascii="Arial" w:eastAsia="宋体" w:hAnsi="Arial" w:cs="Arial"/>
                <w:color w:val="000000"/>
                <w:sz w:val="18"/>
                <w:szCs w:val="18"/>
              </w:rPr>
              <w:t>(2,365)</w:t>
            </w:r>
          </w:p>
        </w:tc>
        <w:tc>
          <w:tcPr>
            <w:tcW w:w="0" w:type="auto"/>
            <w:shd w:val="clear" w:color="auto" w:fill="FFFFFF"/>
            <w:tcMar>
              <w:top w:w="40" w:type="dxa"/>
              <w:left w:w="0" w:type="dxa"/>
              <w:bottom w:w="40" w:type="dxa"/>
              <w:right w:w="20" w:type="dxa"/>
            </w:tcMar>
            <w:vAlign w:val="bottom"/>
          </w:tcPr>
          <w:p w14:paraId="22CFB14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14E"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14F" w14:textId="77777777" w:rsidR="002661BA" w:rsidRDefault="00D972BC">
            <w:pPr>
              <w:jc w:val="right"/>
              <w:textAlignment w:val="bottom"/>
            </w:pPr>
            <w:r>
              <w:rPr>
                <w:rFonts w:ascii="Arial" w:eastAsia="宋体" w:hAnsi="Arial" w:cs="Arial"/>
                <w:color w:val="000000"/>
                <w:sz w:val="18"/>
                <w:szCs w:val="18"/>
              </w:rPr>
              <w:t>1,007 </w:t>
            </w:r>
          </w:p>
        </w:tc>
        <w:tc>
          <w:tcPr>
            <w:tcW w:w="0" w:type="auto"/>
            <w:shd w:val="clear" w:color="auto" w:fill="FFFFFF"/>
            <w:tcMar>
              <w:top w:w="40" w:type="dxa"/>
              <w:left w:w="0" w:type="dxa"/>
              <w:bottom w:w="40" w:type="dxa"/>
              <w:right w:w="20" w:type="dxa"/>
            </w:tcMar>
            <w:vAlign w:val="bottom"/>
          </w:tcPr>
          <w:p w14:paraId="22CFB150"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151"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152" w14:textId="77777777" w:rsidR="002661BA" w:rsidRDefault="00D972BC">
            <w:pPr>
              <w:jc w:val="right"/>
              <w:textAlignment w:val="bottom"/>
            </w:pPr>
            <w:r>
              <w:rPr>
                <w:rFonts w:ascii="Arial" w:eastAsia="宋体" w:hAnsi="Arial" w:cs="Arial"/>
                <w:color w:val="000000"/>
                <w:sz w:val="18"/>
                <w:szCs w:val="18"/>
              </w:rPr>
              <w:t>133 </w:t>
            </w:r>
          </w:p>
        </w:tc>
        <w:tc>
          <w:tcPr>
            <w:tcW w:w="0" w:type="auto"/>
            <w:shd w:val="clear" w:color="auto" w:fill="FFFFFF"/>
            <w:tcMar>
              <w:top w:w="40" w:type="dxa"/>
              <w:left w:w="0" w:type="dxa"/>
              <w:bottom w:w="40" w:type="dxa"/>
              <w:right w:w="20" w:type="dxa"/>
            </w:tcMar>
            <w:vAlign w:val="bottom"/>
          </w:tcPr>
          <w:p w14:paraId="22CFB153" w14:textId="77777777" w:rsidR="002661BA" w:rsidRDefault="002661BA">
            <w:pPr>
              <w:jc w:val="right"/>
              <w:rPr>
                <w:rFonts w:ascii="宋体"/>
              </w:rPr>
            </w:pPr>
          </w:p>
        </w:tc>
      </w:tr>
      <w:tr w:rsidR="002661BA" w14:paraId="22CFB15E" w14:textId="77777777">
        <w:tc>
          <w:tcPr>
            <w:tcW w:w="0" w:type="auto"/>
            <w:gridSpan w:val="3"/>
            <w:shd w:val="clear" w:color="auto" w:fill="DBDBDB"/>
            <w:tcMar>
              <w:top w:w="40" w:type="dxa"/>
              <w:left w:w="20" w:type="dxa"/>
              <w:bottom w:w="40" w:type="dxa"/>
              <w:right w:w="20" w:type="dxa"/>
            </w:tcMar>
            <w:vAlign w:val="bottom"/>
          </w:tcPr>
          <w:p w14:paraId="22CFB155" w14:textId="77777777" w:rsidR="002661BA" w:rsidRDefault="00D972BC">
            <w:pPr>
              <w:textAlignment w:val="bottom"/>
            </w:pPr>
            <w:r>
              <w:rPr>
                <w:rFonts w:ascii="Arial" w:eastAsia="宋体" w:hAnsi="Arial" w:cs="Arial"/>
                <w:color w:val="000000"/>
                <w:sz w:val="18"/>
                <w:szCs w:val="18"/>
              </w:rPr>
              <w:t>Interest and other, net</w:t>
            </w:r>
          </w:p>
        </w:tc>
        <w:tc>
          <w:tcPr>
            <w:tcW w:w="0" w:type="auto"/>
            <w:gridSpan w:val="2"/>
            <w:shd w:val="clear" w:color="auto" w:fill="DBDBDB"/>
            <w:tcMar>
              <w:top w:w="40" w:type="dxa"/>
              <w:left w:w="20" w:type="dxa"/>
              <w:bottom w:w="40" w:type="dxa"/>
              <w:right w:w="0" w:type="dxa"/>
            </w:tcMar>
            <w:vAlign w:val="bottom"/>
          </w:tcPr>
          <w:p w14:paraId="22CFB156" w14:textId="77777777" w:rsidR="002661BA" w:rsidRDefault="00D972BC">
            <w:pPr>
              <w:jc w:val="right"/>
              <w:textAlignment w:val="bottom"/>
            </w:pPr>
            <w:r>
              <w:rPr>
                <w:rFonts w:ascii="Arial" w:eastAsia="宋体" w:hAnsi="Arial" w:cs="Arial"/>
                <w:color w:val="000000"/>
                <w:sz w:val="18"/>
                <w:szCs w:val="18"/>
              </w:rPr>
              <w:t>(160)</w:t>
            </w:r>
          </w:p>
        </w:tc>
        <w:tc>
          <w:tcPr>
            <w:tcW w:w="0" w:type="auto"/>
            <w:shd w:val="clear" w:color="auto" w:fill="DBDBDB"/>
            <w:tcMar>
              <w:top w:w="40" w:type="dxa"/>
              <w:left w:w="0" w:type="dxa"/>
              <w:bottom w:w="40" w:type="dxa"/>
              <w:right w:w="20" w:type="dxa"/>
            </w:tcMar>
            <w:vAlign w:val="bottom"/>
          </w:tcPr>
          <w:p w14:paraId="22CFB157"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158"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159" w14:textId="77777777" w:rsidR="002661BA" w:rsidRDefault="00D972BC">
            <w:pPr>
              <w:jc w:val="right"/>
              <w:textAlignment w:val="bottom"/>
            </w:pPr>
            <w:r>
              <w:rPr>
                <w:rFonts w:ascii="Arial" w:eastAsia="宋体" w:hAnsi="Arial" w:cs="Arial"/>
                <w:color w:val="000000"/>
                <w:sz w:val="18"/>
                <w:szCs w:val="18"/>
              </w:rPr>
              <w:t>(298)</w:t>
            </w:r>
          </w:p>
        </w:tc>
        <w:tc>
          <w:tcPr>
            <w:tcW w:w="0" w:type="auto"/>
            <w:shd w:val="clear" w:color="auto" w:fill="DBDBDB"/>
            <w:tcMar>
              <w:top w:w="40" w:type="dxa"/>
              <w:left w:w="0" w:type="dxa"/>
              <w:bottom w:w="40" w:type="dxa"/>
              <w:right w:w="20" w:type="dxa"/>
            </w:tcMar>
            <w:vAlign w:val="bottom"/>
          </w:tcPr>
          <w:p w14:paraId="22CFB15A"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15B"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15C" w14:textId="77777777" w:rsidR="002661BA" w:rsidRDefault="00D972BC">
            <w:pPr>
              <w:jc w:val="right"/>
              <w:textAlignment w:val="bottom"/>
            </w:pPr>
            <w:r>
              <w:rPr>
                <w:rFonts w:ascii="Arial" w:eastAsia="宋体" w:hAnsi="Arial" w:cs="Arial"/>
                <w:color w:val="000000"/>
                <w:sz w:val="18"/>
                <w:szCs w:val="18"/>
              </w:rPr>
              <w:t>(251)</w:t>
            </w:r>
          </w:p>
        </w:tc>
        <w:tc>
          <w:tcPr>
            <w:tcW w:w="0" w:type="auto"/>
            <w:shd w:val="clear" w:color="auto" w:fill="DBDBDB"/>
            <w:tcMar>
              <w:top w:w="40" w:type="dxa"/>
              <w:left w:w="0" w:type="dxa"/>
              <w:bottom w:w="40" w:type="dxa"/>
              <w:right w:w="20" w:type="dxa"/>
            </w:tcMar>
            <w:vAlign w:val="bottom"/>
          </w:tcPr>
          <w:p w14:paraId="22CFB15D" w14:textId="77777777" w:rsidR="002661BA" w:rsidRDefault="002661BA">
            <w:pPr>
              <w:jc w:val="right"/>
              <w:rPr>
                <w:rFonts w:ascii="宋体"/>
              </w:rPr>
            </w:pPr>
          </w:p>
        </w:tc>
      </w:tr>
      <w:tr w:rsidR="002661BA" w14:paraId="22CFB168" w14:textId="77777777">
        <w:tc>
          <w:tcPr>
            <w:tcW w:w="0" w:type="auto"/>
            <w:gridSpan w:val="3"/>
            <w:shd w:val="clear" w:color="auto" w:fill="FFFFFF"/>
            <w:tcMar>
              <w:top w:w="40" w:type="dxa"/>
              <w:left w:w="20" w:type="dxa"/>
              <w:bottom w:w="40" w:type="dxa"/>
              <w:right w:w="20" w:type="dxa"/>
            </w:tcMar>
            <w:vAlign w:val="bottom"/>
          </w:tcPr>
          <w:p w14:paraId="22CFB15F" w14:textId="77777777" w:rsidR="002661BA" w:rsidRDefault="00D972BC">
            <w:pPr>
              <w:textAlignment w:val="bottom"/>
            </w:pPr>
            <w:r>
              <w:rPr>
                <w:rFonts w:ascii="Arial" w:eastAsia="宋体" w:hAnsi="Arial" w:cs="Arial"/>
                <w:color w:val="000000"/>
                <w:sz w:val="18"/>
                <w:szCs w:val="18"/>
              </w:rPr>
              <w:t>Income from continuing operations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160" w14:textId="77777777" w:rsidR="002661BA" w:rsidRDefault="00D972BC">
            <w:pPr>
              <w:jc w:val="right"/>
              <w:textAlignment w:val="bottom"/>
            </w:pPr>
            <w:r>
              <w:rPr>
                <w:rFonts w:ascii="Arial" w:eastAsia="宋体" w:hAnsi="Arial" w:cs="Arial"/>
                <w:color w:val="000000"/>
                <w:sz w:val="18"/>
                <w:szCs w:val="18"/>
              </w:rPr>
              <w:t>398 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16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162"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163" w14:textId="77777777" w:rsidR="002661BA" w:rsidRDefault="00D972BC">
            <w:pPr>
              <w:jc w:val="right"/>
              <w:textAlignment w:val="bottom"/>
            </w:pPr>
            <w:r>
              <w:rPr>
                <w:rFonts w:ascii="Arial" w:eastAsia="宋体" w:hAnsi="Arial" w:cs="Arial"/>
                <w:color w:val="000000"/>
                <w:sz w:val="18"/>
                <w:szCs w:val="18"/>
              </w:rPr>
              <w:t>3,345 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16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165"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166" w14:textId="77777777" w:rsidR="002661BA" w:rsidRDefault="00D972BC">
            <w:pPr>
              <w:jc w:val="right"/>
              <w:textAlignment w:val="bottom"/>
            </w:pPr>
            <w:r>
              <w:rPr>
                <w:rFonts w:ascii="Arial" w:eastAsia="宋体" w:hAnsi="Arial" w:cs="Arial"/>
                <w:color w:val="000000"/>
                <w:sz w:val="18"/>
                <w:szCs w:val="18"/>
              </w:rPr>
              <w:t>1,652 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167" w14:textId="77777777" w:rsidR="002661BA" w:rsidRDefault="002661BA">
            <w:pPr>
              <w:jc w:val="right"/>
              <w:rPr>
                <w:rFonts w:ascii="宋体"/>
              </w:rPr>
            </w:pPr>
          </w:p>
        </w:tc>
      </w:tr>
      <w:tr w:rsidR="002661BA" w14:paraId="22CFB172" w14:textId="77777777">
        <w:tc>
          <w:tcPr>
            <w:tcW w:w="0" w:type="auto"/>
            <w:gridSpan w:val="3"/>
            <w:shd w:val="clear" w:color="auto" w:fill="DBDBDB"/>
            <w:tcMar>
              <w:top w:w="40" w:type="dxa"/>
              <w:left w:w="20" w:type="dxa"/>
              <w:bottom w:w="40" w:type="dxa"/>
              <w:right w:w="20" w:type="dxa"/>
            </w:tcMar>
            <w:vAlign w:val="bottom"/>
          </w:tcPr>
          <w:p w14:paraId="22CFB169" w14:textId="77777777" w:rsidR="002661BA" w:rsidRDefault="00D972BC">
            <w:pPr>
              <w:textAlignment w:val="bottom"/>
            </w:pPr>
            <w:r>
              <w:rPr>
                <w:rFonts w:ascii="Arial" w:eastAsia="宋体" w:hAnsi="Arial" w:cs="Arial"/>
                <w:color w:val="000000"/>
                <w:sz w:val="18"/>
                <w:szCs w:val="18"/>
              </w:rPr>
              <w:t>Income tax provision</w:t>
            </w:r>
          </w:p>
        </w:tc>
        <w:tc>
          <w:tcPr>
            <w:tcW w:w="0" w:type="auto"/>
            <w:gridSpan w:val="2"/>
            <w:shd w:val="clear" w:color="auto" w:fill="DBDBDB"/>
            <w:tcMar>
              <w:top w:w="40" w:type="dxa"/>
              <w:left w:w="20" w:type="dxa"/>
              <w:bottom w:w="40" w:type="dxa"/>
              <w:right w:w="0" w:type="dxa"/>
            </w:tcMar>
            <w:vAlign w:val="bottom"/>
          </w:tcPr>
          <w:p w14:paraId="22CFB16A" w14:textId="77777777" w:rsidR="002661BA" w:rsidRDefault="00D972BC">
            <w:pPr>
              <w:jc w:val="right"/>
              <w:textAlignment w:val="bottom"/>
            </w:pPr>
            <w:r>
              <w:rPr>
                <w:rFonts w:ascii="Arial" w:eastAsia="宋体" w:hAnsi="Arial" w:cs="Arial"/>
                <w:color w:val="000000"/>
                <w:sz w:val="18"/>
                <w:szCs w:val="18"/>
              </w:rPr>
              <w:t>(146)</w:t>
            </w:r>
          </w:p>
        </w:tc>
        <w:tc>
          <w:tcPr>
            <w:tcW w:w="0" w:type="auto"/>
            <w:shd w:val="clear" w:color="auto" w:fill="DBDBDB"/>
            <w:tcMar>
              <w:top w:w="40" w:type="dxa"/>
              <w:left w:w="0" w:type="dxa"/>
              <w:bottom w:w="40" w:type="dxa"/>
              <w:right w:w="20" w:type="dxa"/>
            </w:tcMar>
            <w:vAlign w:val="bottom"/>
          </w:tcPr>
          <w:p w14:paraId="22CFB16B"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16C"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16D" w14:textId="77777777" w:rsidR="002661BA" w:rsidRDefault="00D972BC">
            <w:pPr>
              <w:jc w:val="right"/>
              <w:textAlignment w:val="bottom"/>
            </w:pPr>
            <w:r>
              <w:rPr>
                <w:rFonts w:ascii="Arial" w:eastAsia="宋体" w:hAnsi="Arial" w:cs="Arial"/>
                <w:color w:val="000000"/>
                <w:sz w:val="18"/>
                <w:szCs w:val="18"/>
              </w:rPr>
              <w:t>(858)</w:t>
            </w:r>
          </w:p>
        </w:tc>
        <w:tc>
          <w:tcPr>
            <w:tcW w:w="0" w:type="auto"/>
            <w:shd w:val="clear" w:color="auto" w:fill="DBDBDB"/>
            <w:tcMar>
              <w:top w:w="40" w:type="dxa"/>
              <w:left w:w="0" w:type="dxa"/>
              <w:bottom w:w="40" w:type="dxa"/>
              <w:right w:w="20" w:type="dxa"/>
            </w:tcMar>
            <w:vAlign w:val="bottom"/>
          </w:tcPr>
          <w:p w14:paraId="22CFB16E"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16F"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170" w14:textId="77777777" w:rsidR="002661BA" w:rsidRDefault="00D972BC">
            <w:pPr>
              <w:jc w:val="right"/>
              <w:textAlignment w:val="bottom"/>
            </w:pPr>
            <w:r>
              <w:rPr>
                <w:rFonts w:ascii="Arial" w:eastAsia="宋体" w:hAnsi="Arial" w:cs="Arial"/>
                <w:color w:val="000000"/>
                <w:sz w:val="18"/>
                <w:szCs w:val="18"/>
              </w:rPr>
              <w:t>(219)</w:t>
            </w:r>
          </w:p>
        </w:tc>
        <w:tc>
          <w:tcPr>
            <w:tcW w:w="0" w:type="auto"/>
            <w:shd w:val="clear" w:color="auto" w:fill="DBDBDB"/>
            <w:tcMar>
              <w:top w:w="40" w:type="dxa"/>
              <w:left w:w="0" w:type="dxa"/>
              <w:bottom w:w="40" w:type="dxa"/>
              <w:right w:w="20" w:type="dxa"/>
            </w:tcMar>
            <w:vAlign w:val="bottom"/>
          </w:tcPr>
          <w:p w14:paraId="22CFB171" w14:textId="77777777" w:rsidR="002661BA" w:rsidRDefault="002661BA">
            <w:pPr>
              <w:jc w:val="right"/>
              <w:rPr>
                <w:rFonts w:ascii="宋体"/>
              </w:rPr>
            </w:pPr>
          </w:p>
        </w:tc>
      </w:tr>
      <w:tr w:rsidR="002661BA" w14:paraId="22CFB17F" w14:textId="77777777">
        <w:tc>
          <w:tcPr>
            <w:tcW w:w="0" w:type="auto"/>
            <w:gridSpan w:val="3"/>
            <w:shd w:val="clear" w:color="auto" w:fill="FFFFFF"/>
            <w:tcMar>
              <w:top w:w="40" w:type="dxa"/>
              <w:left w:w="20" w:type="dxa"/>
              <w:bottom w:w="40" w:type="dxa"/>
              <w:right w:w="20" w:type="dxa"/>
            </w:tcMar>
            <w:vAlign w:val="bottom"/>
          </w:tcPr>
          <w:p w14:paraId="22CFB173" w14:textId="77777777" w:rsidR="002661BA" w:rsidRDefault="00D972BC">
            <w:pPr>
              <w:textAlignment w:val="bottom"/>
            </w:pPr>
            <w:r>
              <w:rPr>
                <w:rFonts w:ascii="Arial" w:eastAsia="宋体" w:hAnsi="Arial" w:cs="Arial"/>
                <w:color w:val="000000"/>
                <w:sz w:val="18"/>
                <w:szCs w:val="18"/>
              </w:rPr>
              <w:t>Income from continuing operations</w:t>
            </w:r>
          </w:p>
        </w:tc>
        <w:tc>
          <w:tcPr>
            <w:tcW w:w="0" w:type="auto"/>
            <w:tcBorders>
              <w:top w:val="single" w:sz="8" w:space="0" w:color="000000"/>
            </w:tcBorders>
            <w:shd w:val="clear" w:color="auto" w:fill="FFFFFF"/>
            <w:tcMar>
              <w:top w:w="40" w:type="dxa"/>
              <w:left w:w="20" w:type="dxa"/>
              <w:bottom w:w="40" w:type="dxa"/>
              <w:right w:w="0" w:type="dxa"/>
            </w:tcMar>
            <w:vAlign w:val="bottom"/>
          </w:tcPr>
          <w:p w14:paraId="22CFB17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175" w14:textId="77777777" w:rsidR="002661BA" w:rsidRDefault="00D972BC">
            <w:pPr>
              <w:jc w:val="right"/>
              <w:textAlignment w:val="bottom"/>
            </w:pPr>
            <w:r>
              <w:rPr>
                <w:rFonts w:ascii="Arial" w:eastAsia="宋体" w:hAnsi="Arial" w:cs="Arial"/>
                <w:color w:val="000000"/>
                <w:sz w:val="18"/>
                <w:szCs w:val="18"/>
              </w:rPr>
              <w:t>252 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17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177"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B17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179" w14:textId="77777777" w:rsidR="002661BA" w:rsidRDefault="00D972BC">
            <w:pPr>
              <w:jc w:val="right"/>
              <w:textAlignment w:val="bottom"/>
            </w:pPr>
            <w:r>
              <w:rPr>
                <w:rFonts w:ascii="Arial" w:eastAsia="宋体" w:hAnsi="Arial" w:cs="Arial"/>
                <w:color w:val="000000"/>
                <w:sz w:val="18"/>
                <w:szCs w:val="18"/>
              </w:rPr>
              <w:t>2,487 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17A"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17B"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B17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17D" w14:textId="77777777" w:rsidR="002661BA" w:rsidRDefault="00D972BC">
            <w:pPr>
              <w:jc w:val="right"/>
              <w:textAlignment w:val="bottom"/>
            </w:pPr>
            <w:r>
              <w:rPr>
                <w:rFonts w:ascii="Arial" w:eastAsia="宋体" w:hAnsi="Arial" w:cs="Arial"/>
                <w:color w:val="000000"/>
                <w:sz w:val="18"/>
                <w:szCs w:val="18"/>
              </w:rPr>
              <w:t>1,433 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17E" w14:textId="77777777" w:rsidR="002661BA" w:rsidRDefault="002661BA">
            <w:pPr>
              <w:jc w:val="right"/>
              <w:rPr>
                <w:rFonts w:ascii="宋体"/>
              </w:rPr>
            </w:pPr>
          </w:p>
        </w:tc>
      </w:tr>
      <w:tr w:rsidR="002661BA" w14:paraId="22CFB189" w14:textId="77777777">
        <w:tc>
          <w:tcPr>
            <w:tcW w:w="0" w:type="auto"/>
            <w:gridSpan w:val="3"/>
            <w:shd w:val="clear" w:color="auto" w:fill="DBDBDB"/>
            <w:tcMar>
              <w:top w:w="40" w:type="dxa"/>
              <w:left w:w="20" w:type="dxa"/>
              <w:bottom w:w="40" w:type="dxa"/>
              <w:right w:w="20" w:type="dxa"/>
            </w:tcMar>
            <w:vAlign w:val="bottom"/>
          </w:tcPr>
          <w:p w14:paraId="22CFB180" w14:textId="77777777" w:rsidR="002661BA" w:rsidRDefault="00D972BC">
            <w:pPr>
              <w:textAlignment w:val="bottom"/>
            </w:pPr>
            <w:r>
              <w:rPr>
                <w:rFonts w:ascii="Arial" w:eastAsia="宋体" w:hAnsi="Arial" w:cs="Arial"/>
                <w:color w:val="000000"/>
                <w:sz w:val="18"/>
                <w:szCs w:val="18"/>
              </w:rPr>
              <w:t>Income from discontinued operations, net of income taxes</w:t>
            </w:r>
          </w:p>
        </w:tc>
        <w:tc>
          <w:tcPr>
            <w:tcW w:w="0" w:type="auto"/>
            <w:gridSpan w:val="2"/>
            <w:shd w:val="clear" w:color="auto" w:fill="DBDBDB"/>
            <w:tcMar>
              <w:top w:w="40" w:type="dxa"/>
              <w:left w:w="20" w:type="dxa"/>
              <w:bottom w:w="40" w:type="dxa"/>
              <w:right w:w="0" w:type="dxa"/>
            </w:tcMar>
            <w:vAlign w:val="bottom"/>
          </w:tcPr>
          <w:p w14:paraId="22CFB181" w14:textId="77777777" w:rsidR="002661BA" w:rsidRDefault="00D972BC">
            <w:pPr>
              <w:jc w:val="right"/>
              <w:textAlignment w:val="bottom"/>
            </w:pPr>
            <w:r>
              <w:rPr>
                <w:rFonts w:ascii="Arial" w:eastAsia="宋体" w:hAnsi="Arial" w:cs="Arial"/>
                <w:color w:val="000000"/>
                <w:sz w:val="18"/>
                <w:szCs w:val="18"/>
              </w:rPr>
              <w:t>13,356 </w:t>
            </w:r>
          </w:p>
        </w:tc>
        <w:tc>
          <w:tcPr>
            <w:tcW w:w="0" w:type="auto"/>
            <w:shd w:val="clear" w:color="auto" w:fill="DBDBDB"/>
            <w:tcMar>
              <w:top w:w="40" w:type="dxa"/>
              <w:left w:w="0" w:type="dxa"/>
              <w:bottom w:w="40" w:type="dxa"/>
              <w:right w:w="20" w:type="dxa"/>
            </w:tcMar>
            <w:vAlign w:val="bottom"/>
          </w:tcPr>
          <w:p w14:paraId="22CFB182"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183"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184" w14:textId="77777777" w:rsidR="002661BA" w:rsidRDefault="00D972BC">
            <w:pPr>
              <w:jc w:val="right"/>
              <w:textAlignment w:val="bottom"/>
            </w:pPr>
            <w:r>
              <w:rPr>
                <w:rFonts w:ascii="Arial" w:eastAsia="宋体" w:hAnsi="Arial" w:cs="Arial"/>
                <w:color w:val="000000"/>
                <w:sz w:val="18"/>
                <w:szCs w:val="18"/>
              </w:rPr>
              <w:t>3,180 </w:t>
            </w:r>
          </w:p>
        </w:tc>
        <w:tc>
          <w:tcPr>
            <w:tcW w:w="0" w:type="auto"/>
            <w:shd w:val="clear" w:color="auto" w:fill="DBDBDB"/>
            <w:tcMar>
              <w:top w:w="40" w:type="dxa"/>
              <w:left w:w="0" w:type="dxa"/>
              <w:bottom w:w="40" w:type="dxa"/>
              <w:right w:w="20" w:type="dxa"/>
            </w:tcMar>
            <w:vAlign w:val="bottom"/>
          </w:tcPr>
          <w:p w14:paraId="22CFB185"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186"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187" w14:textId="77777777" w:rsidR="002661BA" w:rsidRDefault="00D972BC">
            <w:pPr>
              <w:jc w:val="right"/>
              <w:textAlignment w:val="bottom"/>
            </w:pPr>
            <w:r>
              <w:rPr>
                <w:rFonts w:ascii="Arial" w:eastAsia="宋体" w:hAnsi="Arial" w:cs="Arial"/>
                <w:color w:val="000000"/>
                <w:sz w:val="18"/>
                <w:szCs w:val="18"/>
              </w:rPr>
              <w:t>353 </w:t>
            </w:r>
          </w:p>
        </w:tc>
        <w:tc>
          <w:tcPr>
            <w:tcW w:w="0" w:type="auto"/>
            <w:shd w:val="clear" w:color="auto" w:fill="DBDBDB"/>
            <w:tcMar>
              <w:top w:w="40" w:type="dxa"/>
              <w:left w:w="0" w:type="dxa"/>
              <w:bottom w:w="40" w:type="dxa"/>
              <w:right w:w="20" w:type="dxa"/>
            </w:tcMar>
            <w:vAlign w:val="bottom"/>
          </w:tcPr>
          <w:p w14:paraId="22CFB188" w14:textId="77777777" w:rsidR="002661BA" w:rsidRDefault="002661BA">
            <w:pPr>
              <w:jc w:val="right"/>
              <w:rPr>
                <w:rFonts w:ascii="宋体"/>
              </w:rPr>
            </w:pPr>
          </w:p>
        </w:tc>
      </w:tr>
      <w:tr w:rsidR="002661BA" w14:paraId="22CFB196" w14:textId="77777777">
        <w:tc>
          <w:tcPr>
            <w:tcW w:w="0" w:type="auto"/>
            <w:gridSpan w:val="3"/>
            <w:shd w:val="clear" w:color="auto" w:fill="FFFFFF"/>
            <w:tcMar>
              <w:top w:w="40" w:type="dxa"/>
              <w:left w:w="20" w:type="dxa"/>
              <w:bottom w:w="40" w:type="dxa"/>
              <w:right w:w="20" w:type="dxa"/>
            </w:tcMar>
            <w:vAlign w:val="bottom"/>
          </w:tcPr>
          <w:p w14:paraId="22CFB18A" w14:textId="77777777" w:rsidR="002661BA" w:rsidRDefault="00D972BC">
            <w:pPr>
              <w:textAlignment w:val="bottom"/>
            </w:pPr>
            <w:r>
              <w:rPr>
                <w:rFonts w:ascii="Arial" w:eastAsia="宋体" w:hAnsi="Arial" w:cs="Arial"/>
                <w:color w:val="000000"/>
                <w:sz w:val="18"/>
                <w:szCs w:val="18"/>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22CFB18B"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18C" w14:textId="77777777" w:rsidR="002661BA" w:rsidRDefault="00D972BC">
            <w:pPr>
              <w:jc w:val="right"/>
              <w:textAlignment w:val="bottom"/>
            </w:pPr>
            <w:r>
              <w:rPr>
                <w:rFonts w:ascii="Arial" w:eastAsia="宋体" w:hAnsi="Arial" w:cs="Arial"/>
                <w:color w:val="000000"/>
                <w:sz w:val="18"/>
                <w:szCs w:val="18"/>
              </w:rPr>
              <w:t>13,608 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18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18E"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B18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190" w14:textId="77777777" w:rsidR="002661BA" w:rsidRDefault="00D972BC">
            <w:pPr>
              <w:jc w:val="right"/>
              <w:textAlignment w:val="bottom"/>
            </w:pPr>
            <w:r>
              <w:rPr>
                <w:rFonts w:ascii="Arial" w:eastAsia="宋体" w:hAnsi="Arial" w:cs="Arial"/>
                <w:color w:val="000000"/>
                <w:sz w:val="18"/>
                <w:szCs w:val="18"/>
              </w:rPr>
              <w:t>5,667 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19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192"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B19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194" w14:textId="77777777" w:rsidR="002661BA" w:rsidRDefault="00D972BC">
            <w:pPr>
              <w:jc w:val="right"/>
              <w:textAlignment w:val="bottom"/>
            </w:pPr>
            <w:r>
              <w:rPr>
                <w:rFonts w:ascii="Arial" w:eastAsia="宋体" w:hAnsi="Arial" w:cs="Arial"/>
                <w:color w:val="000000"/>
                <w:sz w:val="18"/>
                <w:szCs w:val="18"/>
              </w:rPr>
              <w:t>1,786 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195" w14:textId="77777777" w:rsidR="002661BA" w:rsidRDefault="002661BA">
            <w:pPr>
              <w:jc w:val="right"/>
              <w:rPr>
                <w:rFonts w:ascii="宋体"/>
              </w:rPr>
            </w:pPr>
          </w:p>
        </w:tc>
      </w:tr>
      <w:tr w:rsidR="002661BA" w14:paraId="22CFB19D" w14:textId="77777777">
        <w:trPr>
          <w:trHeight w:val="300"/>
        </w:trPr>
        <w:tc>
          <w:tcPr>
            <w:tcW w:w="0" w:type="auto"/>
            <w:gridSpan w:val="3"/>
            <w:shd w:val="clear" w:color="auto" w:fill="DBDBDB"/>
            <w:tcMar>
              <w:top w:w="0" w:type="dxa"/>
              <w:left w:w="20" w:type="dxa"/>
              <w:bottom w:w="0" w:type="dxa"/>
              <w:right w:w="20" w:type="dxa"/>
            </w:tcMar>
            <w:vAlign w:val="bottom"/>
          </w:tcPr>
          <w:p w14:paraId="22CFB197" w14:textId="77777777" w:rsidR="002661BA" w:rsidRDefault="002661BA">
            <w:pPr>
              <w:rPr>
                <w:rFonts w:ascii="宋体"/>
              </w:rPr>
            </w:pPr>
          </w:p>
        </w:tc>
        <w:tc>
          <w:tcPr>
            <w:tcW w:w="0" w:type="auto"/>
            <w:gridSpan w:val="3"/>
            <w:tcBorders>
              <w:top w:val="double" w:sz="6" w:space="0" w:color="000000"/>
            </w:tcBorders>
            <w:shd w:val="clear" w:color="auto" w:fill="DBDBDB"/>
            <w:tcMar>
              <w:top w:w="0" w:type="dxa"/>
              <w:left w:w="20" w:type="dxa"/>
              <w:bottom w:w="0" w:type="dxa"/>
              <w:right w:w="20" w:type="dxa"/>
            </w:tcMar>
            <w:vAlign w:val="bottom"/>
          </w:tcPr>
          <w:p w14:paraId="22CFB198"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B199" w14:textId="77777777" w:rsidR="002661BA" w:rsidRDefault="002661BA">
            <w:pPr>
              <w:rPr>
                <w:rFonts w:ascii="宋体"/>
              </w:rPr>
            </w:pPr>
          </w:p>
        </w:tc>
        <w:tc>
          <w:tcPr>
            <w:tcW w:w="0" w:type="auto"/>
            <w:gridSpan w:val="3"/>
            <w:tcBorders>
              <w:top w:val="double" w:sz="6" w:space="0" w:color="000000"/>
            </w:tcBorders>
            <w:shd w:val="clear" w:color="auto" w:fill="DBDBDB"/>
            <w:tcMar>
              <w:top w:w="0" w:type="dxa"/>
              <w:left w:w="20" w:type="dxa"/>
              <w:bottom w:w="0" w:type="dxa"/>
              <w:right w:w="20" w:type="dxa"/>
            </w:tcMar>
            <w:vAlign w:val="bottom"/>
          </w:tcPr>
          <w:p w14:paraId="22CFB19A"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B19B" w14:textId="77777777" w:rsidR="002661BA" w:rsidRDefault="002661BA">
            <w:pPr>
              <w:rPr>
                <w:rFonts w:ascii="宋体"/>
              </w:rPr>
            </w:pPr>
          </w:p>
        </w:tc>
        <w:tc>
          <w:tcPr>
            <w:tcW w:w="0" w:type="auto"/>
            <w:gridSpan w:val="3"/>
            <w:tcBorders>
              <w:top w:val="double" w:sz="6" w:space="0" w:color="000000"/>
            </w:tcBorders>
            <w:shd w:val="clear" w:color="auto" w:fill="DBDBDB"/>
            <w:tcMar>
              <w:top w:w="0" w:type="dxa"/>
              <w:left w:w="20" w:type="dxa"/>
              <w:bottom w:w="0" w:type="dxa"/>
              <w:right w:w="20" w:type="dxa"/>
            </w:tcMar>
            <w:vAlign w:val="bottom"/>
          </w:tcPr>
          <w:p w14:paraId="22CFB19C" w14:textId="77777777" w:rsidR="002661BA" w:rsidRDefault="002661BA">
            <w:pPr>
              <w:rPr>
                <w:rFonts w:ascii="宋体"/>
              </w:rPr>
            </w:pPr>
          </w:p>
        </w:tc>
      </w:tr>
      <w:tr w:rsidR="002661BA" w14:paraId="22CFB1A4" w14:textId="77777777">
        <w:tc>
          <w:tcPr>
            <w:tcW w:w="0" w:type="auto"/>
            <w:gridSpan w:val="3"/>
            <w:shd w:val="clear" w:color="auto" w:fill="FFFFFF"/>
            <w:tcMar>
              <w:top w:w="40" w:type="dxa"/>
              <w:left w:w="20" w:type="dxa"/>
              <w:bottom w:w="40" w:type="dxa"/>
              <w:right w:w="20" w:type="dxa"/>
            </w:tcMar>
            <w:vAlign w:val="bottom"/>
          </w:tcPr>
          <w:p w14:paraId="22CFB19E" w14:textId="77777777" w:rsidR="002661BA" w:rsidRDefault="00D972BC">
            <w:pPr>
              <w:textAlignment w:val="bottom"/>
            </w:pPr>
            <w:r>
              <w:rPr>
                <w:rFonts w:ascii="Arial" w:eastAsia="宋体" w:hAnsi="Arial" w:cs="Arial"/>
                <w:color w:val="000000"/>
                <w:sz w:val="18"/>
                <w:szCs w:val="18"/>
              </w:rPr>
              <w:t>Income per share - basic:</w:t>
            </w:r>
          </w:p>
        </w:tc>
        <w:tc>
          <w:tcPr>
            <w:tcW w:w="0" w:type="auto"/>
            <w:gridSpan w:val="3"/>
            <w:shd w:val="clear" w:color="auto" w:fill="FFFFFF"/>
            <w:tcMar>
              <w:top w:w="40" w:type="dxa"/>
              <w:left w:w="20" w:type="dxa"/>
              <w:bottom w:w="40" w:type="dxa"/>
              <w:right w:w="20" w:type="dxa"/>
            </w:tcMar>
            <w:vAlign w:val="bottom"/>
          </w:tcPr>
          <w:p w14:paraId="22CFB19F"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vAlign w:val="bottom"/>
          </w:tcPr>
          <w:p w14:paraId="22CFB1A0"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B1A1"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vAlign w:val="bottom"/>
          </w:tcPr>
          <w:p w14:paraId="22CFB1A2"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1A3" w14:textId="77777777" w:rsidR="002661BA" w:rsidRDefault="002661BA">
            <w:pPr>
              <w:rPr>
                <w:rFonts w:ascii="宋体"/>
              </w:rPr>
            </w:pPr>
          </w:p>
        </w:tc>
      </w:tr>
      <w:tr w:rsidR="002661BA" w14:paraId="22CFB1B1" w14:textId="77777777">
        <w:tc>
          <w:tcPr>
            <w:tcW w:w="0" w:type="auto"/>
            <w:gridSpan w:val="3"/>
            <w:shd w:val="clear" w:color="auto" w:fill="DBDBDB"/>
            <w:tcMar>
              <w:top w:w="40" w:type="dxa"/>
              <w:left w:w="515" w:type="dxa"/>
              <w:bottom w:w="40" w:type="dxa"/>
              <w:right w:w="20" w:type="dxa"/>
            </w:tcMar>
            <w:vAlign w:val="bottom"/>
          </w:tcPr>
          <w:p w14:paraId="22CFB1A5" w14:textId="77777777" w:rsidR="002661BA" w:rsidRDefault="00D972BC">
            <w:pPr>
              <w:textAlignment w:val="bottom"/>
            </w:pPr>
            <w:r>
              <w:rPr>
                <w:rFonts w:ascii="Arial" w:eastAsia="宋体" w:hAnsi="Arial" w:cs="Arial"/>
                <w:color w:val="000000"/>
                <w:sz w:val="18"/>
                <w:szCs w:val="18"/>
              </w:rPr>
              <w:t>Continuing operations</w:t>
            </w:r>
          </w:p>
        </w:tc>
        <w:tc>
          <w:tcPr>
            <w:tcW w:w="0" w:type="auto"/>
            <w:shd w:val="clear" w:color="auto" w:fill="DBDBDB"/>
            <w:tcMar>
              <w:top w:w="40" w:type="dxa"/>
              <w:left w:w="20" w:type="dxa"/>
              <w:bottom w:w="40" w:type="dxa"/>
              <w:right w:w="0" w:type="dxa"/>
            </w:tcMar>
            <w:vAlign w:val="bottom"/>
          </w:tcPr>
          <w:p w14:paraId="22CFB1A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B1A7" w14:textId="77777777" w:rsidR="002661BA" w:rsidRDefault="00D972BC">
            <w:pPr>
              <w:jc w:val="right"/>
              <w:textAlignment w:val="bottom"/>
            </w:pPr>
            <w:r>
              <w:rPr>
                <w:rFonts w:ascii="Arial" w:eastAsia="宋体" w:hAnsi="Arial" w:cs="Arial"/>
                <w:color w:val="000000"/>
                <w:sz w:val="18"/>
                <w:szCs w:val="18"/>
              </w:rPr>
              <w:t>0.39 </w:t>
            </w:r>
          </w:p>
        </w:tc>
        <w:tc>
          <w:tcPr>
            <w:tcW w:w="0" w:type="auto"/>
            <w:shd w:val="clear" w:color="auto" w:fill="DBDBDB"/>
            <w:tcMar>
              <w:top w:w="40" w:type="dxa"/>
              <w:left w:w="0" w:type="dxa"/>
              <w:bottom w:w="40" w:type="dxa"/>
              <w:right w:w="20" w:type="dxa"/>
            </w:tcMar>
            <w:vAlign w:val="bottom"/>
          </w:tcPr>
          <w:p w14:paraId="22CFB1A8"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1A9"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B1AA"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B1AB" w14:textId="77777777" w:rsidR="002661BA" w:rsidRDefault="00D972BC">
            <w:pPr>
              <w:jc w:val="right"/>
              <w:textAlignment w:val="bottom"/>
            </w:pPr>
            <w:r>
              <w:rPr>
                <w:rFonts w:ascii="Arial" w:eastAsia="宋体" w:hAnsi="Arial" w:cs="Arial"/>
                <w:color w:val="000000"/>
                <w:sz w:val="18"/>
                <w:szCs w:val="18"/>
              </w:rPr>
              <w:t>3.50 </w:t>
            </w:r>
          </w:p>
        </w:tc>
        <w:tc>
          <w:tcPr>
            <w:tcW w:w="0" w:type="auto"/>
            <w:shd w:val="clear" w:color="auto" w:fill="DBDBDB"/>
            <w:tcMar>
              <w:top w:w="40" w:type="dxa"/>
              <w:left w:w="0" w:type="dxa"/>
              <w:bottom w:w="40" w:type="dxa"/>
              <w:right w:w="20" w:type="dxa"/>
            </w:tcMar>
            <w:vAlign w:val="bottom"/>
          </w:tcPr>
          <w:p w14:paraId="22CFB1AC"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1AD"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B1AE"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B1AF" w14:textId="77777777" w:rsidR="002661BA" w:rsidRDefault="00D972BC">
            <w:pPr>
              <w:jc w:val="right"/>
              <w:textAlignment w:val="bottom"/>
            </w:pPr>
            <w:r>
              <w:rPr>
                <w:rFonts w:ascii="Arial" w:eastAsia="宋体" w:hAnsi="Arial" w:cs="Arial"/>
                <w:color w:val="000000"/>
                <w:sz w:val="18"/>
                <w:szCs w:val="18"/>
              </w:rPr>
              <w:t>1.69 </w:t>
            </w:r>
          </w:p>
        </w:tc>
        <w:tc>
          <w:tcPr>
            <w:tcW w:w="0" w:type="auto"/>
            <w:shd w:val="clear" w:color="auto" w:fill="DBDBDB"/>
            <w:tcMar>
              <w:top w:w="40" w:type="dxa"/>
              <w:left w:w="0" w:type="dxa"/>
              <w:bottom w:w="40" w:type="dxa"/>
              <w:right w:w="20" w:type="dxa"/>
            </w:tcMar>
            <w:vAlign w:val="bottom"/>
          </w:tcPr>
          <w:p w14:paraId="22CFB1B0" w14:textId="77777777" w:rsidR="002661BA" w:rsidRDefault="002661BA">
            <w:pPr>
              <w:jc w:val="right"/>
              <w:rPr>
                <w:rFonts w:ascii="宋体"/>
              </w:rPr>
            </w:pPr>
          </w:p>
        </w:tc>
      </w:tr>
      <w:tr w:rsidR="002661BA" w14:paraId="22CFB1BB" w14:textId="77777777">
        <w:tc>
          <w:tcPr>
            <w:tcW w:w="0" w:type="auto"/>
            <w:gridSpan w:val="3"/>
            <w:shd w:val="clear" w:color="auto" w:fill="FFFFFF"/>
            <w:tcMar>
              <w:top w:w="40" w:type="dxa"/>
              <w:left w:w="515" w:type="dxa"/>
              <w:bottom w:w="40" w:type="dxa"/>
              <w:right w:w="20" w:type="dxa"/>
            </w:tcMar>
            <w:vAlign w:val="bottom"/>
          </w:tcPr>
          <w:p w14:paraId="22CFB1B2" w14:textId="77777777" w:rsidR="002661BA" w:rsidRDefault="00D972BC">
            <w:pPr>
              <w:textAlignment w:val="bottom"/>
            </w:pPr>
            <w:r>
              <w:rPr>
                <w:rFonts w:ascii="Arial" w:eastAsia="宋体" w:hAnsi="Arial" w:cs="Arial"/>
                <w:color w:val="000000"/>
                <w:sz w:val="18"/>
                <w:szCs w:val="18"/>
              </w:rPr>
              <w:t>Discontinued operations</w:t>
            </w:r>
          </w:p>
        </w:tc>
        <w:tc>
          <w:tcPr>
            <w:tcW w:w="0" w:type="auto"/>
            <w:gridSpan w:val="2"/>
            <w:shd w:val="clear" w:color="auto" w:fill="FFFFFF"/>
            <w:tcMar>
              <w:top w:w="40" w:type="dxa"/>
              <w:left w:w="20" w:type="dxa"/>
              <w:bottom w:w="40" w:type="dxa"/>
              <w:right w:w="0" w:type="dxa"/>
            </w:tcMar>
            <w:vAlign w:val="bottom"/>
          </w:tcPr>
          <w:p w14:paraId="22CFB1B3" w14:textId="77777777" w:rsidR="002661BA" w:rsidRDefault="00D972BC">
            <w:pPr>
              <w:jc w:val="right"/>
              <w:textAlignment w:val="bottom"/>
            </w:pPr>
            <w:r>
              <w:rPr>
                <w:rFonts w:ascii="Arial" w:eastAsia="宋体" w:hAnsi="Arial" w:cs="Arial"/>
                <w:color w:val="000000"/>
                <w:sz w:val="18"/>
                <w:szCs w:val="18"/>
              </w:rPr>
              <w:t>20.48 </w:t>
            </w:r>
          </w:p>
        </w:tc>
        <w:tc>
          <w:tcPr>
            <w:tcW w:w="0" w:type="auto"/>
            <w:shd w:val="clear" w:color="auto" w:fill="FFFFFF"/>
            <w:tcMar>
              <w:top w:w="40" w:type="dxa"/>
              <w:left w:w="0" w:type="dxa"/>
              <w:bottom w:w="40" w:type="dxa"/>
              <w:right w:w="20" w:type="dxa"/>
            </w:tcMar>
            <w:vAlign w:val="bottom"/>
          </w:tcPr>
          <w:p w14:paraId="22CFB1B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1B5"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1B6" w14:textId="77777777" w:rsidR="002661BA" w:rsidRDefault="00D972BC">
            <w:pPr>
              <w:jc w:val="right"/>
              <w:textAlignment w:val="bottom"/>
            </w:pPr>
            <w:r>
              <w:rPr>
                <w:rFonts w:ascii="Arial" w:eastAsia="宋体" w:hAnsi="Arial" w:cs="Arial"/>
                <w:color w:val="000000"/>
                <w:sz w:val="18"/>
                <w:szCs w:val="18"/>
              </w:rPr>
              <w:t>4.48 </w:t>
            </w:r>
          </w:p>
        </w:tc>
        <w:tc>
          <w:tcPr>
            <w:tcW w:w="0" w:type="auto"/>
            <w:shd w:val="clear" w:color="auto" w:fill="FFFFFF"/>
            <w:tcMar>
              <w:top w:w="40" w:type="dxa"/>
              <w:left w:w="0" w:type="dxa"/>
              <w:bottom w:w="40" w:type="dxa"/>
              <w:right w:w="20" w:type="dxa"/>
            </w:tcMar>
            <w:vAlign w:val="bottom"/>
          </w:tcPr>
          <w:p w14:paraId="22CFB1B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1B8"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1B9" w14:textId="77777777" w:rsidR="002661BA" w:rsidRDefault="00D972BC">
            <w:pPr>
              <w:jc w:val="right"/>
              <w:textAlignment w:val="bottom"/>
            </w:pPr>
            <w:r>
              <w:rPr>
                <w:rFonts w:ascii="Arial" w:eastAsia="宋体" w:hAnsi="Arial" w:cs="Arial"/>
                <w:color w:val="000000"/>
                <w:sz w:val="18"/>
                <w:szCs w:val="18"/>
              </w:rPr>
              <w:t>0.41 </w:t>
            </w:r>
          </w:p>
        </w:tc>
        <w:tc>
          <w:tcPr>
            <w:tcW w:w="0" w:type="auto"/>
            <w:shd w:val="clear" w:color="auto" w:fill="FFFFFF"/>
            <w:tcMar>
              <w:top w:w="40" w:type="dxa"/>
              <w:left w:w="0" w:type="dxa"/>
              <w:bottom w:w="40" w:type="dxa"/>
              <w:right w:w="20" w:type="dxa"/>
            </w:tcMar>
            <w:vAlign w:val="bottom"/>
          </w:tcPr>
          <w:p w14:paraId="22CFB1BA" w14:textId="77777777" w:rsidR="002661BA" w:rsidRDefault="002661BA">
            <w:pPr>
              <w:jc w:val="right"/>
              <w:rPr>
                <w:rFonts w:ascii="宋体"/>
              </w:rPr>
            </w:pPr>
          </w:p>
        </w:tc>
      </w:tr>
      <w:tr w:rsidR="002661BA" w14:paraId="22CFB1C8" w14:textId="77777777">
        <w:tc>
          <w:tcPr>
            <w:tcW w:w="0" w:type="auto"/>
            <w:gridSpan w:val="3"/>
            <w:shd w:val="clear" w:color="auto" w:fill="DBDBDB"/>
            <w:tcMar>
              <w:top w:w="40" w:type="dxa"/>
              <w:left w:w="20" w:type="dxa"/>
              <w:bottom w:w="40" w:type="dxa"/>
              <w:right w:w="20" w:type="dxa"/>
            </w:tcMar>
            <w:vAlign w:val="bottom"/>
          </w:tcPr>
          <w:p w14:paraId="22CFB1BC" w14:textId="77777777" w:rsidR="002661BA" w:rsidRDefault="00D972BC">
            <w:pPr>
              <w:textAlignment w:val="bottom"/>
            </w:pPr>
            <w:r>
              <w:rPr>
                <w:rFonts w:ascii="Arial" w:eastAsia="宋体" w:hAnsi="Arial" w:cs="Arial"/>
                <w:color w:val="000000"/>
                <w:sz w:val="18"/>
                <w:szCs w:val="18"/>
              </w:rPr>
              <w:t>Net income per share - basic</w:t>
            </w:r>
          </w:p>
        </w:tc>
        <w:tc>
          <w:tcPr>
            <w:tcW w:w="0" w:type="auto"/>
            <w:tcBorders>
              <w:top w:val="single" w:sz="8" w:space="0" w:color="000000"/>
            </w:tcBorders>
            <w:shd w:val="clear" w:color="auto" w:fill="DBDBDB"/>
            <w:tcMar>
              <w:top w:w="40" w:type="dxa"/>
              <w:left w:w="20" w:type="dxa"/>
              <w:bottom w:w="40" w:type="dxa"/>
              <w:right w:w="0" w:type="dxa"/>
            </w:tcMar>
            <w:vAlign w:val="bottom"/>
          </w:tcPr>
          <w:p w14:paraId="22CFB1B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B1BE" w14:textId="77777777" w:rsidR="002661BA" w:rsidRDefault="00D972BC">
            <w:pPr>
              <w:jc w:val="right"/>
              <w:textAlignment w:val="bottom"/>
            </w:pPr>
            <w:r>
              <w:rPr>
                <w:rFonts w:ascii="Arial" w:eastAsia="宋体" w:hAnsi="Arial" w:cs="Arial"/>
                <w:color w:val="000000"/>
                <w:sz w:val="18"/>
                <w:szCs w:val="18"/>
              </w:rPr>
              <w:t>20.87 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1BF"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1C0"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B1C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B1C2" w14:textId="77777777" w:rsidR="002661BA" w:rsidRDefault="00D972BC">
            <w:pPr>
              <w:jc w:val="right"/>
              <w:textAlignment w:val="bottom"/>
            </w:pPr>
            <w:r>
              <w:rPr>
                <w:rFonts w:ascii="Arial" w:eastAsia="宋体" w:hAnsi="Arial" w:cs="Arial"/>
                <w:color w:val="000000"/>
                <w:sz w:val="18"/>
                <w:szCs w:val="18"/>
              </w:rPr>
              <w:t>7.98 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1C3"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1C4"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B1C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B1C6" w14:textId="77777777" w:rsidR="002661BA" w:rsidRDefault="00D972BC">
            <w:pPr>
              <w:jc w:val="right"/>
              <w:textAlignment w:val="bottom"/>
            </w:pPr>
            <w:r>
              <w:rPr>
                <w:rFonts w:ascii="Arial" w:eastAsia="宋体" w:hAnsi="Arial" w:cs="Arial"/>
                <w:color w:val="000000"/>
                <w:sz w:val="18"/>
                <w:szCs w:val="18"/>
              </w:rPr>
              <w:t>2.10 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1C7" w14:textId="77777777" w:rsidR="002661BA" w:rsidRDefault="002661BA">
            <w:pPr>
              <w:jc w:val="right"/>
              <w:rPr>
                <w:rFonts w:ascii="宋体"/>
              </w:rPr>
            </w:pPr>
          </w:p>
        </w:tc>
      </w:tr>
      <w:tr w:rsidR="002661BA" w14:paraId="22CFB1CF" w14:textId="77777777">
        <w:trPr>
          <w:trHeight w:val="300"/>
        </w:trPr>
        <w:tc>
          <w:tcPr>
            <w:tcW w:w="0" w:type="auto"/>
            <w:gridSpan w:val="3"/>
            <w:shd w:val="clear" w:color="auto" w:fill="FFFFFF"/>
            <w:tcMar>
              <w:top w:w="0" w:type="dxa"/>
              <w:left w:w="20" w:type="dxa"/>
              <w:bottom w:w="0" w:type="dxa"/>
              <w:right w:w="20" w:type="dxa"/>
            </w:tcMar>
            <w:vAlign w:val="bottom"/>
          </w:tcPr>
          <w:p w14:paraId="22CFB1C9" w14:textId="77777777" w:rsidR="002661BA" w:rsidRDefault="002661B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B1CA"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1CB" w14:textId="77777777" w:rsidR="002661BA" w:rsidRDefault="002661B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B1C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1CD" w14:textId="77777777" w:rsidR="002661BA" w:rsidRDefault="002661B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B1CE" w14:textId="77777777" w:rsidR="002661BA" w:rsidRDefault="002661BA">
            <w:pPr>
              <w:rPr>
                <w:rFonts w:ascii="宋体"/>
              </w:rPr>
            </w:pPr>
          </w:p>
        </w:tc>
      </w:tr>
      <w:tr w:rsidR="002661BA" w14:paraId="22CFB1D6" w14:textId="77777777">
        <w:tc>
          <w:tcPr>
            <w:tcW w:w="0" w:type="auto"/>
            <w:gridSpan w:val="3"/>
            <w:shd w:val="clear" w:color="auto" w:fill="DBDBDB"/>
            <w:tcMar>
              <w:top w:w="40" w:type="dxa"/>
              <w:left w:w="20" w:type="dxa"/>
              <w:bottom w:w="40" w:type="dxa"/>
              <w:right w:w="20" w:type="dxa"/>
            </w:tcMar>
            <w:vAlign w:val="bottom"/>
          </w:tcPr>
          <w:p w14:paraId="22CFB1D0" w14:textId="77777777" w:rsidR="002661BA" w:rsidRDefault="00D972BC">
            <w:pPr>
              <w:textAlignment w:val="bottom"/>
            </w:pPr>
            <w:r>
              <w:rPr>
                <w:rFonts w:ascii="Arial" w:eastAsia="宋体" w:hAnsi="Arial" w:cs="Arial"/>
                <w:color w:val="000000"/>
                <w:sz w:val="18"/>
                <w:szCs w:val="18"/>
              </w:rPr>
              <w:t>Income per share - diluted:</w:t>
            </w:r>
          </w:p>
        </w:tc>
        <w:tc>
          <w:tcPr>
            <w:tcW w:w="0" w:type="auto"/>
            <w:gridSpan w:val="3"/>
            <w:shd w:val="clear" w:color="auto" w:fill="DBDBDB"/>
            <w:tcMar>
              <w:top w:w="0" w:type="dxa"/>
              <w:left w:w="20" w:type="dxa"/>
              <w:bottom w:w="0" w:type="dxa"/>
              <w:right w:w="20" w:type="dxa"/>
            </w:tcMar>
            <w:vAlign w:val="bottom"/>
          </w:tcPr>
          <w:p w14:paraId="22CFB1D1"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B1D2"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B1D3"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B1D4"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B1D5" w14:textId="77777777" w:rsidR="002661BA" w:rsidRDefault="002661BA">
            <w:pPr>
              <w:rPr>
                <w:rFonts w:ascii="宋体"/>
              </w:rPr>
            </w:pPr>
          </w:p>
        </w:tc>
      </w:tr>
      <w:tr w:rsidR="002661BA" w14:paraId="22CFB1E3" w14:textId="77777777">
        <w:tc>
          <w:tcPr>
            <w:tcW w:w="0" w:type="auto"/>
            <w:gridSpan w:val="3"/>
            <w:shd w:val="clear" w:color="auto" w:fill="FFFFFF"/>
            <w:tcMar>
              <w:top w:w="40" w:type="dxa"/>
              <w:left w:w="515" w:type="dxa"/>
              <w:bottom w:w="40" w:type="dxa"/>
              <w:right w:w="20" w:type="dxa"/>
            </w:tcMar>
            <w:vAlign w:val="bottom"/>
          </w:tcPr>
          <w:p w14:paraId="22CFB1D7" w14:textId="77777777" w:rsidR="002661BA" w:rsidRDefault="00D972BC">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right w:w="0" w:type="dxa"/>
            </w:tcMar>
            <w:vAlign w:val="bottom"/>
          </w:tcPr>
          <w:p w14:paraId="22CFB1D8"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1D9" w14:textId="77777777" w:rsidR="002661BA" w:rsidRDefault="00D972BC">
            <w:pPr>
              <w:jc w:val="right"/>
              <w:textAlignment w:val="bottom"/>
            </w:pPr>
            <w:r>
              <w:rPr>
                <w:rFonts w:ascii="Arial" w:eastAsia="宋体" w:hAnsi="Arial" w:cs="Arial"/>
                <w:color w:val="000000"/>
                <w:sz w:val="18"/>
                <w:szCs w:val="18"/>
              </w:rPr>
              <w:t>0.38 </w:t>
            </w:r>
          </w:p>
        </w:tc>
        <w:tc>
          <w:tcPr>
            <w:tcW w:w="0" w:type="auto"/>
            <w:shd w:val="clear" w:color="auto" w:fill="FFFFFF"/>
            <w:tcMar>
              <w:top w:w="40" w:type="dxa"/>
              <w:left w:w="0" w:type="dxa"/>
              <w:bottom w:w="40" w:type="dxa"/>
              <w:right w:w="20" w:type="dxa"/>
            </w:tcMar>
            <w:vAlign w:val="bottom"/>
          </w:tcPr>
          <w:p w14:paraId="22CFB1DA"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1DB"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B1D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1DD" w14:textId="77777777" w:rsidR="002661BA" w:rsidRDefault="00D972BC">
            <w:pPr>
              <w:jc w:val="right"/>
              <w:textAlignment w:val="bottom"/>
            </w:pPr>
            <w:r>
              <w:rPr>
                <w:rFonts w:ascii="Arial" w:eastAsia="宋体" w:hAnsi="Arial" w:cs="Arial"/>
                <w:color w:val="000000"/>
                <w:sz w:val="18"/>
                <w:szCs w:val="18"/>
              </w:rPr>
              <w:t>3.46 </w:t>
            </w:r>
          </w:p>
        </w:tc>
        <w:tc>
          <w:tcPr>
            <w:tcW w:w="0" w:type="auto"/>
            <w:shd w:val="clear" w:color="auto" w:fill="FFFFFF"/>
            <w:tcMar>
              <w:top w:w="40" w:type="dxa"/>
              <w:left w:w="0" w:type="dxa"/>
              <w:bottom w:w="40" w:type="dxa"/>
              <w:right w:w="20" w:type="dxa"/>
            </w:tcMar>
            <w:vAlign w:val="bottom"/>
          </w:tcPr>
          <w:p w14:paraId="22CFB1D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1DF"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B1E0"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1E1" w14:textId="77777777" w:rsidR="002661BA" w:rsidRDefault="00D972BC">
            <w:pPr>
              <w:jc w:val="right"/>
              <w:textAlignment w:val="bottom"/>
            </w:pPr>
            <w:r>
              <w:rPr>
                <w:rFonts w:ascii="Arial" w:eastAsia="宋体" w:hAnsi="Arial" w:cs="Arial"/>
                <w:color w:val="000000"/>
                <w:sz w:val="18"/>
                <w:szCs w:val="18"/>
              </w:rPr>
              <w:t>1.68 </w:t>
            </w:r>
          </w:p>
        </w:tc>
        <w:tc>
          <w:tcPr>
            <w:tcW w:w="0" w:type="auto"/>
            <w:shd w:val="clear" w:color="auto" w:fill="FFFFFF"/>
            <w:tcMar>
              <w:top w:w="40" w:type="dxa"/>
              <w:left w:w="0" w:type="dxa"/>
              <w:bottom w:w="40" w:type="dxa"/>
              <w:right w:w="20" w:type="dxa"/>
            </w:tcMar>
            <w:vAlign w:val="bottom"/>
          </w:tcPr>
          <w:p w14:paraId="22CFB1E2" w14:textId="77777777" w:rsidR="002661BA" w:rsidRDefault="002661BA">
            <w:pPr>
              <w:jc w:val="right"/>
              <w:rPr>
                <w:rFonts w:ascii="宋体"/>
              </w:rPr>
            </w:pPr>
          </w:p>
        </w:tc>
      </w:tr>
      <w:tr w:rsidR="002661BA" w14:paraId="22CFB1ED" w14:textId="77777777">
        <w:tc>
          <w:tcPr>
            <w:tcW w:w="0" w:type="auto"/>
            <w:gridSpan w:val="3"/>
            <w:shd w:val="clear" w:color="auto" w:fill="DBDBDB"/>
            <w:tcMar>
              <w:top w:w="40" w:type="dxa"/>
              <w:left w:w="515" w:type="dxa"/>
              <w:bottom w:w="40" w:type="dxa"/>
              <w:right w:w="20" w:type="dxa"/>
            </w:tcMar>
            <w:vAlign w:val="bottom"/>
          </w:tcPr>
          <w:p w14:paraId="22CFB1E4" w14:textId="77777777" w:rsidR="002661BA" w:rsidRDefault="00D972BC">
            <w:pPr>
              <w:textAlignment w:val="bottom"/>
            </w:pPr>
            <w:r>
              <w:rPr>
                <w:rFonts w:ascii="Arial" w:eastAsia="宋体" w:hAnsi="Arial" w:cs="Arial"/>
                <w:color w:val="000000"/>
                <w:sz w:val="18"/>
                <w:szCs w:val="18"/>
              </w:rPr>
              <w:t>Discontinued operations</w:t>
            </w:r>
          </w:p>
        </w:tc>
        <w:tc>
          <w:tcPr>
            <w:tcW w:w="0" w:type="auto"/>
            <w:gridSpan w:val="2"/>
            <w:shd w:val="clear" w:color="auto" w:fill="DBDBDB"/>
            <w:tcMar>
              <w:top w:w="40" w:type="dxa"/>
              <w:left w:w="20" w:type="dxa"/>
              <w:bottom w:w="40" w:type="dxa"/>
              <w:right w:w="0" w:type="dxa"/>
            </w:tcMar>
            <w:vAlign w:val="bottom"/>
          </w:tcPr>
          <w:p w14:paraId="22CFB1E5" w14:textId="77777777" w:rsidR="002661BA" w:rsidRDefault="00D972BC">
            <w:pPr>
              <w:jc w:val="right"/>
              <w:textAlignment w:val="bottom"/>
            </w:pPr>
            <w:r>
              <w:rPr>
                <w:rFonts w:ascii="Arial" w:eastAsia="宋体" w:hAnsi="Arial" w:cs="Arial"/>
                <w:color w:val="000000"/>
                <w:sz w:val="18"/>
                <w:szCs w:val="18"/>
              </w:rPr>
              <w:t>20.16 </w:t>
            </w:r>
          </w:p>
        </w:tc>
        <w:tc>
          <w:tcPr>
            <w:tcW w:w="0" w:type="auto"/>
            <w:shd w:val="clear" w:color="auto" w:fill="DBDBDB"/>
            <w:tcMar>
              <w:top w:w="40" w:type="dxa"/>
              <w:left w:w="0" w:type="dxa"/>
              <w:bottom w:w="40" w:type="dxa"/>
              <w:right w:w="20" w:type="dxa"/>
            </w:tcMar>
            <w:vAlign w:val="bottom"/>
          </w:tcPr>
          <w:p w14:paraId="22CFB1E6"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1E7"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1E8" w14:textId="77777777" w:rsidR="002661BA" w:rsidRDefault="00D972BC">
            <w:pPr>
              <w:jc w:val="right"/>
              <w:textAlignment w:val="bottom"/>
            </w:pPr>
            <w:r>
              <w:rPr>
                <w:rFonts w:ascii="Arial" w:eastAsia="宋体" w:hAnsi="Arial" w:cs="Arial"/>
                <w:color w:val="000000"/>
                <w:sz w:val="18"/>
                <w:szCs w:val="18"/>
              </w:rPr>
              <w:t>4.43 </w:t>
            </w:r>
          </w:p>
        </w:tc>
        <w:tc>
          <w:tcPr>
            <w:tcW w:w="0" w:type="auto"/>
            <w:shd w:val="clear" w:color="auto" w:fill="DBDBDB"/>
            <w:tcMar>
              <w:top w:w="40" w:type="dxa"/>
              <w:left w:w="0" w:type="dxa"/>
              <w:bottom w:w="40" w:type="dxa"/>
              <w:right w:w="20" w:type="dxa"/>
            </w:tcMar>
            <w:vAlign w:val="bottom"/>
          </w:tcPr>
          <w:p w14:paraId="22CFB1E9"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1EA"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1EB" w14:textId="77777777" w:rsidR="002661BA" w:rsidRDefault="00D972BC">
            <w:pPr>
              <w:jc w:val="right"/>
              <w:textAlignment w:val="bottom"/>
            </w:pPr>
            <w:r>
              <w:rPr>
                <w:rFonts w:ascii="Arial" w:eastAsia="宋体" w:hAnsi="Arial" w:cs="Arial"/>
                <w:color w:val="000000"/>
                <w:sz w:val="18"/>
                <w:szCs w:val="18"/>
              </w:rPr>
              <w:t>0.41 </w:t>
            </w:r>
          </w:p>
        </w:tc>
        <w:tc>
          <w:tcPr>
            <w:tcW w:w="0" w:type="auto"/>
            <w:shd w:val="clear" w:color="auto" w:fill="DBDBDB"/>
            <w:tcMar>
              <w:top w:w="40" w:type="dxa"/>
              <w:left w:w="0" w:type="dxa"/>
              <w:bottom w:w="40" w:type="dxa"/>
              <w:right w:w="20" w:type="dxa"/>
            </w:tcMar>
            <w:vAlign w:val="bottom"/>
          </w:tcPr>
          <w:p w14:paraId="22CFB1EC" w14:textId="77777777" w:rsidR="002661BA" w:rsidRDefault="002661BA">
            <w:pPr>
              <w:jc w:val="right"/>
              <w:rPr>
                <w:rFonts w:ascii="宋体"/>
              </w:rPr>
            </w:pPr>
          </w:p>
        </w:tc>
      </w:tr>
      <w:tr w:rsidR="002661BA" w14:paraId="22CFB1FA" w14:textId="77777777">
        <w:tc>
          <w:tcPr>
            <w:tcW w:w="0" w:type="auto"/>
            <w:gridSpan w:val="3"/>
            <w:shd w:val="clear" w:color="auto" w:fill="FFFFFF"/>
            <w:tcMar>
              <w:top w:w="40" w:type="dxa"/>
              <w:left w:w="20" w:type="dxa"/>
              <w:bottom w:w="40" w:type="dxa"/>
              <w:right w:w="20" w:type="dxa"/>
            </w:tcMar>
            <w:vAlign w:val="bottom"/>
          </w:tcPr>
          <w:p w14:paraId="22CFB1EE" w14:textId="77777777" w:rsidR="002661BA" w:rsidRDefault="00D972BC">
            <w:pPr>
              <w:textAlignment w:val="bottom"/>
            </w:pPr>
            <w:r>
              <w:rPr>
                <w:rFonts w:ascii="Arial" w:eastAsia="宋体" w:hAnsi="Arial" w:cs="Arial"/>
                <w:color w:val="000000"/>
                <w:sz w:val="18"/>
                <w:szCs w:val="18"/>
              </w:rPr>
              <w:t>Net income per share - diluted</w:t>
            </w:r>
          </w:p>
        </w:tc>
        <w:tc>
          <w:tcPr>
            <w:tcW w:w="0" w:type="auto"/>
            <w:tcBorders>
              <w:top w:val="single" w:sz="8" w:space="0" w:color="000000"/>
            </w:tcBorders>
            <w:shd w:val="clear" w:color="auto" w:fill="FFFFFF"/>
            <w:tcMar>
              <w:top w:w="40" w:type="dxa"/>
              <w:left w:w="20" w:type="dxa"/>
              <w:bottom w:w="40" w:type="dxa"/>
              <w:right w:w="0" w:type="dxa"/>
            </w:tcMar>
            <w:vAlign w:val="bottom"/>
          </w:tcPr>
          <w:p w14:paraId="22CFB1E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1F0" w14:textId="77777777" w:rsidR="002661BA" w:rsidRDefault="00D972BC">
            <w:pPr>
              <w:jc w:val="right"/>
              <w:textAlignment w:val="bottom"/>
            </w:pPr>
            <w:r>
              <w:rPr>
                <w:rFonts w:ascii="Arial" w:eastAsia="宋体" w:hAnsi="Arial" w:cs="Arial"/>
                <w:color w:val="000000"/>
                <w:sz w:val="18"/>
                <w:szCs w:val="18"/>
              </w:rPr>
              <w:t>20.54 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1F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1F2"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B1F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1F4" w14:textId="77777777" w:rsidR="002661BA" w:rsidRDefault="00D972BC">
            <w:pPr>
              <w:jc w:val="right"/>
              <w:textAlignment w:val="bottom"/>
            </w:pPr>
            <w:r>
              <w:rPr>
                <w:rFonts w:ascii="Arial" w:eastAsia="宋体" w:hAnsi="Arial" w:cs="Arial"/>
                <w:color w:val="000000"/>
                <w:sz w:val="18"/>
                <w:szCs w:val="18"/>
              </w:rPr>
              <w:t>7.89 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1F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1F6"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B1F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1F8" w14:textId="77777777" w:rsidR="002661BA" w:rsidRDefault="00D972BC">
            <w:pPr>
              <w:jc w:val="right"/>
              <w:textAlignment w:val="bottom"/>
            </w:pPr>
            <w:r>
              <w:rPr>
                <w:rFonts w:ascii="Arial" w:eastAsia="宋体" w:hAnsi="Arial" w:cs="Arial"/>
                <w:color w:val="000000"/>
                <w:sz w:val="18"/>
                <w:szCs w:val="18"/>
              </w:rPr>
              <w:t>2.09 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1F9" w14:textId="77777777" w:rsidR="002661BA" w:rsidRDefault="002661BA">
            <w:pPr>
              <w:jc w:val="right"/>
              <w:rPr>
                <w:rFonts w:ascii="宋体"/>
              </w:rPr>
            </w:pPr>
          </w:p>
        </w:tc>
      </w:tr>
      <w:tr w:rsidR="002661BA" w14:paraId="22CFB201" w14:textId="77777777">
        <w:trPr>
          <w:trHeight w:val="300"/>
        </w:trPr>
        <w:tc>
          <w:tcPr>
            <w:tcW w:w="0" w:type="auto"/>
            <w:gridSpan w:val="3"/>
            <w:shd w:val="clear" w:color="auto" w:fill="DBDBDB"/>
            <w:tcMar>
              <w:top w:w="0" w:type="dxa"/>
              <w:left w:w="20" w:type="dxa"/>
              <w:bottom w:w="0" w:type="dxa"/>
              <w:right w:w="20" w:type="dxa"/>
            </w:tcMar>
            <w:vAlign w:val="bottom"/>
          </w:tcPr>
          <w:p w14:paraId="22CFB1FB" w14:textId="77777777" w:rsidR="002661BA" w:rsidRDefault="002661BA">
            <w:pPr>
              <w:rPr>
                <w:rFonts w:ascii="宋体"/>
              </w:rPr>
            </w:pPr>
          </w:p>
        </w:tc>
        <w:tc>
          <w:tcPr>
            <w:tcW w:w="0" w:type="auto"/>
            <w:gridSpan w:val="3"/>
            <w:tcBorders>
              <w:top w:val="double" w:sz="6" w:space="0" w:color="000000"/>
            </w:tcBorders>
            <w:shd w:val="clear" w:color="auto" w:fill="DBDBDB"/>
            <w:tcMar>
              <w:top w:w="0" w:type="dxa"/>
              <w:left w:w="20" w:type="dxa"/>
              <w:bottom w:w="0" w:type="dxa"/>
              <w:right w:w="20" w:type="dxa"/>
            </w:tcMar>
            <w:vAlign w:val="bottom"/>
          </w:tcPr>
          <w:p w14:paraId="22CFB1FC"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B1FD" w14:textId="77777777" w:rsidR="002661BA" w:rsidRDefault="002661BA">
            <w:pPr>
              <w:rPr>
                <w:rFonts w:ascii="宋体"/>
              </w:rPr>
            </w:pPr>
          </w:p>
        </w:tc>
        <w:tc>
          <w:tcPr>
            <w:tcW w:w="0" w:type="auto"/>
            <w:gridSpan w:val="3"/>
            <w:tcBorders>
              <w:top w:val="double" w:sz="6" w:space="0" w:color="000000"/>
            </w:tcBorders>
            <w:shd w:val="clear" w:color="auto" w:fill="DBDBDB"/>
            <w:tcMar>
              <w:top w:w="0" w:type="dxa"/>
              <w:left w:w="20" w:type="dxa"/>
              <w:bottom w:w="0" w:type="dxa"/>
              <w:right w:w="20" w:type="dxa"/>
            </w:tcMar>
            <w:vAlign w:val="bottom"/>
          </w:tcPr>
          <w:p w14:paraId="22CFB1FE"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B1FF" w14:textId="77777777" w:rsidR="002661BA" w:rsidRDefault="002661BA">
            <w:pPr>
              <w:rPr>
                <w:rFonts w:ascii="宋体"/>
              </w:rPr>
            </w:pPr>
          </w:p>
        </w:tc>
        <w:tc>
          <w:tcPr>
            <w:tcW w:w="0" w:type="auto"/>
            <w:gridSpan w:val="3"/>
            <w:tcBorders>
              <w:top w:val="double" w:sz="6" w:space="0" w:color="000000"/>
            </w:tcBorders>
            <w:shd w:val="clear" w:color="auto" w:fill="DBDBDB"/>
            <w:tcMar>
              <w:top w:w="0" w:type="dxa"/>
              <w:left w:w="20" w:type="dxa"/>
              <w:bottom w:w="0" w:type="dxa"/>
              <w:right w:w="20" w:type="dxa"/>
            </w:tcMar>
            <w:vAlign w:val="bottom"/>
          </w:tcPr>
          <w:p w14:paraId="22CFB200" w14:textId="77777777" w:rsidR="002661BA" w:rsidRDefault="002661BA">
            <w:pPr>
              <w:rPr>
                <w:rFonts w:ascii="宋体"/>
              </w:rPr>
            </w:pPr>
          </w:p>
        </w:tc>
      </w:tr>
      <w:tr w:rsidR="002661BA" w14:paraId="22CFB208" w14:textId="77777777">
        <w:tc>
          <w:tcPr>
            <w:tcW w:w="0" w:type="auto"/>
            <w:gridSpan w:val="3"/>
            <w:shd w:val="clear" w:color="auto" w:fill="FFFFFF"/>
            <w:tcMar>
              <w:top w:w="40" w:type="dxa"/>
              <w:left w:w="20" w:type="dxa"/>
              <w:bottom w:w="40" w:type="dxa"/>
              <w:right w:w="20" w:type="dxa"/>
            </w:tcMar>
            <w:vAlign w:val="bottom"/>
          </w:tcPr>
          <w:p w14:paraId="22CFB202" w14:textId="77777777" w:rsidR="002661BA" w:rsidRDefault="00D972BC">
            <w:pPr>
              <w:textAlignment w:val="bottom"/>
            </w:pPr>
            <w:r>
              <w:rPr>
                <w:rFonts w:ascii="Arial" w:eastAsia="宋体" w:hAnsi="Arial" w:cs="Arial"/>
                <w:color w:val="000000"/>
                <w:sz w:val="18"/>
                <w:szCs w:val="18"/>
              </w:rPr>
              <w:t>Weighted average shares:</w:t>
            </w:r>
          </w:p>
        </w:tc>
        <w:tc>
          <w:tcPr>
            <w:tcW w:w="0" w:type="auto"/>
            <w:gridSpan w:val="3"/>
            <w:shd w:val="clear" w:color="auto" w:fill="FFFFFF"/>
            <w:tcMar>
              <w:top w:w="40" w:type="dxa"/>
              <w:left w:w="20" w:type="dxa"/>
              <w:bottom w:w="40" w:type="dxa"/>
              <w:right w:w="20" w:type="dxa"/>
            </w:tcMar>
            <w:vAlign w:val="bottom"/>
          </w:tcPr>
          <w:p w14:paraId="22CFB203"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vAlign w:val="bottom"/>
          </w:tcPr>
          <w:p w14:paraId="22CFB204"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B205"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vAlign w:val="bottom"/>
          </w:tcPr>
          <w:p w14:paraId="22CFB206"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207" w14:textId="77777777" w:rsidR="002661BA" w:rsidRDefault="002661BA">
            <w:pPr>
              <w:rPr>
                <w:rFonts w:ascii="宋体"/>
              </w:rPr>
            </w:pPr>
          </w:p>
        </w:tc>
      </w:tr>
      <w:tr w:rsidR="002661BA" w14:paraId="22CFB212" w14:textId="77777777">
        <w:tc>
          <w:tcPr>
            <w:tcW w:w="0" w:type="auto"/>
            <w:gridSpan w:val="3"/>
            <w:shd w:val="clear" w:color="auto" w:fill="DBDBDB"/>
            <w:tcMar>
              <w:top w:w="40" w:type="dxa"/>
              <w:left w:w="515" w:type="dxa"/>
              <w:bottom w:w="40" w:type="dxa"/>
              <w:right w:w="20" w:type="dxa"/>
            </w:tcMar>
            <w:vAlign w:val="bottom"/>
          </w:tcPr>
          <w:p w14:paraId="22CFB209" w14:textId="77777777" w:rsidR="002661BA" w:rsidRDefault="00D972BC">
            <w:pPr>
              <w:textAlignment w:val="bottom"/>
            </w:pPr>
            <w:r>
              <w:rPr>
                <w:rFonts w:ascii="Arial" w:eastAsia="宋体" w:hAnsi="Arial" w:cs="Arial"/>
                <w:color w:val="000000"/>
                <w:sz w:val="18"/>
                <w:szCs w:val="18"/>
              </w:rPr>
              <w:t>Basic</w:t>
            </w:r>
          </w:p>
        </w:tc>
        <w:tc>
          <w:tcPr>
            <w:tcW w:w="0" w:type="auto"/>
            <w:gridSpan w:val="2"/>
            <w:shd w:val="clear" w:color="auto" w:fill="DBDBDB"/>
            <w:tcMar>
              <w:top w:w="40" w:type="dxa"/>
              <w:left w:w="20" w:type="dxa"/>
              <w:bottom w:w="40" w:type="dxa"/>
              <w:right w:w="0" w:type="dxa"/>
            </w:tcMar>
            <w:vAlign w:val="bottom"/>
          </w:tcPr>
          <w:p w14:paraId="22CFB20A" w14:textId="77777777" w:rsidR="002661BA" w:rsidRDefault="00D972BC">
            <w:pPr>
              <w:jc w:val="right"/>
              <w:textAlignment w:val="bottom"/>
            </w:pPr>
            <w:r>
              <w:rPr>
                <w:rFonts w:ascii="Arial" w:eastAsia="宋体" w:hAnsi="Arial" w:cs="Arial"/>
                <w:color w:val="000000"/>
                <w:sz w:val="18"/>
                <w:szCs w:val="18"/>
              </w:rPr>
              <w:t>652 </w:t>
            </w:r>
          </w:p>
        </w:tc>
        <w:tc>
          <w:tcPr>
            <w:tcW w:w="0" w:type="auto"/>
            <w:shd w:val="clear" w:color="auto" w:fill="DBDBDB"/>
            <w:tcMar>
              <w:top w:w="40" w:type="dxa"/>
              <w:left w:w="0" w:type="dxa"/>
              <w:bottom w:w="40" w:type="dxa"/>
              <w:right w:w="20" w:type="dxa"/>
            </w:tcMar>
            <w:vAlign w:val="bottom"/>
          </w:tcPr>
          <w:p w14:paraId="22CFB20B"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20C"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20D" w14:textId="77777777" w:rsidR="002661BA" w:rsidRDefault="00D972BC">
            <w:pPr>
              <w:jc w:val="right"/>
              <w:textAlignment w:val="bottom"/>
            </w:pPr>
            <w:r>
              <w:rPr>
                <w:rFonts w:ascii="Arial" w:eastAsia="宋体" w:hAnsi="Arial" w:cs="Arial"/>
                <w:color w:val="000000"/>
                <w:sz w:val="18"/>
                <w:szCs w:val="18"/>
              </w:rPr>
              <w:t>710 </w:t>
            </w:r>
          </w:p>
        </w:tc>
        <w:tc>
          <w:tcPr>
            <w:tcW w:w="0" w:type="auto"/>
            <w:shd w:val="clear" w:color="auto" w:fill="DBDBDB"/>
            <w:tcMar>
              <w:top w:w="40" w:type="dxa"/>
              <w:left w:w="0" w:type="dxa"/>
              <w:bottom w:w="40" w:type="dxa"/>
              <w:right w:w="20" w:type="dxa"/>
            </w:tcMar>
            <w:vAlign w:val="bottom"/>
          </w:tcPr>
          <w:p w14:paraId="22CFB20E"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20F"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210" w14:textId="77777777" w:rsidR="002661BA" w:rsidRDefault="00D972BC">
            <w:pPr>
              <w:jc w:val="right"/>
              <w:textAlignment w:val="bottom"/>
            </w:pPr>
            <w:r>
              <w:rPr>
                <w:rFonts w:ascii="Arial" w:eastAsia="宋体" w:hAnsi="Arial" w:cs="Arial"/>
                <w:color w:val="000000"/>
                <w:sz w:val="18"/>
                <w:szCs w:val="18"/>
              </w:rPr>
              <w:t>849 </w:t>
            </w:r>
          </w:p>
        </w:tc>
        <w:tc>
          <w:tcPr>
            <w:tcW w:w="0" w:type="auto"/>
            <w:shd w:val="clear" w:color="auto" w:fill="DBDBDB"/>
            <w:tcMar>
              <w:top w:w="40" w:type="dxa"/>
              <w:left w:w="0" w:type="dxa"/>
              <w:bottom w:w="40" w:type="dxa"/>
              <w:right w:w="20" w:type="dxa"/>
            </w:tcMar>
            <w:vAlign w:val="bottom"/>
          </w:tcPr>
          <w:p w14:paraId="22CFB211" w14:textId="77777777" w:rsidR="002661BA" w:rsidRDefault="002661BA">
            <w:pPr>
              <w:jc w:val="right"/>
              <w:rPr>
                <w:rFonts w:ascii="宋体"/>
              </w:rPr>
            </w:pPr>
          </w:p>
        </w:tc>
      </w:tr>
      <w:tr w:rsidR="002661BA" w14:paraId="22CFB21C" w14:textId="77777777">
        <w:tc>
          <w:tcPr>
            <w:tcW w:w="0" w:type="auto"/>
            <w:gridSpan w:val="3"/>
            <w:shd w:val="clear" w:color="auto" w:fill="FFFFFF"/>
            <w:tcMar>
              <w:top w:w="40" w:type="dxa"/>
              <w:left w:w="515" w:type="dxa"/>
              <w:bottom w:w="40" w:type="dxa"/>
              <w:right w:w="20" w:type="dxa"/>
            </w:tcMar>
            <w:vAlign w:val="bottom"/>
          </w:tcPr>
          <w:p w14:paraId="22CFB213" w14:textId="77777777" w:rsidR="002661BA" w:rsidRDefault="00D972BC">
            <w:pPr>
              <w:textAlignment w:val="bottom"/>
            </w:pPr>
            <w:r>
              <w:rPr>
                <w:rFonts w:ascii="Arial" w:eastAsia="宋体" w:hAnsi="Arial" w:cs="Arial"/>
                <w:color w:val="000000"/>
                <w:sz w:val="18"/>
                <w:szCs w:val="18"/>
              </w:rPr>
              <w:t>Diluted</w:t>
            </w: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22CFB214" w14:textId="77777777" w:rsidR="002661BA" w:rsidRDefault="00D972BC">
            <w:pPr>
              <w:jc w:val="right"/>
              <w:textAlignment w:val="bottom"/>
            </w:pPr>
            <w:r>
              <w:rPr>
                <w:rFonts w:ascii="Arial" w:eastAsia="宋体" w:hAnsi="Arial" w:cs="Arial"/>
                <w:color w:val="000000"/>
                <w:sz w:val="18"/>
                <w:szCs w:val="18"/>
              </w:rPr>
              <w:t>663 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22CFB21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216" w14:textId="77777777" w:rsidR="002661BA" w:rsidRDefault="002661BA">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22CFB217" w14:textId="77777777" w:rsidR="002661BA" w:rsidRDefault="00D972BC">
            <w:pPr>
              <w:jc w:val="right"/>
              <w:textAlignment w:val="bottom"/>
            </w:pPr>
            <w:r>
              <w:rPr>
                <w:rFonts w:ascii="Arial" w:eastAsia="宋体" w:hAnsi="Arial" w:cs="Arial"/>
                <w:color w:val="000000"/>
                <w:sz w:val="18"/>
                <w:szCs w:val="18"/>
              </w:rPr>
              <w:t>718 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22CFB21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219" w14:textId="77777777" w:rsidR="002661BA" w:rsidRDefault="002661BA">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22CFB21A" w14:textId="77777777" w:rsidR="002661BA" w:rsidRDefault="00D972BC">
            <w:pPr>
              <w:jc w:val="right"/>
              <w:textAlignment w:val="bottom"/>
            </w:pPr>
            <w:r>
              <w:rPr>
                <w:rFonts w:ascii="Arial" w:eastAsia="宋体" w:hAnsi="Arial" w:cs="Arial"/>
                <w:color w:val="000000"/>
                <w:sz w:val="18"/>
                <w:szCs w:val="18"/>
              </w:rPr>
              <w:t>856 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22CFB21B" w14:textId="77777777" w:rsidR="002661BA" w:rsidRDefault="002661BA">
            <w:pPr>
              <w:jc w:val="right"/>
              <w:rPr>
                <w:rFonts w:ascii="宋体"/>
              </w:rPr>
            </w:pPr>
          </w:p>
        </w:tc>
      </w:tr>
    </w:tbl>
    <w:p w14:paraId="22CFB21D" w14:textId="77777777" w:rsidR="002661BA" w:rsidRDefault="00D972BC">
      <w:pPr>
        <w:spacing w:before="120"/>
        <w:jc w:val="center"/>
      </w:pPr>
      <w:r>
        <w:rPr>
          <w:rFonts w:ascii="Arial" w:eastAsia="宋体" w:hAnsi="Arial" w:cs="Arial"/>
          <w:color w:val="000000"/>
          <w:sz w:val="18"/>
          <w:szCs w:val="18"/>
        </w:rPr>
        <w:t xml:space="preserve">The accompanying notes are an integral part of these consolidated financial statements. </w:t>
      </w:r>
    </w:p>
    <w:p w14:paraId="22CFB21E" w14:textId="77777777" w:rsidR="002661BA" w:rsidRDefault="002661BA">
      <w:pPr>
        <w:jc w:val="center"/>
      </w:pPr>
    </w:p>
    <w:p w14:paraId="22CFB21F" w14:textId="77777777" w:rsidR="002661BA" w:rsidRDefault="00D972BC">
      <w:pPr>
        <w:jc w:val="center"/>
      </w:pPr>
      <w:r>
        <w:rPr>
          <w:rFonts w:ascii="Arial" w:eastAsia="宋体" w:hAnsi="Arial" w:cs="Arial"/>
          <w:color w:val="000000"/>
          <w:sz w:val="18"/>
          <w:szCs w:val="18"/>
        </w:rPr>
        <w:t>58</w:t>
      </w:r>
    </w:p>
    <w:p w14:paraId="22CFB220" w14:textId="77777777" w:rsidR="002661BA" w:rsidRDefault="00D972BC">
      <w:r>
        <w:pict w14:anchorId="22CFE4EB">
          <v:rect id="_x0000_i1082" style="width:415.3pt;height:1.5pt" o:hralign="center" o:hrstd="t" o:hr="t" fillcolor="#a0a0a0" stroked="f"/>
        </w:pict>
      </w:r>
    </w:p>
    <w:p w14:paraId="22CFB221" w14:textId="77777777" w:rsidR="002661BA" w:rsidRDefault="00D972BC">
      <w:hyperlink r:id="rId93" w:anchor="id0d7a71b05ce452ea9fdb54f3cb359c7_7" w:history="1">
        <w:r>
          <w:rPr>
            <w:rStyle w:val="a5"/>
            <w:rFonts w:ascii="Arial" w:eastAsia="宋体" w:hAnsi="Arial" w:cs="Arial"/>
            <w:sz w:val="18"/>
            <w:szCs w:val="18"/>
          </w:rPr>
          <w:t>Table of Co</w:t>
        </w:r>
        <w:r>
          <w:rPr>
            <w:rStyle w:val="a5"/>
            <w:rFonts w:ascii="Arial" w:eastAsia="宋体" w:hAnsi="Arial" w:cs="Arial"/>
            <w:sz w:val="18"/>
            <w:szCs w:val="18"/>
          </w:rPr>
          <w:t>ntents</w:t>
        </w:r>
      </w:hyperlink>
    </w:p>
    <w:p w14:paraId="22CFB222" w14:textId="77777777" w:rsidR="002661BA" w:rsidRDefault="00D972BC">
      <w:pPr>
        <w:jc w:val="center"/>
      </w:pPr>
      <w:r>
        <w:rPr>
          <w:rFonts w:ascii="Arial" w:eastAsia="宋体" w:hAnsi="Arial" w:cs="Arial"/>
          <w:b/>
          <w:bCs/>
          <w:color w:val="000000"/>
          <w:sz w:val="20"/>
          <w:szCs w:val="20"/>
        </w:rPr>
        <w:t>eBay Inc.</w:t>
      </w:r>
    </w:p>
    <w:p w14:paraId="22CFB223" w14:textId="77777777" w:rsidR="002661BA" w:rsidRDefault="00D972BC">
      <w:pPr>
        <w:spacing w:before="80" w:after="120"/>
        <w:jc w:val="center"/>
      </w:pPr>
      <w:r>
        <w:rPr>
          <w:rFonts w:ascii="Arial" w:eastAsia="宋体" w:hAnsi="Arial" w:cs="Arial"/>
          <w:b/>
          <w:bCs/>
          <w:color w:val="000000"/>
          <w:sz w:val="20"/>
          <w:szCs w:val="20"/>
        </w:rPr>
        <w:t>CONSOLIDATED STATEMENT OF COMPREHENSIVE INCOME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873"/>
        <w:gridCol w:w="38"/>
        <w:gridCol w:w="121"/>
        <w:gridCol w:w="898"/>
        <w:gridCol w:w="36"/>
        <w:gridCol w:w="36"/>
        <w:gridCol w:w="36"/>
        <w:gridCol w:w="36"/>
        <w:gridCol w:w="121"/>
        <w:gridCol w:w="899"/>
        <w:gridCol w:w="36"/>
        <w:gridCol w:w="36"/>
        <w:gridCol w:w="36"/>
        <w:gridCol w:w="36"/>
        <w:gridCol w:w="121"/>
        <w:gridCol w:w="901"/>
        <w:gridCol w:w="36"/>
      </w:tblGrid>
      <w:tr w:rsidR="002661BA" w14:paraId="22CFB236" w14:textId="77777777">
        <w:trPr>
          <w:jc w:val="center"/>
        </w:trPr>
        <w:tc>
          <w:tcPr>
            <w:tcW w:w="50" w:type="pct"/>
            <w:shd w:val="clear" w:color="auto" w:fill="auto"/>
            <w:vAlign w:val="bottom"/>
          </w:tcPr>
          <w:p w14:paraId="22CFB224" w14:textId="77777777" w:rsidR="002661BA" w:rsidRDefault="002661BA">
            <w:pPr>
              <w:rPr>
                <w:rFonts w:ascii="宋体"/>
              </w:rPr>
            </w:pPr>
          </w:p>
        </w:tc>
        <w:tc>
          <w:tcPr>
            <w:tcW w:w="2978" w:type="pct"/>
            <w:shd w:val="clear" w:color="auto" w:fill="auto"/>
            <w:vAlign w:val="bottom"/>
          </w:tcPr>
          <w:p w14:paraId="22CFB225" w14:textId="77777777" w:rsidR="002661BA" w:rsidRDefault="002661BA">
            <w:pPr>
              <w:rPr>
                <w:rFonts w:ascii="宋体"/>
              </w:rPr>
            </w:pPr>
          </w:p>
        </w:tc>
        <w:tc>
          <w:tcPr>
            <w:tcW w:w="5" w:type="pct"/>
            <w:shd w:val="clear" w:color="auto" w:fill="auto"/>
            <w:vAlign w:val="bottom"/>
          </w:tcPr>
          <w:p w14:paraId="22CFB226" w14:textId="77777777" w:rsidR="002661BA" w:rsidRDefault="002661BA">
            <w:pPr>
              <w:rPr>
                <w:rFonts w:ascii="宋体"/>
              </w:rPr>
            </w:pPr>
          </w:p>
        </w:tc>
        <w:tc>
          <w:tcPr>
            <w:tcW w:w="50" w:type="pct"/>
            <w:shd w:val="clear" w:color="auto" w:fill="auto"/>
            <w:vAlign w:val="bottom"/>
          </w:tcPr>
          <w:p w14:paraId="22CFB227" w14:textId="77777777" w:rsidR="002661BA" w:rsidRDefault="002661BA">
            <w:pPr>
              <w:rPr>
                <w:rFonts w:ascii="宋体"/>
              </w:rPr>
            </w:pPr>
          </w:p>
        </w:tc>
        <w:tc>
          <w:tcPr>
            <w:tcW w:w="580" w:type="pct"/>
            <w:shd w:val="clear" w:color="auto" w:fill="auto"/>
            <w:vAlign w:val="bottom"/>
          </w:tcPr>
          <w:p w14:paraId="22CFB228" w14:textId="77777777" w:rsidR="002661BA" w:rsidRDefault="002661BA">
            <w:pPr>
              <w:rPr>
                <w:rFonts w:ascii="宋体"/>
              </w:rPr>
            </w:pPr>
          </w:p>
        </w:tc>
        <w:tc>
          <w:tcPr>
            <w:tcW w:w="5" w:type="pct"/>
            <w:shd w:val="clear" w:color="auto" w:fill="auto"/>
            <w:vAlign w:val="bottom"/>
          </w:tcPr>
          <w:p w14:paraId="22CFB229" w14:textId="77777777" w:rsidR="002661BA" w:rsidRDefault="002661BA">
            <w:pPr>
              <w:rPr>
                <w:rFonts w:ascii="宋体"/>
              </w:rPr>
            </w:pPr>
          </w:p>
        </w:tc>
        <w:tc>
          <w:tcPr>
            <w:tcW w:w="5" w:type="pct"/>
            <w:shd w:val="clear" w:color="auto" w:fill="auto"/>
            <w:vAlign w:val="bottom"/>
          </w:tcPr>
          <w:p w14:paraId="22CFB22A" w14:textId="77777777" w:rsidR="002661BA" w:rsidRDefault="002661BA">
            <w:pPr>
              <w:rPr>
                <w:rFonts w:ascii="宋体"/>
              </w:rPr>
            </w:pPr>
          </w:p>
        </w:tc>
        <w:tc>
          <w:tcPr>
            <w:tcW w:w="19" w:type="pct"/>
            <w:shd w:val="clear" w:color="auto" w:fill="auto"/>
            <w:vAlign w:val="bottom"/>
          </w:tcPr>
          <w:p w14:paraId="22CFB22B" w14:textId="77777777" w:rsidR="002661BA" w:rsidRDefault="002661BA">
            <w:pPr>
              <w:rPr>
                <w:rFonts w:ascii="宋体"/>
              </w:rPr>
            </w:pPr>
          </w:p>
        </w:tc>
        <w:tc>
          <w:tcPr>
            <w:tcW w:w="5" w:type="pct"/>
            <w:shd w:val="clear" w:color="auto" w:fill="auto"/>
            <w:vAlign w:val="bottom"/>
          </w:tcPr>
          <w:p w14:paraId="22CFB22C" w14:textId="77777777" w:rsidR="002661BA" w:rsidRDefault="002661BA">
            <w:pPr>
              <w:rPr>
                <w:rFonts w:ascii="宋体"/>
              </w:rPr>
            </w:pPr>
          </w:p>
        </w:tc>
        <w:tc>
          <w:tcPr>
            <w:tcW w:w="50" w:type="pct"/>
            <w:shd w:val="clear" w:color="auto" w:fill="auto"/>
            <w:vAlign w:val="bottom"/>
          </w:tcPr>
          <w:p w14:paraId="22CFB22D" w14:textId="77777777" w:rsidR="002661BA" w:rsidRDefault="002661BA">
            <w:pPr>
              <w:rPr>
                <w:rFonts w:ascii="宋体"/>
              </w:rPr>
            </w:pPr>
          </w:p>
        </w:tc>
        <w:tc>
          <w:tcPr>
            <w:tcW w:w="580" w:type="pct"/>
            <w:shd w:val="clear" w:color="auto" w:fill="auto"/>
            <w:vAlign w:val="bottom"/>
          </w:tcPr>
          <w:p w14:paraId="22CFB22E" w14:textId="77777777" w:rsidR="002661BA" w:rsidRDefault="002661BA">
            <w:pPr>
              <w:rPr>
                <w:rFonts w:ascii="宋体"/>
              </w:rPr>
            </w:pPr>
          </w:p>
        </w:tc>
        <w:tc>
          <w:tcPr>
            <w:tcW w:w="5" w:type="pct"/>
            <w:shd w:val="clear" w:color="auto" w:fill="auto"/>
            <w:vAlign w:val="bottom"/>
          </w:tcPr>
          <w:p w14:paraId="22CFB22F" w14:textId="77777777" w:rsidR="002661BA" w:rsidRDefault="002661BA">
            <w:pPr>
              <w:rPr>
                <w:rFonts w:ascii="宋体"/>
              </w:rPr>
            </w:pPr>
          </w:p>
        </w:tc>
        <w:tc>
          <w:tcPr>
            <w:tcW w:w="5" w:type="pct"/>
            <w:shd w:val="clear" w:color="auto" w:fill="auto"/>
            <w:vAlign w:val="bottom"/>
          </w:tcPr>
          <w:p w14:paraId="22CFB230" w14:textId="77777777" w:rsidR="002661BA" w:rsidRDefault="002661BA">
            <w:pPr>
              <w:rPr>
                <w:rFonts w:ascii="宋体"/>
              </w:rPr>
            </w:pPr>
          </w:p>
        </w:tc>
        <w:tc>
          <w:tcPr>
            <w:tcW w:w="19" w:type="pct"/>
            <w:shd w:val="clear" w:color="auto" w:fill="auto"/>
            <w:vAlign w:val="bottom"/>
          </w:tcPr>
          <w:p w14:paraId="22CFB231" w14:textId="77777777" w:rsidR="002661BA" w:rsidRDefault="002661BA">
            <w:pPr>
              <w:rPr>
                <w:rFonts w:ascii="宋体"/>
              </w:rPr>
            </w:pPr>
          </w:p>
        </w:tc>
        <w:tc>
          <w:tcPr>
            <w:tcW w:w="5" w:type="pct"/>
            <w:shd w:val="clear" w:color="auto" w:fill="auto"/>
            <w:vAlign w:val="bottom"/>
          </w:tcPr>
          <w:p w14:paraId="22CFB232" w14:textId="77777777" w:rsidR="002661BA" w:rsidRDefault="002661BA">
            <w:pPr>
              <w:rPr>
                <w:rFonts w:ascii="宋体"/>
              </w:rPr>
            </w:pPr>
          </w:p>
        </w:tc>
        <w:tc>
          <w:tcPr>
            <w:tcW w:w="50" w:type="pct"/>
            <w:shd w:val="clear" w:color="auto" w:fill="auto"/>
            <w:vAlign w:val="bottom"/>
          </w:tcPr>
          <w:p w14:paraId="22CFB233" w14:textId="77777777" w:rsidR="002661BA" w:rsidRDefault="002661BA">
            <w:pPr>
              <w:rPr>
                <w:rFonts w:ascii="宋体"/>
              </w:rPr>
            </w:pPr>
          </w:p>
        </w:tc>
        <w:tc>
          <w:tcPr>
            <w:tcW w:w="581" w:type="pct"/>
            <w:shd w:val="clear" w:color="auto" w:fill="auto"/>
            <w:vAlign w:val="bottom"/>
          </w:tcPr>
          <w:p w14:paraId="22CFB234" w14:textId="77777777" w:rsidR="002661BA" w:rsidRDefault="002661BA">
            <w:pPr>
              <w:rPr>
                <w:rFonts w:ascii="宋体"/>
              </w:rPr>
            </w:pPr>
          </w:p>
        </w:tc>
        <w:tc>
          <w:tcPr>
            <w:tcW w:w="5" w:type="pct"/>
            <w:shd w:val="clear" w:color="auto" w:fill="auto"/>
            <w:vAlign w:val="bottom"/>
          </w:tcPr>
          <w:p w14:paraId="22CFB235" w14:textId="77777777" w:rsidR="002661BA" w:rsidRDefault="002661BA">
            <w:pPr>
              <w:rPr>
                <w:rFonts w:ascii="宋体"/>
              </w:rPr>
            </w:pPr>
          </w:p>
        </w:tc>
      </w:tr>
      <w:tr w:rsidR="002661BA" w14:paraId="22CFB239" w14:textId="77777777">
        <w:trPr>
          <w:jc w:val="center"/>
        </w:trPr>
        <w:tc>
          <w:tcPr>
            <w:tcW w:w="0" w:type="auto"/>
            <w:gridSpan w:val="3"/>
            <w:shd w:val="clear" w:color="auto" w:fill="auto"/>
            <w:tcMar>
              <w:top w:w="0" w:type="dxa"/>
              <w:left w:w="20" w:type="dxa"/>
              <w:bottom w:w="0" w:type="dxa"/>
              <w:right w:w="20" w:type="dxa"/>
            </w:tcMar>
            <w:vAlign w:val="bottom"/>
          </w:tcPr>
          <w:p w14:paraId="22CFB237" w14:textId="77777777" w:rsidR="002661BA" w:rsidRDefault="002661BA">
            <w:pPr>
              <w:rPr>
                <w:rFonts w:ascii="宋体"/>
              </w:rPr>
            </w:pPr>
          </w:p>
        </w:tc>
        <w:tc>
          <w:tcPr>
            <w:tcW w:w="0" w:type="auto"/>
            <w:gridSpan w:val="15"/>
            <w:shd w:val="clear" w:color="auto" w:fill="auto"/>
            <w:tcMar>
              <w:top w:w="40" w:type="dxa"/>
              <w:left w:w="20" w:type="dxa"/>
              <w:bottom w:w="40" w:type="dxa"/>
              <w:right w:w="20" w:type="dxa"/>
            </w:tcMar>
            <w:vAlign w:val="bottom"/>
          </w:tcPr>
          <w:p w14:paraId="22CFB238"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B240" w14:textId="77777777">
        <w:trPr>
          <w:jc w:val="center"/>
        </w:trPr>
        <w:tc>
          <w:tcPr>
            <w:tcW w:w="0" w:type="auto"/>
            <w:gridSpan w:val="3"/>
            <w:shd w:val="clear" w:color="auto" w:fill="auto"/>
            <w:tcMar>
              <w:top w:w="40" w:type="dxa"/>
              <w:left w:w="20" w:type="dxa"/>
              <w:bottom w:w="40" w:type="dxa"/>
              <w:right w:w="20" w:type="dxa"/>
            </w:tcMar>
            <w:vAlign w:val="bottom"/>
          </w:tcPr>
          <w:p w14:paraId="22CFB23A" w14:textId="77777777" w:rsidR="002661BA" w:rsidRDefault="00D972BC">
            <w:pPr>
              <w:jc w:val="cente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23B"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23C" w14:textId="77777777" w:rsidR="002661BA" w:rsidRDefault="002661B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B23D"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23E" w14:textId="77777777" w:rsidR="002661BA" w:rsidRDefault="002661B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B23F"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B243" w14:textId="77777777">
        <w:trPr>
          <w:jc w:val="center"/>
        </w:trPr>
        <w:tc>
          <w:tcPr>
            <w:tcW w:w="0" w:type="auto"/>
            <w:gridSpan w:val="3"/>
            <w:shd w:val="clear" w:color="auto" w:fill="auto"/>
            <w:tcMar>
              <w:top w:w="40" w:type="dxa"/>
              <w:left w:w="20" w:type="dxa"/>
              <w:bottom w:w="40" w:type="dxa"/>
              <w:right w:w="20" w:type="dxa"/>
            </w:tcMar>
            <w:vAlign w:val="bottom"/>
          </w:tcPr>
          <w:p w14:paraId="22CFB241" w14:textId="77777777" w:rsidR="002661BA" w:rsidRDefault="00D972BC">
            <w:pPr>
              <w:jc w:val="center"/>
              <w:textAlignment w:val="bottom"/>
            </w:pPr>
            <w:r>
              <w:rPr>
                <w:rFonts w:ascii="Arial" w:eastAsia="宋体" w:hAnsi="Arial" w:cs="Arial"/>
                <w:b/>
                <w:bCs/>
                <w:color w:val="000000"/>
                <w:sz w:val="18"/>
                <w:szCs w:val="18"/>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2CFB242" w14:textId="77777777" w:rsidR="002661BA" w:rsidRDefault="00D972BC">
            <w:pPr>
              <w:jc w:val="center"/>
              <w:textAlignment w:val="bottom"/>
            </w:pPr>
            <w:r>
              <w:rPr>
                <w:rFonts w:ascii="Arial" w:eastAsia="宋体" w:hAnsi="Arial" w:cs="Arial"/>
                <w:b/>
                <w:bCs/>
                <w:color w:val="000000"/>
                <w:sz w:val="17"/>
                <w:szCs w:val="17"/>
              </w:rPr>
              <w:t>(In millions)</w:t>
            </w:r>
          </w:p>
        </w:tc>
      </w:tr>
      <w:tr w:rsidR="002661BA" w14:paraId="22CFB250" w14:textId="77777777">
        <w:trPr>
          <w:jc w:val="center"/>
        </w:trPr>
        <w:tc>
          <w:tcPr>
            <w:tcW w:w="0" w:type="auto"/>
            <w:gridSpan w:val="3"/>
            <w:shd w:val="clear" w:color="auto" w:fill="E2E2E2"/>
            <w:tcMar>
              <w:top w:w="40" w:type="dxa"/>
              <w:left w:w="20" w:type="dxa"/>
              <w:bottom w:w="40" w:type="dxa"/>
              <w:right w:w="20" w:type="dxa"/>
            </w:tcMar>
            <w:vAlign w:val="bottom"/>
          </w:tcPr>
          <w:p w14:paraId="22CFB244" w14:textId="77777777" w:rsidR="002661BA" w:rsidRDefault="00D972BC">
            <w:pPr>
              <w:textAlignment w:val="bottom"/>
            </w:pPr>
            <w:r>
              <w:rPr>
                <w:rFonts w:ascii="Arial" w:eastAsia="宋体" w:hAnsi="Arial" w:cs="Arial"/>
                <w:color w:val="000000"/>
                <w:sz w:val="18"/>
                <w:szCs w:val="18"/>
              </w:rPr>
              <w:t>Net income</w:t>
            </w:r>
          </w:p>
        </w:tc>
        <w:tc>
          <w:tcPr>
            <w:tcW w:w="0" w:type="auto"/>
            <w:shd w:val="clear" w:color="auto" w:fill="E2E2E2"/>
            <w:tcMar>
              <w:top w:w="40" w:type="dxa"/>
              <w:left w:w="20" w:type="dxa"/>
              <w:bottom w:w="40" w:type="dxa"/>
              <w:right w:w="0" w:type="dxa"/>
            </w:tcMar>
            <w:vAlign w:val="bottom"/>
          </w:tcPr>
          <w:p w14:paraId="22CFB245"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B246" w14:textId="77777777" w:rsidR="002661BA" w:rsidRDefault="00D972BC">
            <w:pPr>
              <w:jc w:val="right"/>
              <w:textAlignment w:val="bottom"/>
            </w:pPr>
            <w:r>
              <w:rPr>
                <w:rFonts w:ascii="Arial" w:eastAsia="宋体" w:hAnsi="Arial" w:cs="Arial"/>
                <w:color w:val="000000"/>
                <w:sz w:val="18"/>
                <w:szCs w:val="18"/>
              </w:rPr>
              <w:t>13,608 </w:t>
            </w:r>
          </w:p>
        </w:tc>
        <w:tc>
          <w:tcPr>
            <w:tcW w:w="0" w:type="auto"/>
            <w:shd w:val="clear" w:color="auto" w:fill="E2E2E2"/>
            <w:tcMar>
              <w:top w:w="40" w:type="dxa"/>
              <w:left w:w="0" w:type="dxa"/>
              <w:bottom w:w="40" w:type="dxa"/>
              <w:right w:w="20" w:type="dxa"/>
            </w:tcMar>
            <w:vAlign w:val="bottom"/>
          </w:tcPr>
          <w:p w14:paraId="22CFB247"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248"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B24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B24A" w14:textId="77777777" w:rsidR="002661BA" w:rsidRDefault="00D972BC">
            <w:pPr>
              <w:jc w:val="right"/>
              <w:textAlignment w:val="bottom"/>
            </w:pPr>
            <w:r>
              <w:rPr>
                <w:rFonts w:ascii="Arial" w:eastAsia="宋体" w:hAnsi="Arial" w:cs="Arial"/>
                <w:color w:val="000000"/>
                <w:sz w:val="18"/>
                <w:szCs w:val="18"/>
              </w:rPr>
              <w:t>5,667 </w:t>
            </w:r>
          </w:p>
        </w:tc>
        <w:tc>
          <w:tcPr>
            <w:tcW w:w="0" w:type="auto"/>
            <w:shd w:val="clear" w:color="auto" w:fill="E2E2E2"/>
            <w:tcMar>
              <w:top w:w="40" w:type="dxa"/>
              <w:left w:w="0" w:type="dxa"/>
              <w:bottom w:w="40" w:type="dxa"/>
              <w:right w:w="20" w:type="dxa"/>
            </w:tcMar>
            <w:vAlign w:val="bottom"/>
          </w:tcPr>
          <w:p w14:paraId="22CFB24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24C"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B24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B24E" w14:textId="77777777" w:rsidR="002661BA" w:rsidRDefault="00D972BC">
            <w:pPr>
              <w:jc w:val="right"/>
              <w:textAlignment w:val="bottom"/>
            </w:pPr>
            <w:r>
              <w:rPr>
                <w:rFonts w:ascii="Arial" w:eastAsia="宋体" w:hAnsi="Arial" w:cs="Arial"/>
                <w:color w:val="000000"/>
                <w:sz w:val="18"/>
                <w:szCs w:val="18"/>
              </w:rPr>
              <w:t>1,786 </w:t>
            </w:r>
          </w:p>
        </w:tc>
        <w:tc>
          <w:tcPr>
            <w:tcW w:w="0" w:type="auto"/>
            <w:shd w:val="clear" w:color="auto" w:fill="E2E2E2"/>
            <w:tcMar>
              <w:top w:w="40" w:type="dxa"/>
              <w:left w:w="0" w:type="dxa"/>
              <w:bottom w:w="40" w:type="dxa"/>
              <w:right w:w="20" w:type="dxa"/>
            </w:tcMar>
            <w:vAlign w:val="bottom"/>
          </w:tcPr>
          <w:p w14:paraId="22CFB24F" w14:textId="77777777" w:rsidR="002661BA" w:rsidRDefault="002661BA">
            <w:pPr>
              <w:jc w:val="right"/>
              <w:rPr>
                <w:rFonts w:ascii="宋体"/>
              </w:rPr>
            </w:pPr>
          </w:p>
        </w:tc>
      </w:tr>
      <w:tr w:rsidR="002661BA" w14:paraId="22CFB257" w14:textId="77777777">
        <w:trPr>
          <w:jc w:val="center"/>
        </w:trPr>
        <w:tc>
          <w:tcPr>
            <w:tcW w:w="0" w:type="auto"/>
            <w:gridSpan w:val="3"/>
            <w:shd w:val="clear" w:color="auto" w:fill="FFFFFF"/>
            <w:tcMar>
              <w:top w:w="40" w:type="dxa"/>
              <w:left w:w="20" w:type="dxa"/>
              <w:bottom w:w="40" w:type="dxa"/>
              <w:right w:w="20" w:type="dxa"/>
            </w:tcMar>
            <w:vAlign w:val="bottom"/>
          </w:tcPr>
          <w:p w14:paraId="22CFB251" w14:textId="77777777" w:rsidR="002661BA" w:rsidRDefault="00D972BC">
            <w:pPr>
              <w:textAlignment w:val="bottom"/>
            </w:pPr>
            <w:r>
              <w:rPr>
                <w:rFonts w:ascii="Arial" w:eastAsia="宋体" w:hAnsi="Arial" w:cs="Arial"/>
                <w:color w:val="000000"/>
                <w:sz w:val="18"/>
                <w:szCs w:val="18"/>
              </w:rPr>
              <w:t>Other comprehensive income (loss), net of reclassification adjustments: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22CFB252" w14:textId="77777777" w:rsidR="002661BA" w:rsidRDefault="00D972BC">
            <w:pPr>
              <w:jc w:val="right"/>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vAlign w:val="bottom"/>
          </w:tcPr>
          <w:p w14:paraId="22CFB253" w14:textId="77777777" w:rsidR="002661BA" w:rsidRDefault="002661B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22CFB254" w14:textId="77777777" w:rsidR="002661BA" w:rsidRDefault="00D972BC">
            <w:pPr>
              <w:jc w:val="right"/>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vAlign w:val="bottom"/>
          </w:tcPr>
          <w:p w14:paraId="22CFB255" w14:textId="77777777" w:rsidR="002661BA" w:rsidRDefault="002661B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22CFB256" w14:textId="77777777" w:rsidR="002661BA" w:rsidRDefault="00D972BC">
            <w:pPr>
              <w:jc w:val="right"/>
              <w:textAlignment w:val="bottom"/>
            </w:pPr>
            <w:r>
              <w:rPr>
                <w:rFonts w:ascii="Arial" w:eastAsia="宋体" w:hAnsi="Arial" w:cs="Arial"/>
                <w:color w:val="000000"/>
                <w:sz w:val="18"/>
                <w:szCs w:val="18"/>
              </w:rPr>
              <w:t> </w:t>
            </w:r>
          </w:p>
        </w:tc>
      </w:tr>
      <w:tr w:rsidR="002661BA" w14:paraId="22CFB261" w14:textId="77777777">
        <w:trPr>
          <w:jc w:val="center"/>
        </w:trPr>
        <w:tc>
          <w:tcPr>
            <w:tcW w:w="0" w:type="auto"/>
            <w:gridSpan w:val="3"/>
            <w:shd w:val="clear" w:color="auto" w:fill="E2E2E2"/>
            <w:tcMar>
              <w:top w:w="40" w:type="dxa"/>
              <w:left w:w="515" w:type="dxa"/>
              <w:bottom w:w="40" w:type="dxa"/>
              <w:right w:w="20" w:type="dxa"/>
            </w:tcMar>
            <w:vAlign w:val="bottom"/>
          </w:tcPr>
          <w:p w14:paraId="22CFB258" w14:textId="77777777" w:rsidR="002661BA" w:rsidRDefault="00D972BC">
            <w:pPr>
              <w:textAlignment w:val="bottom"/>
            </w:pPr>
            <w:r>
              <w:rPr>
                <w:rFonts w:ascii="Arial" w:eastAsia="宋体" w:hAnsi="Arial" w:cs="Arial"/>
                <w:color w:val="000000"/>
                <w:sz w:val="18"/>
                <w:szCs w:val="18"/>
              </w:rPr>
              <w:t>Foreign currency translation adjustment</w:t>
            </w:r>
          </w:p>
        </w:tc>
        <w:tc>
          <w:tcPr>
            <w:tcW w:w="0" w:type="auto"/>
            <w:gridSpan w:val="2"/>
            <w:shd w:val="clear" w:color="auto" w:fill="E2E2E2"/>
            <w:tcMar>
              <w:top w:w="40" w:type="dxa"/>
              <w:left w:w="20" w:type="dxa"/>
              <w:bottom w:w="40" w:type="dxa"/>
              <w:right w:w="0" w:type="dxa"/>
            </w:tcMar>
            <w:vAlign w:val="bottom"/>
          </w:tcPr>
          <w:p w14:paraId="22CFB259" w14:textId="77777777" w:rsidR="002661BA" w:rsidRDefault="00D972BC">
            <w:pPr>
              <w:jc w:val="right"/>
              <w:textAlignment w:val="bottom"/>
            </w:pPr>
            <w:r>
              <w:rPr>
                <w:rFonts w:ascii="Arial" w:eastAsia="宋体" w:hAnsi="Arial" w:cs="Arial"/>
                <w:color w:val="000000"/>
                <w:sz w:val="18"/>
                <w:szCs w:val="18"/>
              </w:rPr>
              <w:t>(326)</w:t>
            </w:r>
          </w:p>
        </w:tc>
        <w:tc>
          <w:tcPr>
            <w:tcW w:w="0" w:type="auto"/>
            <w:shd w:val="clear" w:color="auto" w:fill="E2E2E2"/>
            <w:tcMar>
              <w:top w:w="40" w:type="dxa"/>
              <w:left w:w="0" w:type="dxa"/>
              <w:bottom w:w="40" w:type="dxa"/>
              <w:right w:w="20" w:type="dxa"/>
            </w:tcMar>
            <w:vAlign w:val="bottom"/>
          </w:tcPr>
          <w:p w14:paraId="22CFB25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25B"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25C" w14:textId="77777777" w:rsidR="002661BA" w:rsidRDefault="00D972BC">
            <w:pPr>
              <w:jc w:val="right"/>
              <w:textAlignment w:val="bottom"/>
            </w:pPr>
            <w:r>
              <w:rPr>
                <w:rFonts w:ascii="Arial" w:eastAsia="宋体" w:hAnsi="Arial" w:cs="Arial"/>
                <w:color w:val="000000"/>
                <w:sz w:val="18"/>
                <w:szCs w:val="18"/>
              </w:rPr>
              <w:t>291 </w:t>
            </w:r>
          </w:p>
        </w:tc>
        <w:tc>
          <w:tcPr>
            <w:tcW w:w="0" w:type="auto"/>
            <w:shd w:val="clear" w:color="auto" w:fill="E2E2E2"/>
            <w:tcMar>
              <w:top w:w="40" w:type="dxa"/>
              <w:left w:w="0" w:type="dxa"/>
              <w:bottom w:w="40" w:type="dxa"/>
              <w:right w:w="20" w:type="dxa"/>
            </w:tcMar>
            <w:vAlign w:val="bottom"/>
          </w:tcPr>
          <w:p w14:paraId="22CFB25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25E"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25F" w14:textId="77777777" w:rsidR="002661BA" w:rsidRDefault="00D972BC">
            <w:pPr>
              <w:jc w:val="right"/>
              <w:textAlignment w:val="bottom"/>
            </w:pPr>
            <w:r>
              <w:rPr>
                <w:rFonts w:ascii="Arial" w:eastAsia="宋体" w:hAnsi="Arial" w:cs="Arial"/>
                <w:color w:val="000000"/>
                <w:sz w:val="18"/>
                <w:szCs w:val="18"/>
              </w:rPr>
              <w:t>(99)</w:t>
            </w:r>
          </w:p>
        </w:tc>
        <w:tc>
          <w:tcPr>
            <w:tcW w:w="0" w:type="auto"/>
            <w:shd w:val="clear" w:color="auto" w:fill="E2E2E2"/>
            <w:tcMar>
              <w:top w:w="40" w:type="dxa"/>
              <w:left w:w="0" w:type="dxa"/>
              <w:bottom w:w="40" w:type="dxa"/>
              <w:right w:w="20" w:type="dxa"/>
            </w:tcMar>
            <w:vAlign w:val="bottom"/>
          </w:tcPr>
          <w:p w14:paraId="22CFB260" w14:textId="77777777" w:rsidR="002661BA" w:rsidRDefault="002661BA">
            <w:pPr>
              <w:jc w:val="right"/>
              <w:rPr>
                <w:rFonts w:ascii="宋体"/>
              </w:rPr>
            </w:pPr>
          </w:p>
        </w:tc>
      </w:tr>
      <w:tr w:rsidR="002661BA" w14:paraId="22CFB26B" w14:textId="77777777">
        <w:trPr>
          <w:jc w:val="center"/>
        </w:trPr>
        <w:tc>
          <w:tcPr>
            <w:tcW w:w="0" w:type="auto"/>
            <w:gridSpan w:val="3"/>
            <w:shd w:val="clear" w:color="auto" w:fill="FFFFFF"/>
            <w:tcMar>
              <w:top w:w="40" w:type="dxa"/>
              <w:left w:w="515" w:type="dxa"/>
              <w:bottom w:w="40" w:type="dxa"/>
              <w:right w:w="20" w:type="dxa"/>
            </w:tcMar>
            <w:vAlign w:val="bottom"/>
          </w:tcPr>
          <w:p w14:paraId="22CFB262" w14:textId="77777777" w:rsidR="002661BA" w:rsidRDefault="00D972BC">
            <w:pPr>
              <w:textAlignment w:val="bottom"/>
            </w:pPr>
            <w:r>
              <w:rPr>
                <w:rFonts w:ascii="Arial" w:eastAsia="宋体" w:hAnsi="Arial" w:cs="Arial"/>
                <w:color w:val="000000"/>
                <w:sz w:val="18"/>
                <w:szCs w:val="18"/>
              </w:rPr>
              <w:t>Unrealized gains (losses) on investments, net</w:t>
            </w:r>
          </w:p>
        </w:tc>
        <w:tc>
          <w:tcPr>
            <w:tcW w:w="0" w:type="auto"/>
            <w:gridSpan w:val="2"/>
            <w:shd w:val="clear" w:color="auto" w:fill="FFFFFF"/>
            <w:tcMar>
              <w:top w:w="40" w:type="dxa"/>
              <w:left w:w="20" w:type="dxa"/>
              <w:bottom w:w="40" w:type="dxa"/>
              <w:right w:w="0" w:type="dxa"/>
            </w:tcMar>
            <w:vAlign w:val="bottom"/>
          </w:tcPr>
          <w:p w14:paraId="22CFB263" w14:textId="77777777" w:rsidR="002661BA" w:rsidRDefault="00D972BC">
            <w:pPr>
              <w:jc w:val="right"/>
              <w:textAlignment w:val="bottom"/>
            </w:pPr>
            <w:r>
              <w:rPr>
                <w:rFonts w:ascii="Arial" w:eastAsia="宋体" w:hAnsi="Arial" w:cs="Arial"/>
                <w:color w:val="000000"/>
                <w:sz w:val="18"/>
                <w:szCs w:val="18"/>
              </w:rPr>
              <w:t>(12)</w:t>
            </w:r>
          </w:p>
        </w:tc>
        <w:tc>
          <w:tcPr>
            <w:tcW w:w="0" w:type="auto"/>
            <w:shd w:val="clear" w:color="auto" w:fill="FFFFFF"/>
            <w:tcMar>
              <w:top w:w="40" w:type="dxa"/>
              <w:left w:w="0" w:type="dxa"/>
              <w:bottom w:w="40" w:type="dxa"/>
              <w:right w:w="20" w:type="dxa"/>
            </w:tcMar>
            <w:vAlign w:val="bottom"/>
          </w:tcPr>
          <w:p w14:paraId="22CFB26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265"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266"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26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268"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269" w14:textId="77777777" w:rsidR="002661BA" w:rsidRDefault="00D972BC">
            <w:pPr>
              <w:jc w:val="right"/>
              <w:textAlignment w:val="bottom"/>
            </w:pPr>
            <w:r>
              <w:rPr>
                <w:rFonts w:ascii="Arial" w:eastAsia="宋体" w:hAnsi="Arial" w:cs="Arial"/>
                <w:color w:val="000000"/>
                <w:sz w:val="18"/>
                <w:szCs w:val="18"/>
              </w:rPr>
              <w:t>61 </w:t>
            </w:r>
          </w:p>
        </w:tc>
        <w:tc>
          <w:tcPr>
            <w:tcW w:w="0" w:type="auto"/>
            <w:shd w:val="clear" w:color="auto" w:fill="FFFFFF"/>
            <w:tcMar>
              <w:top w:w="40" w:type="dxa"/>
              <w:left w:w="0" w:type="dxa"/>
              <w:bottom w:w="40" w:type="dxa"/>
              <w:right w:w="20" w:type="dxa"/>
            </w:tcMar>
            <w:vAlign w:val="bottom"/>
          </w:tcPr>
          <w:p w14:paraId="22CFB26A" w14:textId="77777777" w:rsidR="002661BA" w:rsidRDefault="002661BA">
            <w:pPr>
              <w:jc w:val="right"/>
              <w:rPr>
                <w:rFonts w:ascii="宋体"/>
              </w:rPr>
            </w:pPr>
          </w:p>
        </w:tc>
      </w:tr>
      <w:tr w:rsidR="002661BA" w14:paraId="22CFB275" w14:textId="77777777">
        <w:trPr>
          <w:jc w:val="center"/>
        </w:trPr>
        <w:tc>
          <w:tcPr>
            <w:tcW w:w="0" w:type="auto"/>
            <w:gridSpan w:val="3"/>
            <w:shd w:val="clear" w:color="auto" w:fill="E2E2E2"/>
            <w:tcMar>
              <w:top w:w="40" w:type="dxa"/>
              <w:left w:w="515" w:type="dxa"/>
              <w:bottom w:w="40" w:type="dxa"/>
              <w:right w:w="20" w:type="dxa"/>
            </w:tcMar>
            <w:vAlign w:val="bottom"/>
          </w:tcPr>
          <w:p w14:paraId="22CFB26C" w14:textId="77777777" w:rsidR="002661BA" w:rsidRDefault="00D972BC">
            <w:pPr>
              <w:textAlignment w:val="bottom"/>
            </w:pPr>
            <w:r>
              <w:rPr>
                <w:rFonts w:ascii="Arial" w:eastAsia="宋体" w:hAnsi="Arial" w:cs="Arial"/>
                <w:color w:val="000000"/>
                <w:sz w:val="18"/>
                <w:szCs w:val="18"/>
              </w:rPr>
              <w:t xml:space="preserve">Tax benefit (expense) on </w:t>
            </w:r>
            <w:r>
              <w:rPr>
                <w:rFonts w:ascii="Arial" w:eastAsia="宋体" w:hAnsi="Arial" w:cs="Arial"/>
                <w:color w:val="000000"/>
                <w:sz w:val="18"/>
                <w:szCs w:val="18"/>
              </w:rPr>
              <w:t>unrealized gains (losses) on investments, net</w:t>
            </w:r>
          </w:p>
        </w:tc>
        <w:tc>
          <w:tcPr>
            <w:tcW w:w="0" w:type="auto"/>
            <w:gridSpan w:val="2"/>
            <w:shd w:val="clear" w:color="auto" w:fill="E2E2E2"/>
            <w:tcMar>
              <w:top w:w="40" w:type="dxa"/>
              <w:left w:w="20" w:type="dxa"/>
              <w:bottom w:w="40" w:type="dxa"/>
              <w:right w:w="0" w:type="dxa"/>
            </w:tcMar>
            <w:vAlign w:val="bottom"/>
          </w:tcPr>
          <w:p w14:paraId="22CFB26D" w14:textId="77777777" w:rsidR="002661BA" w:rsidRDefault="00D972BC">
            <w:pPr>
              <w:jc w:val="right"/>
              <w:textAlignment w:val="bottom"/>
            </w:pPr>
            <w:r>
              <w:rPr>
                <w:rFonts w:ascii="Arial" w:eastAsia="宋体" w:hAnsi="Arial" w:cs="Arial"/>
                <w:color w:val="000000"/>
                <w:sz w:val="18"/>
                <w:szCs w:val="18"/>
              </w:rPr>
              <w:t>3 </w:t>
            </w:r>
          </w:p>
        </w:tc>
        <w:tc>
          <w:tcPr>
            <w:tcW w:w="0" w:type="auto"/>
            <w:shd w:val="clear" w:color="auto" w:fill="E2E2E2"/>
            <w:tcMar>
              <w:top w:w="40" w:type="dxa"/>
              <w:left w:w="0" w:type="dxa"/>
              <w:bottom w:w="40" w:type="dxa"/>
              <w:right w:w="20" w:type="dxa"/>
            </w:tcMar>
            <w:vAlign w:val="bottom"/>
          </w:tcPr>
          <w:p w14:paraId="22CFB26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26F"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270"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B271"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272"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273" w14:textId="77777777" w:rsidR="002661BA" w:rsidRDefault="00D972BC">
            <w:pPr>
              <w:jc w:val="right"/>
              <w:textAlignment w:val="bottom"/>
            </w:pPr>
            <w:r>
              <w:rPr>
                <w:rFonts w:ascii="Arial" w:eastAsia="宋体" w:hAnsi="Arial" w:cs="Arial"/>
                <w:color w:val="000000"/>
                <w:sz w:val="18"/>
                <w:szCs w:val="18"/>
              </w:rPr>
              <w:t>(16)</w:t>
            </w:r>
          </w:p>
        </w:tc>
        <w:tc>
          <w:tcPr>
            <w:tcW w:w="0" w:type="auto"/>
            <w:shd w:val="clear" w:color="auto" w:fill="E2E2E2"/>
            <w:tcMar>
              <w:top w:w="40" w:type="dxa"/>
              <w:left w:w="0" w:type="dxa"/>
              <w:bottom w:w="40" w:type="dxa"/>
              <w:right w:w="20" w:type="dxa"/>
            </w:tcMar>
            <w:vAlign w:val="bottom"/>
          </w:tcPr>
          <w:p w14:paraId="22CFB274" w14:textId="77777777" w:rsidR="002661BA" w:rsidRDefault="002661BA">
            <w:pPr>
              <w:jc w:val="right"/>
              <w:rPr>
                <w:rFonts w:ascii="宋体"/>
              </w:rPr>
            </w:pPr>
          </w:p>
        </w:tc>
      </w:tr>
      <w:tr w:rsidR="002661BA" w14:paraId="22CFB27F" w14:textId="77777777">
        <w:trPr>
          <w:jc w:val="center"/>
        </w:trPr>
        <w:tc>
          <w:tcPr>
            <w:tcW w:w="0" w:type="auto"/>
            <w:gridSpan w:val="3"/>
            <w:shd w:val="clear" w:color="auto" w:fill="FFFFFF"/>
            <w:tcMar>
              <w:top w:w="40" w:type="dxa"/>
              <w:left w:w="515" w:type="dxa"/>
              <w:bottom w:w="40" w:type="dxa"/>
              <w:right w:w="20" w:type="dxa"/>
            </w:tcMar>
            <w:vAlign w:val="bottom"/>
          </w:tcPr>
          <w:p w14:paraId="22CFB276" w14:textId="77777777" w:rsidR="002661BA" w:rsidRDefault="00D972BC">
            <w:pPr>
              <w:textAlignment w:val="bottom"/>
            </w:pPr>
            <w:r>
              <w:rPr>
                <w:rFonts w:ascii="Arial" w:eastAsia="宋体" w:hAnsi="Arial" w:cs="Arial"/>
                <w:color w:val="000000"/>
                <w:sz w:val="18"/>
                <w:szCs w:val="18"/>
              </w:rPr>
              <w:t>Unrealized gains (losses) on hedging activities, net</w:t>
            </w:r>
          </w:p>
        </w:tc>
        <w:tc>
          <w:tcPr>
            <w:tcW w:w="0" w:type="auto"/>
            <w:gridSpan w:val="2"/>
            <w:shd w:val="clear" w:color="auto" w:fill="FFFFFF"/>
            <w:tcMar>
              <w:top w:w="40" w:type="dxa"/>
              <w:left w:w="20" w:type="dxa"/>
              <w:bottom w:w="40" w:type="dxa"/>
              <w:right w:w="0" w:type="dxa"/>
            </w:tcMar>
            <w:vAlign w:val="bottom"/>
          </w:tcPr>
          <w:p w14:paraId="22CFB277" w14:textId="77777777" w:rsidR="002661BA" w:rsidRDefault="00D972BC">
            <w:pPr>
              <w:jc w:val="right"/>
              <w:textAlignment w:val="bottom"/>
            </w:pPr>
            <w:r>
              <w:rPr>
                <w:rFonts w:ascii="Arial" w:eastAsia="宋体" w:hAnsi="Arial" w:cs="Arial"/>
                <w:color w:val="000000"/>
                <w:sz w:val="18"/>
                <w:szCs w:val="18"/>
              </w:rPr>
              <w:t>150 </w:t>
            </w:r>
          </w:p>
        </w:tc>
        <w:tc>
          <w:tcPr>
            <w:tcW w:w="0" w:type="auto"/>
            <w:shd w:val="clear" w:color="auto" w:fill="FFFFFF"/>
            <w:tcMar>
              <w:top w:w="40" w:type="dxa"/>
              <w:left w:w="0" w:type="dxa"/>
              <w:bottom w:w="40" w:type="dxa"/>
              <w:right w:w="20" w:type="dxa"/>
            </w:tcMar>
            <w:vAlign w:val="bottom"/>
          </w:tcPr>
          <w:p w14:paraId="22CFB27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279"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27A" w14:textId="77777777" w:rsidR="002661BA" w:rsidRDefault="00D972BC">
            <w:pPr>
              <w:jc w:val="right"/>
              <w:textAlignment w:val="bottom"/>
            </w:pPr>
            <w:r>
              <w:rPr>
                <w:rFonts w:ascii="Arial" w:eastAsia="宋体" w:hAnsi="Arial" w:cs="Arial"/>
                <w:color w:val="000000"/>
                <w:sz w:val="18"/>
                <w:szCs w:val="18"/>
              </w:rPr>
              <w:t>(76)</w:t>
            </w:r>
          </w:p>
        </w:tc>
        <w:tc>
          <w:tcPr>
            <w:tcW w:w="0" w:type="auto"/>
            <w:shd w:val="clear" w:color="auto" w:fill="FFFFFF"/>
            <w:tcMar>
              <w:top w:w="40" w:type="dxa"/>
              <w:left w:w="0" w:type="dxa"/>
              <w:bottom w:w="40" w:type="dxa"/>
              <w:right w:w="20" w:type="dxa"/>
            </w:tcMar>
            <w:vAlign w:val="bottom"/>
          </w:tcPr>
          <w:p w14:paraId="22CFB27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27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27D" w14:textId="77777777" w:rsidR="002661BA" w:rsidRDefault="00D972BC">
            <w:pPr>
              <w:jc w:val="right"/>
              <w:textAlignment w:val="bottom"/>
            </w:pPr>
            <w:r>
              <w:rPr>
                <w:rFonts w:ascii="Arial" w:eastAsia="宋体" w:hAnsi="Arial" w:cs="Arial"/>
                <w:color w:val="000000"/>
                <w:sz w:val="18"/>
                <w:szCs w:val="18"/>
              </w:rPr>
              <w:t>(77)</w:t>
            </w:r>
          </w:p>
        </w:tc>
        <w:tc>
          <w:tcPr>
            <w:tcW w:w="0" w:type="auto"/>
            <w:shd w:val="clear" w:color="auto" w:fill="FFFFFF"/>
            <w:tcMar>
              <w:top w:w="40" w:type="dxa"/>
              <w:left w:w="0" w:type="dxa"/>
              <w:bottom w:w="40" w:type="dxa"/>
              <w:right w:w="20" w:type="dxa"/>
            </w:tcMar>
            <w:vAlign w:val="bottom"/>
          </w:tcPr>
          <w:p w14:paraId="22CFB27E" w14:textId="77777777" w:rsidR="002661BA" w:rsidRDefault="002661BA">
            <w:pPr>
              <w:jc w:val="right"/>
              <w:rPr>
                <w:rFonts w:ascii="宋体"/>
              </w:rPr>
            </w:pPr>
          </w:p>
        </w:tc>
      </w:tr>
      <w:tr w:rsidR="002661BA" w14:paraId="22CFB289" w14:textId="77777777">
        <w:trPr>
          <w:jc w:val="center"/>
        </w:trPr>
        <w:tc>
          <w:tcPr>
            <w:tcW w:w="0" w:type="auto"/>
            <w:gridSpan w:val="3"/>
            <w:shd w:val="clear" w:color="auto" w:fill="E2E2E2"/>
            <w:tcMar>
              <w:top w:w="40" w:type="dxa"/>
              <w:left w:w="515" w:type="dxa"/>
              <w:bottom w:w="40" w:type="dxa"/>
              <w:right w:w="20" w:type="dxa"/>
            </w:tcMar>
            <w:vAlign w:val="bottom"/>
          </w:tcPr>
          <w:p w14:paraId="22CFB280" w14:textId="77777777" w:rsidR="002661BA" w:rsidRDefault="00D972BC">
            <w:pPr>
              <w:textAlignment w:val="bottom"/>
            </w:pPr>
            <w:r>
              <w:rPr>
                <w:rFonts w:ascii="Arial" w:eastAsia="宋体" w:hAnsi="Arial" w:cs="Arial"/>
                <w:color w:val="000000"/>
                <w:sz w:val="18"/>
                <w:szCs w:val="18"/>
              </w:rPr>
              <w:t>Tax benefit (expense) on unrealized gains (losses) on hedging activities, net</w:t>
            </w:r>
          </w:p>
        </w:tc>
        <w:tc>
          <w:tcPr>
            <w:tcW w:w="0" w:type="auto"/>
            <w:gridSpan w:val="2"/>
            <w:shd w:val="clear" w:color="auto" w:fill="E2E2E2"/>
            <w:tcMar>
              <w:top w:w="40" w:type="dxa"/>
              <w:left w:w="20" w:type="dxa"/>
              <w:bottom w:w="40" w:type="dxa"/>
              <w:right w:w="0" w:type="dxa"/>
            </w:tcMar>
            <w:vAlign w:val="bottom"/>
          </w:tcPr>
          <w:p w14:paraId="22CFB281" w14:textId="77777777" w:rsidR="002661BA" w:rsidRDefault="00D972BC">
            <w:pPr>
              <w:jc w:val="right"/>
              <w:textAlignment w:val="bottom"/>
            </w:pPr>
            <w:r>
              <w:rPr>
                <w:rFonts w:ascii="Arial" w:eastAsia="宋体" w:hAnsi="Arial" w:cs="Arial"/>
                <w:color w:val="000000"/>
                <w:sz w:val="18"/>
                <w:szCs w:val="18"/>
              </w:rPr>
              <w:t>(33)</w:t>
            </w:r>
          </w:p>
        </w:tc>
        <w:tc>
          <w:tcPr>
            <w:tcW w:w="0" w:type="auto"/>
            <w:shd w:val="clear" w:color="auto" w:fill="E2E2E2"/>
            <w:tcMar>
              <w:top w:w="40" w:type="dxa"/>
              <w:left w:w="0" w:type="dxa"/>
              <w:bottom w:w="40" w:type="dxa"/>
              <w:right w:w="20" w:type="dxa"/>
            </w:tcMar>
            <w:vAlign w:val="bottom"/>
          </w:tcPr>
          <w:p w14:paraId="22CFB28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283"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284" w14:textId="77777777" w:rsidR="002661BA" w:rsidRDefault="00D972BC">
            <w:pPr>
              <w:jc w:val="right"/>
              <w:textAlignment w:val="bottom"/>
            </w:pPr>
            <w:r>
              <w:rPr>
                <w:rFonts w:ascii="Arial" w:eastAsia="宋体" w:hAnsi="Arial" w:cs="Arial"/>
                <w:color w:val="000000"/>
                <w:sz w:val="18"/>
                <w:szCs w:val="18"/>
              </w:rPr>
              <w:t>17 </w:t>
            </w:r>
          </w:p>
        </w:tc>
        <w:tc>
          <w:tcPr>
            <w:tcW w:w="0" w:type="auto"/>
            <w:shd w:val="clear" w:color="auto" w:fill="E2E2E2"/>
            <w:tcMar>
              <w:top w:w="40" w:type="dxa"/>
              <w:left w:w="0" w:type="dxa"/>
              <w:bottom w:w="40" w:type="dxa"/>
              <w:right w:w="20" w:type="dxa"/>
            </w:tcMar>
            <w:vAlign w:val="bottom"/>
          </w:tcPr>
          <w:p w14:paraId="22CFB28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286"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287" w14:textId="77777777" w:rsidR="002661BA" w:rsidRDefault="00D972BC">
            <w:pPr>
              <w:jc w:val="right"/>
              <w:textAlignment w:val="bottom"/>
            </w:pPr>
            <w:r>
              <w:rPr>
                <w:rFonts w:ascii="Arial" w:eastAsia="宋体" w:hAnsi="Arial" w:cs="Arial"/>
                <w:color w:val="000000"/>
                <w:sz w:val="18"/>
                <w:szCs w:val="18"/>
              </w:rPr>
              <w:t>17 </w:t>
            </w:r>
          </w:p>
        </w:tc>
        <w:tc>
          <w:tcPr>
            <w:tcW w:w="0" w:type="auto"/>
            <w:shd w:val="clear" w:color="auto" w:fill="E2E2E2"/>
            <w:tcMar>
              <w:top w:w="40" w:type="dxa"/>
              <w:left w:w="0" w:type="dxa"/>
              <w:bottom w:w="40" w:type="dxa"/>
              <w:right w:w="20" w:type="dxa"/>
            </w:tcMar>
            <w:vAlign w:val="bottom"/>
          </w:tcPr>
          <w:p w14:paraId="22CFB288" w14:textId="77777777" w:rsidR="002661BA" w:rsidRDefault="002661BA">
            <w:pPr>
              <w:jc w:val="right"/>
              <w:rPr>
                <w:rFonts w:ascii="宋体"/>
              </w:rPr>
            </w:pPr>
          </w:p>
        </w:tc>
      </w:tr>
      <w:tr w:rsidR="002661BA" w14:paraId="22CFB293" w14:textId="77777777">
        <w:trPr>
          <w:jc w:val="center"/>
        </w:trPr>
        <w:tc>
          <w:tcPr>
            <w:tcW w:w="0" w:type="auto"/>
            <w:gridSpan w:val="3"/>
            <w:shd w:val="clear" w:color="auto" w:fill="FFFFFF"/>
            <w:tcMar>
              <w:top w:w="40" w:type="dxa"/>
              <w:left w:w="20" w:type="dxa"/>
              <w:bottom w:w="40" w:type="dxa"/>
              <w:right w:w="20" w:type="dxa"/>
            </w:tcMar>
            <w:vAlign w:val="bottom"/>
          </w:tcPr>
          <w:p w14:paraId="22CFB28A" w14:textId="77777777" w:rsidR="002661BA" w:rsidRDefault="00D972BC">
            <w:pPr>
              <w:textAlignment w:val="bottom"/>
            </w:pPr>
            <w:r>
              <w:rPr>
                <w:rFonts w:ascii="Arial" w:eastAsia="宋体" w:hAnsi="Arial" w:cs="Arial"/>
                <w:color w:val="000000"/>
                <w:sz w:val="18"/>
                <w:szCs w:val="18"/>
              </w:rPr>
              <w:t xml:space="preserve">Other </w:t>
            </w:r>
            <w:r>
              <w:rPr>
                <w:rFonts w:ascii="Arial" w:eastAsia="宋体" w:hAnsi="Arial" w:cs="Arial"/>
                <w:color w:val="000000"/>
                <w:sz w:val="18"/>
                <w:szCs w:val="18"/>
              </w:rPr>
              <w:t>comprehensive income (loss), net of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28B" w14:textId="77777777" w:rsidR="002661BA" w:rsidRDefault="00D972BC">
            <w:pPr>
              <w:jc w:val="right"/>
              <w:textAlignment w:val="bottom"/>
            </w:pPr>
            <w:r>
              <w:rPr>
                <w:rFonts w:ascii="Arial" w:eastAsia="宋体" w:hAnsi="Arial" w:cs="Arial"/>
                <w:color w:val="000000"/>
                <w:sz w:val="18"/>
                <w:szCs w:val="18"/>
              </w:rPr>
              <w:t>(218)</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28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28D"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28E" w14:textId="77777777" w:rsidR="002661BA" w:rsidRDefault="00D972BC">
            <w:pPr>
              <w:jc w:val="right"/>
              <w:textAlignment w:val="bottom"/>
            </w:pPr>
            <w:r>
              <w:rPr>
                <w:rFonts w:ascii="Arial" w:eastAsia="宋体" w:hAnsi="Arial" w:cs="Arial"/>
                <w:color w:val="000000"/>
                <w:sz w:val="18"/>
                <w:szCs w:val="18"/>
              </w:rPr>
              <w:t>232 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28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290"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291" w14:textId="77777777" w:rsidR="002661BA" w:rsidRDefault="00D972BC">
            <w:pPr>
              <w:jc w:val="right"/>
              <w:textAlignment w:val="bottom"/>
            </w:pPr>
            <w:r>
              <w:rPr>
                <w:rFonts w:ascii="Arial" w:eastAsia="宋体" w:hAnsi="Arial" w:cs="Arial"/>
                <w:color w:val="000000"/>
                <w:sz w:val="18"/>
                <w:szCs w:val="18"/>
              </w:rPr>
              <w:t>(114)</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292" w14:textId="77777777" w:rsidR="002661BA" w:rsidRDefault="002661BA">
            <w:pPr>
              <w:jc w:val="right"/>
              <w:rPr>
                <w:rFonts w:ascii="宋体"/>
              </w:rPr>
            </w:pPr>
          </w:p>
        </w:tc>
      </w:tr>
      <w:tr w:rsidR="002661BA" w14:paraId="22CFB2A0" w14:textId="77777777">
        <w:trPr>
          <w:jc w:val="center"/>
        </w:trPr>
        <w:tc>
          <w:tcPr>
            <w:tcW w:w="0" w:type="auto"/>
            <w:gridSpan w:val="3"/>
            <w:shd w:val="clear" w:color="auto" w:fill="E2E2E2"/>
            <w:tcMar>
              <w:top w:w="40" w:type="dxa"/>
              <w:left w:w="20" w:type="dxa"/>
              <w:bottom w:w="40" w:type="dxa"/>
              <w:right w:w="20" w:type="dxa"/>
            </w:tcMar>
            <w:vAlign w:val="bottom"/>
          </w:tcPr>
          <w:p w14:paraId="22CFB294" w14:textId="77777777" w:rsidR="002661BA" w:rsidRDefault="00D972BC">
            <w:pPr>
              <w:textAlignment w:val="bottom"/>
            </w:pPr>
            <w:r>
              <w:rPr>
                <w:rFonts w:ascii="Arial" w:eastAsia="宋体" w:hAnsi="Arial" w:cs="Arial"/>
                <w:color w:val="000000"/>
                <w:sz w:val="18"/>
                <w:szCs w:val="18"/>
              </w:rPr>
              <w:t>Comprehensive income</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B29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B296" w14:textId="77777777" w:rsidR="002661BA" w:rsidRDefault="00D972BC">
            <w:pPr>
              <w:jc w:val="right"/>
              <w:textAlignment w:val="bottom"/>
            </w:pPr>
            <w:r>
              <w:rPr>
                <w:rFonts w:ascii="Arial" w:eastAsia="宋体" w:hAnsi="Arial" w:cs="Arial"/>
                <w:color w:val="000000"/>
                <w:sz w:val="18"/>
                <w:szCs w:val="18"/>
              </w:rPr>
              <w:t>13,390 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B297"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298"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B29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B29A" w14:textId="77777777" w:rsidR="002661BA" w:rsidRDefault="00D972BC">
            <w:pPr>
              <w:jc w:val="right"/>
              <w:textAlignment w:val="bottom"/>
            </w:pPr>
            <w:r>
              <w:rPr>
                <w:rFonts w:ascii="Arial" w:eastAsia="宋体" w:hAnsi="Arial" w:cs="Arial"/>
                <w:color w:val="000000"/>
                <w:sz w:val="18"/>
                <w:szCs w:val="18"/>
              </w:rPr>
              <w:t>5,899 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B29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29C"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B29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B29E" w14:textId="77777777" w:rsidR="002661BA" w:rsidRDefault="00D972BC">
            <w:pPr>
              <w:jc w:val="right"/>
              <w:textAlignment w:val="bottom"/>
            </w:pPr>
            <w:r>
              <w:rPr>
                <w:rFonts w:ascii="Arial" w:eastAsia="宋体" w:hAnsi="Arial" w:cs="Arial"/>
                <w:color w:val="000000"/>
                <w:sz w:val="18"/>
                <w:szCs w:val="18"/>
              </w:rPr>
              <w:t>1,672 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B29F" w14:textId="77777777" w:rsidR="002661BA" w:rsidRDefault="002661BA">
            <w:pPr>
              <w:jc w:val="right"/>
              <w:rPr>
                <w:rFonts w:ascii="宋体"/>
              </w:rPr>
            </w:pPr>
          </w:p>
        </w:tc>
      </w:tr>
    </w:tbl>
    <w:p w14:paraId="22CFB2A1" w14:textId="77777777" w:rsidR="002661BA" w:rsidRDefault="00D972BC">
      <w:pPr>
        <w:spacing w:before="120"/>
        <w:jc w:val="center"/>
      </w:pPr>
      <w:r>
        <w:rPr>
          <w:rFonts w:ascii="Arial" w:eastAsia="宋体" w:hAnsi="Arial" w:cs="Arial"/>
          <w:color w:val="000000"/>
          <w:sz w:val="18"/>
          <w:szCs w:val="18"/>
        </w:rPr>
        <w:t xml:space="preserve">The accompanying notes are an integral part of these consolidated financial statements. </w:t>
      </w:r>
    </w:p>
    <w:p w14:paraId="22CFB2A2" w14:textId="77777777" w:rsidR="002661BA" w:rsidRDefault="002661BA">
      <w:pPr>
        <w:jc w:val="center"/>
      </w:pPr>
    </w:p>
    <w:p w14:paraId="22CFB2A3" w14:textId="77777777" w:rsidR="002661BA" w:rsidRDefault="00D972BC">
      <w:pPr>
        <w:jc w:val="center"/>
      </w:pPr>
      <w:r>
        <w:rPr>
          <w:rFonts w:ascii="Arial" w:eastAsia="宋体" w:hAnsi="Arial" w:cs="Arial"/>
          <w:color w:val="000000"/>
          <w:sz w:val="18"/>
          <w:szCs w:val="18"/>
        </w:rPr>
        <w:t>59</w:t>
      </w:r>
    </w:p>
    <w:p w14:paraId="22CFB2A4" w14:textId="77777777" w:rsidR="002661BA" w:rsidRDefault="00D972BC">
      <w:r>
        <w:pict w14:anchorId="22CFE4EC">
          <v:rect id="_x0000_i1083" style="width:415.3pt;height:1.5pt" o:hralign="center" o:hrstd="t" o:hr="t" fillcolor="#a0a0a0" stroked="f"/>
        </w:pict>
      </w:r>
    </w:p>
    <w:p w14:paraId="22CFB2A5" w14:textId="77777777" w:rsidR="002661BA" w:rsidRDefault="00D972BC">
      <w:hyperlink r:id="rId94" w:anchor="id0d7a71b05ce452ea9fdb54f3cb359c7_7" w:history="1">
        <w:r>
          <w:rPr>
            <w:rStyle w:val="a5"/>
            <w:rFonts w:ascii="Arial" w:eastAsia="宋体" w:hAnsi="Arial" w:cs="Arial"/>
            <w:sz w:val="18"/>
            <w:szCs w:val="18"/>
          </w:rPr>
          <w:t>Table of Contents</w:t>
        </w:r>
      </w:hyperlink>
    </w:p>
    <w:p w14:paraId="22CFB2A6" w14:textId="77777777" w:rsidR="002661BA" w:rsidRDefault="00D972BC">
      <w:pPr>
        <w:jc w:val="center"/>
      </w:pPr>
      <w:r>
        <w:rPr>
          <w:rFonts w:ascii="Arial" w:eastAsia="宋体" w:hAnsi="Arial" w:cs="Arial"/>
          <w:b/>
          <w:bCs/>
          <w:color w:val="000000"/>
          <w:sz w:val="20"/>
          <w:szCs w:val="20"/>
        </w:rPr>
        <w:t xml:space="preserve">eBay Inc. </w:t>
      </w:r>
    </w:p>
    <w:p w14:paraId="22CFB2A7" w14:textId="77777777" w:rsidR="002661BA" w:rsidRDefault="00D972BC">
      <w:pPr>
        <w:spacing w:before="60" w:after="120"/>
        <w:jc w:val="center"/>
      </w:pPr>
      <w:r>
        <w:rPr>
          <w:rFonts w:ascii="Arial" w:eastAsia="宋体" w:hAnsi="Arial" w:cs="Arial"/>
          <w:b/>
          <w:bCs/>
          <w:color w:val="000000"/>
          <w:sz w:val="20"/>
          <w:szCs w:val="20"/>
        </w:rPr>
        <w:t xml:space="preserve">CONSOLIDATED STATEMENT OF STOCKHOLDERS’ EQUITY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871"/>
        <w:gridCol w:w="39"/>
        <w:gridCol w:w="122"/>
        <w:gridCol w:w="898"/>
        <w:gridCol w:w="36"/>
        <w:gridCol w:w="36"/>
        <w:gridCol w:w="36"/>
        <w:gridCol w:w="36"/>
        <w:gridCol w:w="122"/>
        <w:gridCol w:w="898"/>
        <w:gridCol w:w="36"/>
        <w:gridCol w:w="36"/>
        <w:gridCol w:w="36"/>
        <w:gridCol w:w="36"/>
        <w:gridCol w:w="122"/>
        <w:gridCol w:w="900"/>
        <w:gridCol w:w="36"/>
      </w:tblGrid>
      <w:tr w:rsidR="002661BA" w14:paraId="22CFB2BA" w14:textId="77777777">
        <w:trPr>
          <w:jc w:val="center"/>
        </w:trPr>
        <w:tc>
          <w:tcPr>
            <w:tcW w:w="50" w:type="pct"/>
            <w:shd w:val="clear" w:color="auto" w:fill="auto"/>
            <w:vAlign w:val="bottom"/>
          </w:tcPr>
          <w:p w14:paraId="22CFB2A8" w14:textId="77777777" w:rsidR="002661BA" w:rsidRDefault="002661BA">
            <w:pPr>
              <w:rPr>
                <w:rFonts w:ascii="宋体"/>
              </w:rPr>
            </w:pPr>
          </w:p>
        </w:tc>
        <w:tc>
          <w:tcPr>
            <w:tcW w:w="2978" w:type="pct"/>
            <w:shd w:val="clear" w:color="auto" w:fill="auto"/>
            <w:vAlign w:val="bottom"/>
          </w:tcPr>
          <w:p w14:paraId="22CFB2A9" w14:textId="77777777" w:rsidR="002661BA" w:rsidRDefault="002661BA">
            <w:pPr>
              <w:rPr>
                <w:rFonts w:ascii="宋体"/>
              </w:rPr>
            </w:pPr>
          </w:p>
        </w:tc>
        <w:tc>
          <w:tcPr>
            <w:tcW w:w="5" w:type="pct"/>
            <w:shd w:val="clear" w:color="auto" w:fill="auto"/>
            <w:vAlign w:val="bottom"/>
          </w:tcPr>
          <w:p w14:paraId="22CFB2AA" w14:textId="77777777" w:rsidR="002661BA" w:rsidRDefault="002661BA">
            <w:pPr>
              <w:rPr>
                <w:rFonts w:ascii="宋体"/>
              </w:rPr>
            </w:pPr>
          </w:p>
        </w:tc>
        <w:tc>
          <w:tcPr>
            <w:tcW w:w="50" w:type="pct"/>
            <w:shd w:val="clear" w:color="auto" w:fill="auto"/>
            <w:vAlign w:val="bottom"/>
          </w:tcPr>
          <w:p w14:paraId="22CFB2AB" w14:textId="77777777" w:rsidR="002661BA" w:rsidRDefault="002661BA">
            <w:pPr>
              <w:rPr>
                <w:rFonts w:ascii="宋体"/>
              </w:rPr>
            </w:pPr>
          </w:p>
        </w:tc>
        <w:tc>
          <w:tcPr>
            <w:tcW w:w="580" w:type="pct"/>
            <w:shd w:val="clear" w:color="auto" w:fill="auto"/>
            <w:vAlign w:val="bottom"/>
          </w:tcPr>
          <w:p w14:paraId="22CFB2AC" w14:textId="77777777" w:rsidR="002661BA" w:rsidRDefault="002661BA">
            <w:pPr>
              <w:rPr>
                <w:rFonts w:ascii="宋体"/>
              </w:rPr>
            </w:pPr>
          </w:p>
        </w:tc>
        <w:tc>
          <w:tcPr>
            <w:tcW w:w="5" w:type="pct"/>
            <w:shd w:val="clear" w:color="auto" w:fill="auto"/>
            <w:vAlign w:val="bottom"/>
          </w:tcPr>
          <w:p w14:paraId="22CFB2AD" w14:textId="77777777" w:rsidR="002661BA" w:rsidRDefault="002661BA">
            <w:pPr>
              <w:rPr>
                <w:rFonts w:ascii="宋体"/>
              </w:rPr>
            </w:pPr>
          </w:p>
        </w:tc>
        <w:tc>
          <w:tcPr>
            <w:tcW w:w="5" w:type="pct"/>
            <w:shd w:val="clear" w:color="auto" w:fill="auto"/>
            <w:vAlign w:val="bottom"/>
          </w:tcPr>
          <w:p w14:paraId="22CFB2AE" w14:textId="77777777" w:rsidR="002661BA" w:rsidRDefault="002661BA">
            <w:pPr>
              <w:rPr>
                <w:rFonts w:ascii="宋体"/>
              </w:rPr>
            </w:pPr>
          </w:p>
        </w:tc>
        <w:tc>
          <w:tcPr>
            <w:tcW w:w="19" w:type="pct"/>
            <w:shd w:val="clear" w:color="auto" w:fill="auto"/>
            <w:vAlign w:val="bottom"/>
          </w:tcPr>
          <w:p w14:paraId="22CFB2AF" w14:textId="77777777" w:rsidR="002661BA" w:rsidRDefault="002661BA">
            <w:pPr>
              <w:rPr>
                <w:rFonts w:ascii="宋体"/>
              </w:rPr>
            </w:pPr>
          </w:p>
        </w:tc>
        <w:tc>
          <w:tcPr>
            <w:tcW w:w="5" w:type="pct"/>
            <w:shd w:val="clear" w:color="auto" w:fill="auto"/>
            <w:vAlign w:val="bottom"/>
          </w:tcPr>
          <w:p w14:paraId="22CFB2B0" w14:textId="77777777" w:rsidR="002661BA" w:rsidRDefault="002661BA">
            <w:pPr>
              <w:rPr>
                <w:rFonts w:ascii="宋体"/>
              </w:rPr>
            </w:pPr>
          </w:p>
        </w:tc>
        <w:tc>
          <w:tcPr>
            <w:tcW w:w="50" w:type="pct"/>
            <w:shd w:val="clear" w:color="auto" w:fill="auto"/>
            <w:vAlign w:val="bottom"/>
          </w:tcPr>
          <w:p w14:paraId="22CFB2B1" w14:textId="77777777" w:rsidR="002661BA" w:rsidRDefault="002661BA">
            <w:pPr>
              <w:rPr>
                <w:rFonts w:ascii="宋体"/>
              </w:rPr>
            </w:pPr>
          </w:p>
        </w:tc>
        <w:tc>
          <w:tcPr>
            <w:tcW w:w="580" w:type="pct"/>
            <w:shd w:val="clear" w:color="auto" w:fill="auto"/>
            <w:vAlign w:val="bottom"/>
          </w:tcPr>
          <w:p w14:paraId="22CFB2B2" w14:textId="77777777" w:rsidR="002661BA" w:rsidRDefault="002661BA">
            <w:pPr>
              <w:rPr>
                <w:rFonts w:ascii="宋体"/>
              </w:rPr>
            </w:pPr>
          </w:p>
        </w:tc>
        <w:tc>
          <w:tcPr>
            <w:tcW w:w="5" w:type="pct"/>
            <w:shd w:val="clear" w:color="auto" w:fill="auto"/>
            <w:vAlign w:val="bottom"/>
          </w:tcPr>
          <w:p w14:paraId="22CFB2B3" w14:textId="77777777" w:rsidR="002661BA" w:rsidRDefault="002661BA">
            <w:pPr>
              <w:rPr>
                <w:rFonts w:ascii="宋体"/>
              </w:rPr>
            </w:pPr>
          </w:p>
        </w:tc>
        <w:tc>
          <w:tcPr>
            <w:tcW w:w="5" w:type="pct"/>
            <w:shd w:val="clear" w:color="auto" w:fill="auto"/>
            <w:vAlign w:val="bottom"/>
          </w:tcPr>
          <w:p w14:paraId="22CFB2B4" w14:textId="77777777" w:rsidR="002661BA" w:rsidRDefault="002661BA">
            <w:pPr>
              <w:rPr>
                <w:rFonts w:ascii="宋体"/>
              </w:rPr>
            </w:pPr>
          </w:p>
        </w:tc>
        <w:tc>
          <w:tcPr>
            <w:tcW w:w="19" w:type="pct"/>
            <w:shd w:val="clear" w:color="auto" w:fill="auto"/>
            <w:vAlign w:val="bottom"/>
          </w:tcPr>
          <w:p w14:paraId="22CFB2B5" w14:textId="77777777" w:rsidR="002661BA" w:rsidRDefault="002661BA">
            <w:pPr>
              <w:rPr>
                <w:rFonts w:ascii="宋体"/>
              </w:rPr>
            </w:pPr>
          </w:p>
        </w:tc>
        <w:tc>
          <w:tcPr>
            <w:tcW w:w="5" w:type="pct"/>
            <w:shd w:val="clear" w:color="auto" w:fill="auto"/>
            <w:vAlign w:val="bottom"/>
          </w:tcPr>
          <w:p w14:paraId="22CFB2B6" w14:textId="77777777" w:rsidR="002661BA" w:rsidRDefault="002661BA">
            <w:pPr>
              <w:rPr>
                <w:rFonts w:ascii="宋体"/>
              </w:rPr>
            </w:pPr>
          </w:p>
        </w:tc>
        <w:tc>
          <w:tcPr>
            <w:tcW w:w="50" w:type="pct"/>
            <w:shd w:val="clear" w:color="auto" w:fill="auto"/>
            <w:vAlign w:val="bottom"/>
          </w:tcPr>
          <w:p w14:paraId="22CFB2B7" w14:textId="77777777" w:rsidR="002661BA" w:rsidRDefault="002661BA">
            <w:pPr>
              <w:rPr>
                <w:rFonts w:ascii="宋体"/>
              </w:rPr>
            </w:pPr>
          </w:p>
        </w:tc>
        <w:tc>
          <w:tcPr>
            <w:tcW w:w="581" w:type="pct"/>
            <w:shd w:val="clear" w:color="auto" w:fill="auto"/>
            <w:vAlign w:val="bottom"/>
          </w:tcPr>
          <w:p w14:paraId="22CFB2B8" w14:textId="77777777" w:rsidR="002661BA" w:rsidRDefault="002661BA">
            <w:pPr>
              <w:rPr>
                <w:rFonts w:ascii="宋体"/>
              </w:rPr>
            </w:pPr>
          </w:p>
        </w:tc>
        <w:tc>
          <w:tcPr>
            <w:tcW w:w="5" w:type="pct"/>
            <w:shd w:val="clear" w:color="auto" w:fill="auto"/>
            <w:vAlign w:val="bottom"/>
          </w:tcPr>
          <w:p w14:paraId="22CFB2B9" w14:textId="77777777" w:rsidR="002661BA" w:rsidRDefault="002661BA">
            <w:pPr>
              <w:rPr>
                <w:rFonts w:ascii="宋体"/>
              </w:rPr>
            </w:pPr>
          </w:p>
        </w:tc>
      </w:tr>
      <w:tr w:rsidR="002661BA" w14:paraId="22CFB2BD" w14:textId="77777777">
        <w:trPr>
          <w:jc w:val="center"/>
        </w:trPr>
        <w:tc>
          <w:tcPr>
            <w:tcW w:w="0" w:type="auto"/>
            <w:gridSpan w:val="3"/>
            <w:shd w:val="clear" w:color="auto" w:fill="auto"/>
            <w:tcMar>
              <w:top w:w="40" w:type="dxa"/>
              <w:left w:w="20" w:type="dxa"/>
              <w:bottom w:w="40" w:type="dxa"/>
              <w:right w:w="20" w:type="dxa"/>
            </w:tcMar>
            <w:vAlign w:val="bottom"/>
          </w:tcPr>
          <w:p w14:paraId="22CFB2BB" w14:textId="77777777" w:rsidR="002661BA" w:rsidRDefault="00D972BC">
            <w:pPr>
              <w:textAlignment w:val="bottom"/>
            </w:pPr>
            <w:r>
              <w:rPr>
                <w:rFonts w:ascii="Arial" w:eastAsia="宋体" w:hAnsi="Arial" w:cs="Arial"/>
                <w:color w:val="000000"/>
                <w:sz w:val="18"/>
                <w:szCs w:val="18"/>
              </w:rPr>
              <w:t> </w:t>
            </w:r>
          </w:p>
        </w:tc>
        <w:tc>
          <w:tcPr>
            <w:tcW w:w="0" w:type="auto"/>
            <w:gridSpan w:val="15"/>
            <w:shd w:val="clear" w:color="auto" w:fill="auto"/>
            <w:tcMar>
              <w:top w:w="40" w:type="dxa"/>
              <w:left w:w="20" w:type="dxa"/>
              <w:bottom w:w="40" w:type="dxa"/>
              <w:right w:w="20" w:type="dxa"/>
            </w:tcMar>
            <w:vAlign w:val="bottom"/>
          </w:tcPr>
          <w:p w14:paraId="22CFB2BC"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B2C4" w14:textId="77777777">
        <w:trPr>
          <w:jc w:val="center"/>
        </w:trPr>
        <w:tc>
          <w:tcPr>
            <w:tcW w:w="0" w:type="auto"/>
            <w:gridSpan w:val="3"/>
            <w:shd w:val="clear" w:color="auto" w:fill="auto"/>
            <w:tcMar>
              <w:top w:w="40" w:type="dxa"/>
              <w:left w:w="20" w:type="dxa"/>
              <w:bottom w:w="40" w:type="dxa"/>
              <w:right w:w="20" w:type="dxa"/>
            </w:tcMar>
            <w:vAlign w:val="bottom"/>
          </w:tcPr>
          <w:p w14:paraId="22CFB2BE"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2BF"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2C0"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B2C1"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2C2"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B2C3"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B2C7" w14:textId="77777777">
        <w:trPr>
          <w:jc w:val="center"/>
        </w:trPr>
        <w:tc>
          <w:tcPr>
            <w:tcW w:w="0" w:type="auto"/>
            <w:gridSpan w:val="3"/>
            <w:shd w:val="clear" w:color="auto" w:fill="auto"/>
            <w:tcMar>
              <w:top w:w="40" w:type="dxa"/>
              <w:left w:w="20" w:type="dxa"/>
              <w:bottom w:w="40" w:type="dxa"/>
              <w:right w:w="20" w:type="dxa"/>
            </w:tcMar>
            <w:vAlign w:val="bottom"/>
          </w:tcPr>
          <w:p w14:paraId="22CFB2C5" w14:textId="77777777" w:rsidR="002661BA" w:rsidRDefault="00D972BC">
            <w:pPr>
              <w:textAlignment w:val="bottom"/>
            </w:pPr>
            <w:r>
              <w:rPr>
                <w:rFonts w:ascii="Arial" w:eastAsia="宋体" w:hAnsi="Arial" w:cs="Arial"/>
                <w:color w:val="000000"/>
                <w:sz w:val="18"/>
                <w:szCs w:val="18"/>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2CFB2C6" w14:textId="77777777" w:rsidR="002661BA" w:rsidRDefault="00D972BC">
            <w:pPr>
              <w:jc w:val="center"/>
              <w:textAlignment w:val="bottom"/>
            </w:pPr>
            <w:r>
              <w:rPr>
                <w:rFonts w:ascii="Arial" w:eastAsia="宋体" w:hAnsi="Arial" w:cs="Arial"/>
                <w:b/>
                <w:bCs/>
                <w:color w:val="000000"/>
                <w:sz w:val="17"/>
                <w:szCs w:val="17"/>
              </w:rPr>
              <w:t>(In millions)</w:t>
            </w:r>
          </w:p>
        </w:tc>
      </w:tr>
      <w:tr w:rsidR="002661BA" w14:paraId="22CFB2CE" w14:textId="77777777">
        <w:trPr>
          <w:jc w:val="center"/>
        </w:trPr>
        <w:tc>
          <w:tcPr>
            <w:tcW w:w="0" w:type="auto"/>
            <w:gridSpan w:val="3"/>
            <w:shd w:val="clear" w:color="auto" w:fill="E2E2E2"/>
            <w:tcMar>
              <w:top w:w="40" w:type="dxa"/>
              <w:left w:w="20" w:type="dxa"/>
              <w:bottom w:w="40" w:type="dxa"/>
              <w:right w:w="20" w:type="dxa"/>
            </w:tcMar>
            <w:vAlign w:val="bottom"/>
          </w:tcPr>
          <w:p w14:paraId="22CFB2C8" w14:textId="77777777" w:rsidR="002661BA" w:rsidRDefault="00D972BC">
            <w:pPr>
              <w:textAlignment w:val="bottom"/>
            </w:pPr>
            <w:r>
              <w:rPr>
                <w:rFonts w:ascii="Arial" w:eastAsia="宋体" w:hAnsi="Arial" w:cs="Arial"/>
                <w:color w:val="000000"/>
                <w:sz w:val="18"/>
                <w:szCs w:val="18"/>
              </w:rPr>
              <w:t>Common stock:</w:t>
            </w:r>
          </w:p>
        </w:tc>
        <w:tc>
          <w:tcPr>
            <w:tcW w:w="0" w:type="auto"/>
            <w:gridSpan w:val="3"/>
            <w:shd w:val="clear" w:color="auto" w:fill="E2E2E2"/>
            <w:tcMar>
              <w:top w:w="0" w:type="dxa"/>
              <w:left w:w="20" w:type="dxa"/>
              <w:bottom w:w="0" w:type="dxa"/>
              <w:right w:w="20" w:type="dxa"/>
            </w:tcMar>
            <w:vAlign w:val="bottom"/>
          </w:tcPr>
          <w:p w14:paraId="22CFB2C9"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B2CA"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22CFB2CB"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B2CC"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22CFB2CD" w14:textId="77777777" w:rsidR="002661BA" w:rsidRDefault="002661BA">
            <w:pPr>
              <w:rPr>
                <w:rFonts w:ascii="宋体"/>
              </w:rPr>
            </w:pPr>
          </w:p>
        </w:tc>
      </w:tr>
      <w:tr w:rsidR="002661BA" w14:paraId="22CFB2DB" w14:textId="77777777">
        <w:trPr>
          <w:jc w:val="center"/>
        </w:trPr>
        <w:tc>
          <w:tcPr>
            <w:tcW w:w="0" w:type="auto"/>
            <w:gridSpan w:val="3"/>
            <w:shd w:val="clear" w:color="auto" w:fill="FFFFFF"/>
            <w:tcMar>
              <w:top w:w="40" w:type="dxa"/>
              <w:left w:w="245" w:type="dxa"/>
              <w:bottom w:w="40" w:type="dxa"/>
              <w:right w:w="20" w:type="dxa"/>
            </w:tcMar>
            <w:vAlign w:val="bottom"/>
          </w:tcPr>
          <w:p w14:paraId="22CFB2CF" w14:textId="77777777" w:rsidR="002661BA" w:rsidRDefault="00D972BC">
            <w:pPr>
              <w:textAlignment w:val="bottom"/>
            </w:pPr>
            <w:r>
              <w:rPr>
                <w:rFonts w:ascii="Arial" w:eastAsia="宋体" w:hAnsi="Arial" w:cs="Arial"/>
                <w:color w:val="000000"/>
                <w:sz w:val="18"/>
                <w:szCs w:val="18"/>
              </w:rPr>
              <w:t xml:space="preserve">Balance, </w:t>
            </w:r>
            <w:r>
              <w:rPr>
                <w:rFonts w:ascii="Arial" w:eastAsia="宋体" w:hAnsi="Arial" w:cs="Arial"/>
                <w:color w:val="000000"/>
                <w:sz w:val="18"/>
                <w:szCs w:val="18"/>
              </w:rPr>
              <w:t>beginning of year</w:t>
            </w:r>
          </w:p>
        </w:tc>
        <w:tc>
          <w:tcPr>
            <w:tcW w:w="0" w:type="auto"/>
            <w:shd w:val="clear" w:color="auto" w:fill="FFFFFF"/>
            <w:tcMar>
              <w:top w:w="40" w:type="dxa"/>
              <w:left w:w="20" w:type="dxa"/>
              <w:bottom w:w="40" w:type="dxa"/>
              <w:right w:w="0" w:type="dxa"/>
            </w:tcMar>
            <w:vAlign w:val="bottom"/>
          </w:tcPr>
          <w:p w14:paraId="22CFB2D0"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2D1" w14:textId="77777777" w:rsidR="002661BA" w:rsidRDefault="00D972BC">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22CFB2D2"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2D3"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FFFFFF"/>
            <w:tcMar>
              <w:top w:w="40" w:type="dxa"/>
              <w:left w:w="20" w:type="dxa"/>
              <w:bottom w:w="40" w:type="dxa"/>
              <w:right w:w="0" w:type="dxa"/>
            </w:tcMar>
            <w:vAlign w:val="bottom"/>
          </w:tcPr>
          <w:p w14:paraId="22CFB2D4"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2D5" w14:textId="77777777" w:rsidR="002661BA" w:rsidRDefault="00D972BC">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22CFB2D6"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2D7"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FFFFFF"/>
            <w:tcMar>
              <w:top w:w="40" w:type="dxa"/>
              <w:left w:w="20" w:type="dxa"/>
              <w:bottom w:w="40" w:type="dxa"/>
              <w:right w:w="0" w:type="dxa"/>
            </w:tcMar>
            <w:vAlign w:val="bottom"/>
          </w:tcPr>
          <w:p w14:paraId="22CFB2D8"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2D9" w14:textId="77777777" w:rsidR="002661BA" w:rsidRDefault="00D972BC">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22CFB2DA" w14:textId="77777777" w:rsidR="002661BA" w:rsidRDefault="002661BA">
            <w:pPr>
              <w:jc w:val="right"/>
              <w:rPr>
                <w:rFonts w:ascii="宋体"/>
              </w:rPr>
            </w:pPr>
          </w:p>
        </w:tc>
      </w:tr>
      <w:tr w:rsidR="002661BA" w14:paraId="22CFB2E5" w14:textId="77777777">
        <w:trPr>
          <w:jc w:val="center"/>
        </w:trPr>
        <w:tc>
          <w:tcPr>
            <w:tcW w:w="0" w:type="auto"/>
            <w:gridSpan w:val="3"/>
            <w:shd w:val="clear" w:color="auto" w:fill="E2E2E2"/>
            <w:tcMar>
              <w:top w:w="40" w:type="dxa"/>
              <w:left w:w="245" w:type="dxa"/>
              <w:bottom w:w="40" w:type="dxa"/>
              <w:right w:w="20" w:type="dxa"/>
            </w:tcMar>
            <w:vAlign w:val="bottom"/>
          </w:tcPr>
          <w:p w14:paraId="22CFB2DC" w14:textId="77777777" w:rsidR="002661BA" w:rsidRDefault="00D972BC">
            <w:pPr>
              <w:textAlignment w:val="bottom"/>
            </w:pPr>
            <w:r>
              <w:rPr>
                <w:rFonts w:ascii="Arial" w:eastAsia="宋体" w:hAnsi="Arial" w:cs="Arial"/>
                <w:color w:val="000000"/>
                <w:sz w:val="18"/>
                <w:szCs w:val="18"/>
              </w:rPr>
              <w:t>Common stock issued</w:t>
            </w:r>
          </w:p>
        </w:tc>
        <w:tc>
          <w:tcPr>
            <w:tcW w:w="0" w:type="auto"/>
            <w:gridSpan w:val="2"/>
            <w:shd w:val="clear" w:color="auto" w:fill="E2E2E2"/>
            <w:tcMar>
              <w:top w:w="40" w:type="dxa"/>
              <w:left w:w="20" w:type="dxa"/>
              <w:bottom w:w="40" w:type="dxa"/>
              <w:right w:w="0" w:type="dxa"/>
            </w:tcMar>
            <w:vAlign w:val="bottom"/>
          </w:tcPr>
          <w:p w14:paraId="22CFB2DD"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B2DE"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2DF"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B2E0"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B2E1"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2E2"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B2E3"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B2E4" w14:textId="77777777" w:rsidR="002661BA" w:rsidRDefault="002661BA">
            <w:pPr>
              <w:jc w:val="right"/>
              <w:rPr>
                <w:rFonts w:ascii="宋体"/>
              </w:rPr>
            </w:pPr>
          </w:p>
        </w:tc>
      </w:tr>
      <w:tr w:rsidR="002661BA" w14:paraId="22CFB2EF" w14:textId="77777777">
        <w:trPr>
          <w:jc w:val="center"/>
        </w:trPr>
        <w:tc>
          <w:tcPr>
            <w:tcW w:w="0" w:type="auto"/>
            <w:gridSpan w:val="3"/>
            <w:shd w:val="clear" w:color="auto" w:fill="FFFFFF"/>
            <w:tcMar>
              <w:top w:w="40" w:type="dxa"/>
              <w:left w:w="245" w:type="dxa"/>
              <w:bottom w:w="40" w:type="dxa"/>
              <w:right w:w="20" w:type="dxa"/>
            </w:tcMar>
            <w:vAlign w:val="bottom"/>
          </w:tcPr>
          <w:p w14:paraId="22CFB2E6" w14:textId="77777777" w:rsidR="002661BA" w:rsidRDefault="00D972BC">
            <w:pPr>
              <w:textAlignment w:val="bottom"/>
            </w:pPr>
            <w:r>
              <w:rPr>
                <w:rFonts w:ascii="Arial" w:eastAsia="宋体" w:hAnsi="Arial" w:cs="Arial"/>
                <w:color w:val="000000"/>
                <w:sz w:val="18"/>
                <w:szCs w:val="18"/>
              </w:rPr>
              <w:t>Common stock repurchased</w:t>
            </w:r>
          </w:p>
        </w:tc>
        <w:tc>
          <w:tcPr>
            <w:tcW w:w="0" w:type="auto"/>
            <w:gridSpan w:val="2"/>
            <w:shd w:val="clear" w:color="auto" w:fill="FFFFFF"/>
            <w:tcMar>
              <w:top w:w="40" w:type="dxa"/>
              <w:left w:w="20" w:type="dxa"/>
              <w:bottom w:w="40" w:type="dxa"/>
              <w:right w:w="0" w:type="dxa"/>
            </w:tcMar>
            <w:vAlign w:val="bottom"/>
          </w:tcPr>
          <w:p w14:paraId="22CFB2E7"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2E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2E9"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2EA"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2E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2E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2ED"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2EE" w14:textId="77777777" w:rsidR="002661BA" w:rsidRDefault="002661BA">
            <w:pPr>
              <w:jc w:val="right"/>
              <w:rPr>
                <w:rFonts w:ascii="宋体"/>
              </w:rPr>
            </w:pPr>
          </w:p>
        </w:tc>
      </w:tr>
      <w:tr w:rsidR="002661BA" w14:paraId="22CFB2F9" w14:textId="77777777">
        <w:trPr>
          <w:jc w:val="center"/>
        </w:trPr>
        <w:tc>
          <w:tcPr>
            <w:tcW w:w="0" w:type="auto"/>
            <w:gridSpan w:val="3"/>
            <w:shd w:val="clear" w:color="auto" w:fill="E2E2E2"/>
            <w:tcMar>
              <w:top w:w="40" w:type="dxa"/>
              <w:left w:w="740" w:type="dxa"/>
              <w:bottom w:w="40" w:type="dxa"/>
              <w:right w:w="20" w:type="dxa"/>
            </w:tcMar>
            <w:vAlign w:val="bottom"/>
          </w:tcPr>
          <w:p w14:paraId="22CFB2F0" w14:textId="77777777" w:rsidR="002661BA" w:rsidRDefault="00D972BC">
            <w:pPr>
              <w:textAlignment w:val="bottom"/>
            </w:pPr>
            <w:r>
              <w:rPr>
                <w:rFonts w:ascii="Arial" w:eastAsia="宋体" w:hAnsi="Arial" w:cs="Arial"/>
                <w:color w:val="000000"/>
                <w:sz w:val="18"/>
                <w:szCs w:val="18"/>
              </w:rPr>
              <w:t>Balance, end of year</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2F1" w14:textId="77777777" w:rsidR="002661BA" w:rsidRDefault="00D972BC">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2F2"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2F3" w14:textId="77777777" w:rsidR="002661BA" w:rsidRDefault="00D972BC">
            <w:pPr>
              <w:textAlignment w:val="bottom"/>
            </w:pPr>
            <w:r>
              <w:rPr>
                <w:rFonts w:ascii="Arial" w:eastAsia="宋体" w:hAnsi="Arial" w:cs="Arial"/>
                <w:color w:val="000000"/>
                <w:sz w:val="18"/>
                <w:szCs w:val="18"/>
              </w:rPr>
              <w:t> </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2F4" w14:textId="77777777" w:rsidR="002661BA" w:rsidRDefault="00D972BC">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2F5"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2F6" w14:textId="77777777" w:rsidR="002661BA" w:rsidRDefault="00D972BC">
            <w:pPr>
              <w:textAlignment w:val="bottom"/>
            </w:pPr>
            <w:r>
              <w:rPr>
                <w:rFonts w:ascii="Arial" w:eastAsia="宋体" w:hAnsi="Arial" w:cs="Arial"/>
                <w:color w:val="000000"/>
                <w:sz w:val="18"/>
                <w:szCs w:val="18"/>
              </w:rPr>
              <w:t> </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2F7" w14:textId="77777777" w:rsidR="002661BA" w:rsidRDefault="00D972BC">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2F8" w14:textId="77777777" w:rsidR="002661BA" w:rsidRDefault="002661BA">
            <w:pPr>
              <w:jc w:val="right"/>
              <w:rPr>
                <w:rFonts w:ascii="宋体"/>
              </w:rPr>
            </w:pPr>
          </w:p>
        </w:tc>
      </w:tr>
      <w:tr w:rsidR="002661BA" w14:paraId="22CFB300" w14:textId="77777777">
        <w:trPr>
          <w:jc w:val="center"/>
        </w:trPr>
        <w:tc>
          <w:tcPr>
            <w:tcW w:w="0" w:type="auto"/>
            <w:gridSpan w:val="3"/>
            <w:shd w:val="clear" w:color="auto" w:fill="FFFFFF"/>
            <w:tcMar>
              <w:top w:w="40" w:type="dxa"/>
              <w:left w:w="20" w:type="dxa"/>
              <w:bottom w:w="40" w:type="dxa"/>
              <w:right w:w="20" w:type="dxa"/>
            </w:tcMar>
            <w:vAlign w:val="bottom"/>
          </w:tcPr>
          <w:p w14:paraId="22CFB2FA" w14:textId="77777777" w:rsidR="002661BA" w:rsidRDefault="00D972BC">
            <w:pPr>
              <w:textAlignment w:val="bottom"/>
            </w:pPr>
            <w:r>
              <w:rPr>
                <w:rFonts w:ascii="Arial" w:eastAsia="宋体" w:hAnsi="Arial" w:cs="Arial"/>
                <w:color w:val="000000"/>
                <w:sz w:val="18"/>
                <w:szCs w:val="18"/>
              </w:rPr>
              <w:t>Additional paid-in-capital: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2FB"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B2FC"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2FD"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B2FE"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2FF" w14:textId="77777777" w:rsidR="002661BA" w:rsidRDefault="002661BA">
            <w:pPr>
              <w:rPr>
                <w:rFonts w:ascii="宋体"/>
              </w:rPr>
            </w:pPr>
          </w:p>
        </w:tc>
      </w:tr>
      <w:tr w:rsidR="002661BA" w14:paraId="22CFB30A" w14:textId="77777777">
        <w:trPr>
          <w:jc w:val="center"/>
        </w:trPr>
        <w:tc>
          <w:tcPr>
            <w:tcW w:w="0" w:type="auto"/>
            <w:gridSpan w:val="3"/>
            <w:shd w:val="clear" w:color="auto" w:fill="E2E2E2"/>
            <w:tcMar>
              <w:top w:w="40" w:type="dxa"/>
              <w:left w:w="245" w:type="dxa"/>
              <w:bottom w:w="40" w:type="dxa"/>
              <w:right w:w="20" w:type="dxa"/>
            </w:tcMar>
            <w:vAlign w:val="bottom"/>
          </w:tcPr>
          <w:p w14:paraId="22CFB301" w14:textId="77777777" w:rsidR="002661BA" w:rsidRDefault="00D972BC">
            <w:pPr>
              <w:textAlignment w:val="bottom"/>
            </w:pPr>
            <w:r>
              <w:rPr>
                <w:rFonts w:ascii="Arial" w:eastAsia="宋体" w:hAnsi="Arial" w:cs="Arial"/>
                <w:color w:val="000000"/>
                <w:sz w:val="18"/>
                <w:szCs w:val="18"/>
              </w:rPr>
              <w:t>Balance, beginning of year</w:t>
            </w:r>
          </w:p>
        </w:tc>
        <w:tc>
          <w:tcPr>
            <w:tcW w:w="0" w:type="auto"/>
            <w:gridSpan w:val="2"/>
            <w:shd w:val="clear" w:color="auto" w:fill="E2E2E2"/>
            <w:tcMar>
              <w:top w:w="40" w:type="dxa"/>
              <w:left w:w="20" w:type="dxa"/>
              <w:bottom w:w="40" w:type="dxa"/>
              <w:right w:w="0" w:type="dxa"/>
            </w:tcMar>
            <w:vAlign w:val="bottom"/>
          </w:tcPr>
          <w:p w14:paraId="22CFB302" w14:textId="77777777" w:rsidR="002661BA" w:rsidRDefault="00D972BC">
            <w:pPr>
              <w:jc w:val="right"/>
              <w:textAlignment w:val="bottom"/>
            </w:pPr>
            <w:r>
              <w:rPr>
                <w:rFonts w:ascii="Arial" w:eastAsia="宋体" w:hAnsi="Arial" w:cs="Arial"/>
                <w:color w:val="000000"/>
                <w:sz w:val="18"/>
                <w:szCs w:val="18"/>
              </w:rPr>
              <w:t>16,497 </w:t>
            </w:r>
          </w:p>
        </w:tc>
        <w:tc>
          <w:tcPr>
            <w:tcW w:w="0" w:type="auto"/>
            <w:shd w:val="clear" w:color="auto" w:fill="E2E2E2"/>
            <w:tcMar>
              <w:top w:w="40" w:type="dxa"/>
              <w:left w:w="0" w:type="dxa"/>
              <w:bottom w:w="40" w:type="dxa"/>
              <w:right w:w="20" w:type="dxa"/>
            </w:tcMar>
            <w:vAlign w:val="bottom"/>
          </w:tcPr>
          <w:p w14:paraId="22CFB303"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304"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B305" w14:textId="77777777" w:rsidR="002661BA" w:rsidRDefault="00D972BC">
            <w:pPr>
              <w:jc w:val="right"/>
              <w:textAlignment w:val="bottom"/>
            </w:pPr>
            <w:r>
              <w:rPr>
                <w:rFonts w:ascii="Arial" w:eastAsia="宋体" w:hAnsi="Arial" w:cs="Arial"/>
                <w:color w:val="000000"/>
                <w:sz w:val="18"/>
                <w:szCs w:val="18"/>
              </w:rPr>
              <w:t>16,126 </w:t>
            </w:r>
          </w:p>
        </w:tc>
        <w:tc>
          <w:tcPr>
            <w:tcW w:w="0" w:type="auto"/>
            <w:shd w:val="clear" w:color="auto" w:fill="E2E2E2"/>
            <w:tcMar>
              <w:top w:w="40" w:type="dxa"/>
              <w:left w:w="0" w:type="dxa"/>
              <w:bottom w:w="40" w:type="dxa"/>
              <w:right w:w="20" w:type="dxa"/>
            </w:tcMar>
            <w:vAlign w:val="bottom"/>
          </w:tcPr>
          <w:p w14:paraId="22CFB306"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307"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B308" w14:textId="77777777" w:rsidR="002661BA" w:rsidRDefault="00D972BC">
            <w:pPr>
              <w:jc w:val="right"/>
              <w:textAlignment w:val="bottom"/>
            </w:pPr>
            <w:r>
              <w:rPr>
                <w:rFonts w:ascii="Arial" w:eastAsia="宋体" w:hAnsi="Arial" w:cs="Arial"/>
                <w:color w:val="000000"/>
                <w:sz w:val="18"/>
                <w:szCs w:val="18"/>
              </w:rPr>
              <w:t>15,716 </w:t>
            </w:r>
          </w:p>
        </w:tc>
        <w:tc>
          <w:tcPr>
            <w:tcW w:w="0" w:type="auto"/>
            <w:shd w:val="clear" w:color="auto" w:fill="E2E2E2"/>
            <w:tcMar>
              <w:top w:w="40" w:type="dxa"/>
              <w:left w:w="0" w:type="dxa"/>
              <w:bottom w:w="40" w:type="dxa"/>
              <w:right w:w="20" w:type="dxa"/>
            </w:tcMar>
            <w:vAlign w:val="bottom"/>
          </w:tcPr>
          <w:p w14:paraId="22CFB309" w14:textId="77777777" w:rsidR="002661BA" w:rsidRDefault="002661BA">
            <w:pPr>
              <w:jc w:val="right"/>
              <w:rPr>
                <w:rFonts w:ascii="宋体"/>
              </w:rPr>
            </w:pPr>
          </w:p>
        </w:tc>
      </w:tr>
      <w:tr w:rsidR="002661BA" w14:paraId="22CFB314" w14:textId="77777777">
        <w:trPr>
          <w:jc w:val="center"/>
        </w:trPr>
        <w:tc>
          <w:tcPr>
            <w:tcW w:w="0" w:type="auto"/>
            <w:gridSpan w:val="3"/>
            <w:shd w:val="clear" w:color="auto" w:fill="FFFFFF"/>
            <w:tcMar>
              <w:top w:w="40" w:type="dxa"/>
              <w:left w:w="245" w:type="dxa"/>
              <w:bottom w:w="40" w:type="dxa"/>
              <w:right w:w="20" w:type="dxa"/>
            </w:tcMar>
            <w:vAlign w:val="bottom"/>
          </w:tcPr>
          <w:p w14:paraId="22CFB30B" w14:textId="77777777" w:rsidR="002661BA" w:rsidRDefault="00D972BC">
            <w:pPr>
              <w:textAlignment w:val="bottom"/>
            </w:pPr>
            <w:r>
              <w:rPr>
                <w:rFonts w:ascii="Arial" w:eastAsia="宋体" w:hAnsi="Arial" w:cs="Arial"/>
                <w:color w:val="000000"/>
                <w:sz w:val="18"/>
                <w:szCs w:val="18"/>
              </w:rPr>
              <w:t xml:space="preserve">Common stock and </w:t>
            </w:r>
            <w:r>
              <w:rPr>
                <w:rFonts w:ascii="Arial" w:eastAsia="宋体" w:hAnsi="Arial" w:cs="Arial"/>
                <w:color w:val="000000"/>
                <w:sz w:val="18"/>
                <w:szCs w:val="18"/>
              </w:rPr>
              <w:t>stock-based awards issued</w:t>
            </w:r>
          </w:p>
        </w:tc>
        <w:tc>
          <w:tcPr>
            <w:tcW w:w="0" w:type="auto"/>
            <w:gridSpan w:val="2"/>
            <w:shd w:val="clear" w:color="auto" w:fill="FFFFFF"/>
            <w:tcMar>
              <w:top w:w="40" w:type="dxa"/>
              <w:left w:w="20" w:type="dxa"/>
              <w:bottom w:w="40" w:type="dxa"/>
              <w:right w:w="0" w:type="dxa"/>
            </w:tcMar>
            <w:vAlign w:val="bottom"/>
          </w:tcPr>
          <w:p w14:paraId="22CFB30C" w14:textId="77777777" w:rsidR="002661BA" w:rsidRDefault="00D972BC">
            <w:pPr>
              <w:jc w:val="right"/>
              <w:textAlignment w:val="bottom"/>
            </w:pPr>
            <w:r>
              <w:rPr>
                <w:rFonts w:ascii="Arial" w:eastAsia="宋体" w:hAnsi="Arial" w:cs="Arial"/>
                <w:color w:val="000000"/>
                <w:sz w:val="18"/>
                <w:szCs w:val="18"/>
              </w:rPr>
              <w:t>93 </w:t>
            </w:r>
          </w:p>
        </w:tc>
        <w:tc>
          <w:tcPr>
            <w:tcW w:w="0" w:type="auto"/>
            <w:shd w:val="clear" w:color="auto" w:fill="FFFFFF"/>
            <w:tcMar>
              <w:top w:w="40" w:type="dxa"/>
              <w:left w:w="0" w:type="dxa"/>
              <w:bottom w:w="40" w:type="dxa"/>
              <w:right w:w="20" w:type="dxa"/>
            </w:tcMar>
            <w:vAlign w:val="bottom"/>
          </w:tcPr>
          <w:p w14:paraId="22CFB30D"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30E"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B30F" w14:textId="77777777" w:rsidR="002661BA" w:rsidRDefault="00D972BC">
            <w:pPr>
              <w:jc w:val="right"/>
              <w:textAlignment w:val="bottom"/>
            </w:pPr>
            <w:r>
              <w:rPr>
                <w:rFonts w:ascii="Arial" w:eastAsia="宋体" w:hAnsi="Arial" w:cs="Arial"/>
                <w:color w:val="000000"/>
                <w:sz w:val="18"/>
                <w:szCs w:val="18"/>
              </w:rPr>
              <w:t>89 </w:t>
            </w:r>
          </w:p>
        </w:tc>
        <w:tc>
          <w:tcPr>
            <w:tcW w:w="0" w:type="auto"/>
            <w:shd w:val="clear" w:color="auto" w:fill="FFFFFF"/>
            <w:tcMar>
              <w:top w:w="40" w:type="dxa"/>
              <w:left w:w="0" w:type="dxa"/>
              <w:bottom w:w="40" w:type="dxa"/>
              <w:right w:w="20" w:type="dxa"/>
            </w:tcMar>
            <w:vAlign w:val="bottom"/>
          </w:tcPr>
          <w:p w14:paraId="22CFB310"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311"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B312" w14:textId="77777777" w:rsidR="002661BA" w:rsidRDefault="00D972BC">
            <w:pPr>
              <w:jc w:val="right"/>
              <w:textAlignment w:val="bottom"/>
            </w:pPr>
            <w:r>
              <w:rPr>
                <w:rFonts w:ascii="Arial" w:eastAsia="宋体" w:hAnsi="Arial" w:cs="Arial"/>
                <w:color w:val="000000"/>
                <w:sz w:val="18"/>
                <w:szCs w:val="18"/>
              </w:rPr>
              <w:t>104 </w:t>
            </w:r>
          </w:p>
        </w:tc>
        <w:tc>
          <w:tcPr>
            <w:tcW w:w="0" w:type="auto"/>
            <w:shd w:val="clear" w:color="auto" w:fill="FFFFFF"/>
            <w:tcMar>
              <w:top w:w="40" w:type="dxa"/>
              <w:left w:w="0" w:type="dxa"/>
              <w:bottom w:w="40" w:type="dxa"/>
              <w:right w:w="20" w:type="dxa"/>
            </w:tcMar>
            <w:vAlign w:val="bottom"/>
          </w:tcPr>
          <w:p w14:paraId="22CFB313" w14:textId="77777777" w:rsidR="002661BA" w:rsidRDefault="002661BA">
            <w:pPr>
              <w:jc w:val="right"/>
              <w:rPr>
                <w:rFonts w:ascii="宋体"/>
              </w:rPr>
            </w:pPr>
          </w:p>
        </w:tc>
      </w:tr>
      <w:tr w:rsidR="002661BA" w14:paraId="22CFB31E" w14:textId="77777777">
        <w:trPr>
          <w:jc w:val="center"/>
        </w:trPr>
        <w:tc>
          <w:tcPr>
            <w:tcW w:w="0" w:type="auto"/>
            <w:gridSpan w:val="3"/>
            <w:shd w:val="clear" w:color="auto" w:fill="E2E2E2"/>
            <w:tcMar>
              <w:top w:w="40" w:type="dxa"/>
              <w:left w:w="245" w:type="dxa"/>
              <w:bottom w:w="40" w:type="dxa"/>
              <w:right w:w="20" w:type="dxa"/>
            </w:tcMar>
            <w:vAlign w:val="bottom"/>
          </w:tcPr>
          <w:p w14:paraId="22CFB315" w14:textId="77777777" w:rsidR="002661BA" w:rsidRDefault="00D972BC">
            <w:pPr>
              <w:textAlignment w:val="bottom"/>
            </w:pPr>
            <w:r>
              <w:rPr>
                <w:rFonts w:ascii="Arial" w:eastAsia="宋体" w:hAnsi="Arial" w:cs="Arial"/>
                <w:color w:val="000000"/>
                <w:sz w:val="18"/>
                <w:szCs w:val="18"/>
              </w:rPr>
              <w:t>Tax withholdings related to net share settlements of restricted stock awards and units</w:t>
            </w:r>
          </w:p>
        </w:tc>
        <w:tc>
          <w:tcPr>
            <w:tcW w:w="0" w:type="auto"/>
            <w:gridSpan w:val="2"/>
            <w:shd w:val="clear" w:color="auto" w:fill="E2E2E2"/>
            <w:tcMar>
              <w:top w:w="40" w:type="dxa"/>
              <w:left w:w="20" w:type="dxa"/>
              <w:bottom w:w="40" w:type="dxa"/>
              <w:right w:w="0" w:type="dxa"/>
            </w:tcMar>
            <w:vAlign w:val="bottom"/>
          </w:tcPr>
          <w:p w14:paraId="22CFB316" w14:textId="77777777" w:rsidR="002661BA" w:rsidRDefault="00D972BC">
            <w:pPr>
              <w:jc w:val="right"/>
              <w:textAlignment w:val="bottom"/>
            </w:pPr>
            <w:r>
              <w:rPr>
                <w:rFonts w:ascii="Arial" w:eastAsia="宋体" w:hAnsi="Arial" w:cs="Arial"/>
                <w:color w:val="000000"/>
                <w:sz w:val="18"/>
                <w:szCs w:val="18"/>
              </w:rPr>
              <w:t>(236)</w:t>
            </w:r>
          </w:p>
        </w:tc>
        <w:tc>
          <w:tcPr>
            <w:tcW w:w="0" w:type="auto"/>
            <w:shd w:val="clear" w:color="auto" w:fill="E2E2E2"/>
            <w:tcMar>
              <w:top w:w="40" w:type="dxa"/>
              <w:left w:w="0" w:type="dxa"/>
              <w:bottom w:w="40" w:type="dxa"/>
              <w:right w:w="20" w:type="dxa"/>
            </w:tcMar>
            <w:vAlign w:val="bottom"/>
          </w:tcPr>
          <w:p w14:paraId="22CFB317"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318"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319" w14:textId="77777777" w:rsidR="002661BA" w:rsidRDefault="00D972BC">
            <w:pPr>
              <w:jc w:val="right"/>
              <w:textAlignment w:val="bottom"/>
            </w:pPr>
            <w:r>
              <w:rPr>
                <w:rFonts w:ascii="Arial" w:eastAsia="宋体" w:hAnsi="Arial" w:cs="Arial"/>
                <w:color w:val="000000"/>
                <w:sz w:val="18"/>
                <w:szCs w:val="18"/>
              </w:rPr>
              <w:t>(175)</w:t>
            </w:r>
          </w:p>
        </w:tc>
        <w:tc>
          <w:tcPr>
            <w:tcW w:w="0" w:type="auto"/>
            <w:shd w:val="clear" w:color="auto" w:fill="E2E2E2"/>
            <w:tcMar>
              <w:top w:w="40" w:type="dxa"/>
              <w:left w:w="0" w:type="dxa"/>
              <w:bottom w:w="40" w:type="dxa"/>
              <w:right w:w="20" w:type="dxa"/>
            </w:tcMar>
            <w:vAlign w:val="bottom"/>
          </w:tcPr>
          <w:p w14:paraId="22CFB31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31B"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31C" w14:textId="77777777" w:rsidR="002661BA" w:rsidRDefault="00D972BC">
            <w:pPr>
              <w:jc w:val="right"/>
              <w:textAlignment w:val="bottom"/>
            </w:pPr>
            <w:r>
              <w:rPr>
                <w:rFonts w:ascii="Arial" w:eastAsia="宋体" w:hAnsi="Arial" w:cs="Arial"/>
                <w:color w:val="000000"/>
                <w:sz w:val="18"/>
                <w:szCs w:val="18"/>
              </w:rPr>
              <w:t>(202)</w:t>
            </w:r>
          </w:p>
        </w:tc>
        <w:tc>
          <w:tcPr>
            <w:tcW w:w="0" w:type="auto"/>
            <w:shd w:val="clear" w:color="auto" w:fill="E2E2E2"/>
            <w:tcMar>
              <w:top w:w="40" w:type="dxa"/>
              <w:left w:w="0" w:type="dxa"/>
              <w:bottom w:w="40" w:type="dxa"/>
              <w:right w:w="20" w:type="dxa"/>
            </w:tcMar>
            <w:vAlign w:val="bottom"/>
          </w:tcPr>
          <w:p w14:paraId="22CFB31D" w14:textId="77777777" w:rsidR="002661BA" w:rsidRDefault="002661BA">
            <w:pPr>
              <w:jc w:val="right"/>
              <w:rPr>
                <w:rFonts w:ascii="宋体"/>
              </w:rPr>
            </w:pPr>
          </w:p>
        </w:tc>
      </w:tr>
      <w:tr w:rsidR="002661BA" w14:paraId="22CFB328" w14:textId="77777777">
        <w:trPr>
          <w:jc w:val="center"/>
        </w:trPr>
        <w:tc>
          <w:tcPr>
            <w:tcW w:w="0" w:type="auto"/>
            <w:gridSpan w:val="3"/>
            <w:shd w:val="clear" w:color="auto" w:fill="FFFFFF"/>
            <w:tcMar>
              <w:top w:w="40" w:type="dxa"/>
              <w:left w:w="245" w:type="dxa"/>
              <w:bottom w:w="40" w:type="dxa"/>
              <w:right w:w="20" w:type="dxa"/>
            </w:tcMar>
            <w:vAlign w:val="bottom"/>
          </w:tcPr>
          <w:p w14:paraId="22CFB31F" w14:textId="77777777" w:rsidR="002661BA" w:rsidRDefault="00D972BC">
            <w:pPr>
              <w:textAlignment w:val="bottom"/>
            </w:pPr>
            <w:r>
              <w:rPr>
                <w:rFonts w:ascii="Arial" w:eastAsia="宋体" w:hAnsi="Arial" w:cs="Arial"/>
                <w:color w:val="000000"/>
                <w:sz w:val="18"/>
                <w:szCs w:val="18"/>
              </w:rPr>
              <w:t>Stock-based compensation</w:t>
            </w:r>
          </w:p>
        </w:tc>
        <w:tc>
          <w:tcPr>
            <w:tcW w:w="0" w:type="auto"/>
            <w:gridSpan w:val="2"/>
            <w:shd w:val="clear" w:color="auto" w:fill="FFFFFF"/>
            <w:tcMar>
              <w:top w:w="40" w:type="dxa"/>
              <w:left w:w="20" w:type="dxa"/>
              <w:bottom w:w="40" w:type="dxa"/>
              <w:right w:w="0" w:type="dxa"/>
            </w:tcMar>
            <w:vAlign w:val="bottom"/>
          </w:tcPr>
          <w:p w14:paraId="22CFB320" w14:textId="77777777" w:rsidR="002661BA" w:rsidRDefault="00D972BC">
            <w:pPr>
              <w:jc w:val="right"/>
              <w:textAlignment w:val="bottom"/>
            </w:pPr>
            <w:r>
              <w:rPr>
                <w:rFonts w:ascii="Arial" w:eastAsia="宋体" w:hAnsi="Arial" w:cs="Arial"/>
                <w:color w:val="000000"/>
                <w:sz w:val="18"/>
                <w:szCs w:val="18"/>
              </w:rPr>
              <w:t>497 </w:t>
            </w:r>
          </w:p>
        </w:tc>
        <w:tc>
          <w:tcPr>
            <w:tcW w:w="0" w:type="auto"/>
            <w:shd w:val="clear" w:color="auto" w:fill="FFFFFF"/>
            <w:tcMar>
              <w:top w:w="40" w:type="dxa"/>
              <w:left w:w="0" w:type="dxa"/>
              <w:bottom w:w="40" w:type="dxa"/>
              <w:right w:w="20" w:type="dxa"/>
            </w:tcMar>
            <w:vAlign w:val="bottom"/>
          </w:tcPr>
          <w:p w14:paraId="22CFB321"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322"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B323" w14:textId="77777777" w:rsidR="002661BA" w:rsidRDefault="00D972BC">
            <w:pPr>
              <w:jc w:val="right"/>
              <w:textAlignment w:val="bottom"/>
            </w:pPr>
            <w:r>
              <w:rPr>
                <w:rFonts w:ascii="Arial" w:eastAsia="宋体" w:hAnsi="Arial" w:cs="Arial"/>
                <w:color w:val="000000"/>
                <w:sz w:val="18"/>
                <w:szCs w:val="18"/>
              </w:rPr>
              <w:t>463 </w:t>
            </w:r>
          </w:p>
        </w:tc>
        <w:tc>
          <w:tcPr>
            <w:tcW w:w="0" w:type="auto"/>
            <w:shd w:val="clear" w:color="auto" w:fill="FFFFFF"/>
            <w:tcMar>
              <w:top w:w="40" w:type="dxa"/>
              <w:left w:w="0" w:type="dxa"/>
              <w:bottom w:w="40" w:type="dxa"/>
              <w:right w:w="20" w:type="dxa"/>
            </w:tcMar>
            <w:vAlign w:val="bottom"/>
          </w:tcPr>
          <w:p w14:paraId="22CFB324"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325"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B326" w14:textId="77777777" w:rsidR="002661BA" w:rsidRDefault="00D972BC">
            <w:pPr>
              <w:jc w:val="right"/>
              <w:textAlignment w:val="bottom"/>
            </w:pPr>
            <w:r>
              <w:rPr>
                <w:rFonts w:ascii="Arial" w:eastAsia="宋体" w:hAnsi="Arial" w:cs="Arial"/>
                <w:color w:val="000000"/>
                <w:sz w:val="18"/>
                <w:szCs w:val="18"/>
              </w:rPr>
              <w:t>505 </w:t>
            </w:r>
          </w:p>
        </w:tc>
        <w:tc>
          <w:tcPr>
            <w:tcW w:w="0" w:type="auto"/>
            <w:shd w:val="clear" w:color="auto" w:fill="FFFFFF"/>
            <w:tcMar>
              <w:top w:w="40" w:type="dxa"/>
              <w:left w:w="0" w:type="dxa"/>
              <w:bottom w:w="40" w:type="dxa"/>
              <w:right w:w="20" w:type="dxa"/>
            </w:tcMar>
            <w:vAlign w:val="bottom"/>
          </w:tcPr>
          <w:p w14:paraId="22CFB327" w14:textId="77777777" w:rsidR="002661BA" w:rsidRDefault="002661BA">
            <w:pPr>
              <w:jc w:val="right"/>
              <w:rPr>
                <w:rFonts w:ascii="宋体"/>
              </w:rPr>
            </w:pPr>
          </w:p>
        </w:tc>
      </w:tr>
      <w:tr w:rsidR="002661BA" w14:paraId="22CFB332" w14:textId="77777777">
        <w:trPr>
          <w:jc w:val="center"/>
        </w:trPr>
        <w:tc>
          <w:tcPr>
            <w:tcW w:w="0" w:type="auto"/>
            <w:gridSpan w:val="3"/>
            <w:shd w:val="clear" w:color="auto" w:fill="E2E2E2"/>
            <w:tcMar>
              <w:top w:w="40" w:type="dxa"/>
              <w:left w:w="245" w:type="dxa"/>
              <w:bottom w:w="40" w:type="dxa"/>
              <w:right w:w="20" w:type="dxa"/>
            </w:tcMar>
            <w:vAlign w:val="bottom"/>
          </w:tcPr>
          <w:p w14:paraId="22CFB329" w14:textId="77777777" w:rsidR="002661BA" w:rsidRDefault="00D972BC">
            <w:pPr>
              <w:textAlignment w:val="bottom"/>
            </w:pPr>
            <w:r>
              <w:rPr>
                <w:rFonts w:ascii="Arial" w:eastAsia="宋体" w:hAnsi="Arial" w:cs="Arial"/>
                <w:color w:val="000000"/>
                <w:sz w:val="18"/>
                <w:szCs w:val="18"/>
              </w:rPr>
              <w:t>Forward contract for share repurchase</w:t>
            </w:r>
          </w:p>
        </w:tc>
        <w:tc>
          <w:tcPr>
            <w:tcW w:w="0" w:type="auto"/>
            <w:gridSpan w:val="2"/>
            <w:shd w:val="clear" w:color="auto" w:fill="E2E2E2"/>
            <w:tcMar>
              <w:top w:w="40" w:type="dxa"/>
              <w:left w:w="20" w:type="dxa"/>
              <w:bottom w:w="40" w:type="dxa"/>
              <w:right w:w="0" w:type="dxa"/>
            </w:tcMar>
            <w:vAlign w:val="bottom"/>
          </w:tcPr>
          <w:p w14:paraId="22CFB32A" w14:textId="77777777" w:rsidR="002661BA" w:rsidRDefault="00D972BC">
            <w:pPr>
              <w:jc w:val="right"/>
              <w:textAlignment w:val="bottom"/>
            </w:pPr>
            <w:r>
              <w:rPr>
                <w:rFonts w:ascii="Arial" w:eastAsia="宋体" w:hAnsi="Arial" w:cs="Arial"/>
                <w:color w:val="000000"/>
                <w:sz w:val="18"/>
                <w:szCs w:val="18"/>
              </w:rPr>
              <w:t>(188)</w:t>
            </w:r>
          </w:p>
        </w:tc>
        <w:tc>
          <w:tcPr>
            <w:tcW w:w="0" w:type="auto"/>
            <w:shd w:val="clear" w:color="auto" w:fill="E2E2E2"/>
            <w:tcMar>
              <w:top w:w="40" w:type="dxa"/>
              <w:left w:w="0" w:type="dxa"/>
              <w:bottom w:w="40" w:type="dxa"/>
              <w:right w:w="20" w:type="dxa"/>
            </w:tcMar>
            <w:vAlign w:val="bottom"/>
          </w:tcPr>
          <w:p w14:paraId="22CFB32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32C"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32D"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B32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32F"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330"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B331" w14:textId="77777777" w:rsidR="002661BA" w:rsidRDefault="002661BA">
            <w:pPr>
              <w:jc w:val="right"/>
              <w:rPr>
                <w:rFonts w:ascii="宋体"/>
              </w:rPr>
            </w:pPr>
          </w:p>
        </w:tc>
      </w:tr>
      <w:tr w:rsidR="002661BA" w14:paraId="22CFB339" w14:textId="77777777">
        <w:trPr>
          <w:jc w:val="center"/>
          <w:hidden/>
        </w:trPr>
        <w:tc>
          <w:tcPr>
            <w:tcW w:w="0" w:type="auto"/>
            <w:gridSpan w:val="3"/>
            <w:shd w:val="clear" w:color="auto" w:fill="auto"/>
            <w:vAlign w:val="bottom"/>
          </w:tcPr>
          <w:p w14:paraId="22CFB333" w14:textId="77777777" w:rsidR="002661BA" w:rsidRDefault="002661BA">
            <w:pPr>
              <w:rPr>
                <w:rFonts w:ascii="宋体"/>
                <w:vanish/>
              </w:rPr>
            </w:pPr>
          </w:p>
        </w:tc>
        <w:tc>
          <w:tcPr>
            <w:tcW w:w="0" w:type="auto"/>
            <w:gridSpan w:val="3"/>
            <w:shd w:val="clear" w:color="auto" w:fill="auto"/>
            <w:vAlign w:val="bottom"/>
          </w:tcPr>
          <w:p w14:paraId="22CFB334" w14:textId="77777777" w:rsidR="002661BA" w:rsidRDefault="002661BA">
            <w:pPr>
              <w:rPr>
                <w:rFonts w:ascii="宋体"/>
                <w:vanish/>
              </w:rPr>
            </w:pPr>
          </w:p>
        </w:tc>
        <w:tc>
          <w:tcPr>
            <w:tcW w:w="0" w:type="auto"/>
            <w:gridSpan w:val="3"/>
            <w:shd w:val="clear" w:color="auto" w:fill="auto"/>
            <w:vAlign w:val="bottom"/>
          </w:tcPr>
          <w:p w14:paraId="22CFB335" w14:textId="77777777" w:rsidR="002661BA" w:rsidRDefault="002661BA">
            <w:pPr>
              <w:rPr>
                <w:rFonts w:ascii="宋体"/>
                <w:vanish/>
              </w:rPr>
            </w:pPr>
          </w:p>
        </w:tc>
        <w:tc>
          <w:tcPr>
            <w:tcW w:w="0" w:type="auto"/>
            <w:gridSpan w:val="3"/>
            <w:shd w:val="clear" w:color="auto" w:fill="auto"/>
            <w:vAlign w:val="bottom"/>
          </w:tcPr>
          <w:p w14:paraId="22CFB336" w14:textId="77777777" w:rsidR="002661BA" w:rsidRDefault="002661BA">
            <w:pPr>
              <w:rPr>
                <w:rFonts w:ascii="宋体"/>
                <w:vanish/>
              </w:rPr>
            </w:pPr>
          </w:p>
        </w:tc>
        <w:tc>
          <w:tcPr>
            <w:tcW w:w="0" w:type="auto"/>
            <w:gridSpan w:val="3"/>
            <w:shd w:val="clear" w:color="auto" w:fill="auto"/>
            <w:vAlign w:val="bottom"/>
          </w:tcPr>
          <w:p w14:paraId="22CFB337" w14:textId="77777777" w:rsidR="002661BA" w:rsidRDefault="002661BA">
            <w:pPr>
              <w:rPr>
                <w:rFonts w:ascii="宋体"/>
                <w:vanish/>
              </w:rPr>
            </w:pPr>
          </w:p>
        </w:tc>
        <w:tc>
          <w:tcPr>
            <w:tcW w:w="0" w:type="auto"/>
            <w:gridSpan w:val="3"/>
            <w:shd w:val="clear" w:color="auto" w:fill="auto"/>
            <w:vAlign w:val="bottom"/>
          </w:tcPr>
          <w:p w14:paraId="22CFB338" w14:textId="77777777" w:rsidR="002661BA" w:rsidRDefault="002661BA">
            <w:pPr>
              <w:rPr>
                <w:rFonts w:ascii="宋体"/>
                <w:vanish/>
              </w:rPr>
            </w:pPr>
          </w:p>
        </w:tc>
      </w:tr>
      <w:tr w:rsidR="002661BA" w14:paraId="22CFB343" w14:textId="77777777">
        <w:trPr>
          <w:jc w:val="center"/>
        </w:trPr>
        <w:tc>
          <w:tcPr>
            <w:tcW w:w="0" w:type="auto"/>
            <w:gridSpan w:val="3"/>
            <w:shd w:val="clear" w:color="auto" w:fill="FFFFFF"/>
            <w:tcMar>
              <w:top w:w="40" w:type="dxa"/>
              <w:left w:w="245" w:type="dxa"/>
              <w:bottom w:w="40" w:type="dxa"/>
              <w:right w:w="20" w:type="dxa"/>
            </w:tcMar>
            <w:vAlign w:val="bottom"/>
          </w:tcPr>
          <w:p w14:paraId="22CFB33A" w14:textId="77777777" w:rsidR="002661BA" w:rsidRDefault="00D972BC">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22CFB33B" w14:textId="77777777" w:rsidR="002661BA" w:rsidRDefault="00D972BC">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22CFB33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33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33E" w14:textId="77777777" w:rsidR="002661BA" w:rsidRDefault="00D972BC">
            <w:pPr>
              <w:jc w:val="right"/>
              <w:textAlignment w:val="bottom"/>
            </w:pPr>
            <w:r>
              <w:rPr>
                <w:rFonts w:ascii="Arial" w:eastAsia="宋体" w:hAnsi="Arial" w:cs="Arial"/>
                <w:color w:val="000000"/>
                <w:sz w:val="18"/>
                <w:szCs w:val="18"/>
              </w:rPr>
              <w:t>(6)</w:t>
            </w:r>
          </w:p>
        </w:tc>
        <w:tc>
          <w:tcPr>
            <w:tcW w:w="0" w:type="auto"/>
            <w:shd w:val="clear" w:color="auto" w:fill="FFFFFF"/>
            <w:tcMar>
              <w:top w:w="40" w:type="dxa"/>
              <w:left w:w="0" w:type="dxa"/>
              <w:bottom w:w="40" w:type="dxa"/>
              <w:right w:w="20" w:type="dxa"/>
            </w:tcMar>
            <w:vAlign w:val="bottom"/>
          </w:tcPr>
          <w:p w14:paraId="22CFB33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34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341" w14:textId="77777777" w:rsidR="002661BA" w:rsidRDefault="00D972BC">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22CFB342" w14:textId="77777777" w:rsidR="002661BA" w:rsidRDefault="002661BA">
            <w:pPr>
              <w:jc w:val="right"/>
              <w:rPr>
                <w:rFonts w:ascii="宋体"/>
              </w:rPr>
            </w:pPr>
          </w:p>
        </w:tc>
      </w:tr>
      <w:tr w:rsidR="002661BA" w14:paraId="22CFB34D" w14:textId="77777777">
        <w:trPr>
          <w:jc w:val="center"/>
        </w:trPr>
        <w:tc>
          <w:tcPr>
            <w:tcW w:w="0" w:type="auto"/>
            <w:gridSpan w:val="3"/>
            <w:shd w:val="clear" w:color="auto" w:fill="E2E2E2"/>
            <w:tcMar>
              <w:top w:w="40" w:type="dxa"/>
              <w:left w:w="740" w:type="dxa"/>
              <w:bottom w:w="40" w:type="dxa"/>
              <w:right w:w="20" w:type="dxa"/>
            </w:tcMar>
            <w:vAlign w:val="bottom"/>
          </w:tcPr>
          <w:p w14:paraId="22CFB344" w14:textId="77777777" w:rsidR="002661BA" w:rsidRDefault="00D972BC">
            <w:pPr>
              <w:textAlignment w:val="bottom"/>
            </w:pPr>
            <w:r>
              <w:rPr>
                <w:rFonts w:ascii="Arial" w:eastAsia="宋体" w:hAnsi="Arial" w:cs="Arial"/>
                <w:color w:val="000000"/>
                <w:sz w:val="18"/>
                <w:szCs w:val="18"/>
              </w:rPr>
              <w:t>Balance, end of year</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345" w14:textId="77777777" w:rsidR="002661BA" w:rsidRDefault="00D972BC">
            <w:pPr>
              <w:jc w:val="right"/>
              <w:textAlignment w:val="bottom"/>
            </w:pPr>
            <w:r>
              <w:rPr>
                <w:rFonts w:ascii="Arial" w:eastAsia="宋体" w:hAnsi="Arial" w:cs="Arial"/>
                <w:color w:val="000000"/>
                <w:sz w:val="18"/>
                <w:szCs w:val="18"/>
              </w:rPr>
              <w:t>16,659 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346"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347" w14:textId="77777777" w:rsidR="002661BA" w:rsidRDefault="00D972BC">
            <w:pPr>
              <w:textAlignment w:val="bottom"/>
            </w:pPr>
            <w:r>
              <w:rPr>
                <w:rFonts w:ascii="Arial" w:eastAsia="宋体" w:hAnsi="Arial" w:cs="Arial"/>
                <w:color w:val="000000"/>
                <w:sz w:val="18"/>
                <w:szCs w:val="18"/>
              </w:rPr>
              <w:t> </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348" w14:textId="77777777" w:rsidR="002661BA" w:rsidRDefault="00D972BC">
            <w:pPr>
              <w:jc w:val="right"/>
              <w:textAlignment w:val="bottom"/>
            </w:pPr>
            <w:r>
              <w:rPr>
                <w:rFonts w:ascii="Arial" w:eastAsia="宋体" w:hAnsi="Arial" w:cs="Arial"/>
                <w:color w:val="000000"/>
                <w:sz w:val="18"/>
                <w:szCs w:val="18"/>
              </w:rPr>
              <w:t>16,497 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349"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34A" w14:textId="77777777" w:rsidR="002661BA" w:rsidRDefault="00D972BC">
            <w:pPr>
              <w:textAlignment w:val="bottom"/>
            </w:pPr>
            <w:r>
              <w:rPr>
                <w:rFonts w:ascii="Arial" w:eastAsia="宋体" w:hAnsi="Arial" w:cs="Arial"/>
                <w:color w:val="000000"/>
                <w:sz w:val="18"/>
                <w:szCs w:val="18"/>
              </w:rPr>
              <w:t> </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34B" w14:textId="77777777" w:rsidR="002661BA" w:rsidRDefault="00D972BC">
            <w:pPr>
              <w:jc w:val="right"/>
              <w:textAlignment w:val="bottom"/>
            </w:pPr>
            <w:r>
              <w:rPr>
                <w:rFonts w:ascii="Arial" w:eastAsia="宋体" w:hAnsi="Arial" w:cs="Arial"/>
                <w:color w:val="000000"/>
                <w:sz w:val="18"/>
                <w:szCs w:val="18"/>
              </w:rPr>
              <w:t>16,126 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34C" w14:textId="77777777" w:rsidR="002661BA" w:rsidRDefault="002661BA">
            <w:pPr>
              <w:jc w:val="right"/>
              <w:rPr>
                <w:rFonts w:ascii="宋体"/>
              </w:rPr>
            </w:pPr>
          </w:p>
        </w:tc>
      </w:tr>
      <w:tr w:rsidR="002661BA" w14:paraId="22CFB354" w14:textId="77777777">
        <w:trPr>
          <w:jc w:val="center"/>
        </w:trPr>
        <w:tc>
          <w:tcPr>
            <w:tcW w:w="0" w:type="auto"/>
            <w:gridSpan w:val="3"/>
            <w:shd w:val="clear" w:color="auto" w:fill="FFFFFF"/>
            <w:tcMar>
              <w:top w:w="40" w:type="dxa"/>
              <w:left w:w="20" w:type="dxa"/>
              <w:bottom w:w="40" w:type="dxa"/>
              <w:right w:w="20" w:type="dxa"/>
            </w:tcMar>
            <w:vAlign w:val="bottom"/>
          </w:tcPr>
          <w:p w14:paraId="22CFB34E" w14:textId="77777777" w:rsidR="002661BA" w:rsidRDefault="00D972BC">
            <w:pPr>
              <w:textAlignment w:val="bottom"/>
            </w:pPr>
            <w:r>
              <w:rPr>
                <w:rFonts w:ascii="Arial" w:eastAsia="宋体" w:hAnsi="Arial" w:cs="Arial"/>
                <w:color w:val="000000"/>
                <w:sz w:val="18"/>
                <w:szCs w:val="18"/>
              </w:rPr>
              <w:t>Treasury stock at cost:</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34F"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B350"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351"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B352"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353" w14:textId="77777777" w:rsidR="002661BA" w:rsidRDefault="002661BA">
            <w:pPr>
              <w:rPr>
                <w:rFonts w:ascii="宋体"/>
              </w:rPr>
            </w:pPr>
          </w:p>
        </w:tc>
      </w:tr>
      <w:tr w:rsidR="002661BA" w14:paraId="22CFB35E" w14:textId="77777777">
        <w:trPr>
          <w:jc w:val="center"/>
        </w:trPr>
        <w:tc>
          <w:tcPr>
            <w:tcW w:w="0" w:type="auto"/>
            <w:gridSpan w:val="3"/>
            <w:shd w:val="clear" w:color="auto" w:fill="E2E2E2"/>
            <w:tcMar>
              <w:top w:w="40" w:type="dxa"/>
              <w:left w:w="245" w:type="dxa"/>
              <w:bottom w:w="40" w:type="dxa"/>
              <w:right w:w="20" w:type="dxa"/>
            </w:tcMar>
            <w:vAlign w:val="bottom"/>
          </w:tcPr>
          <w:p w14:paraId="22CFB355" w14:textId="77777777" w:rsidR="002661BA" w:rsidRDefault="00D972BC">
            <w:pPr>
              <w:textAlignment w:val="bottom"/>
            </w:pPr>
            <w:r>
              <w:rPr>
                <w:rFonts w:ascii="Arial" w:eastAsia="宋体" w:hAnsi="Arial" w:cs="Arial"/>
                <w:color w:val="000000"/>
                <w:sz w:val="18"/>
                <w:szCs w:val="18"/>
              </w:rPr>
              <w:t>Balance, beginning of year</w:t>
            </w:r>
          </w:p>
        </w:tc>
        <w:tc>
          <w:tcPr>
            <w:tcW w:w="0" w:type="auto"/>
            <w:gridSpan w:val="2"/>
            <w:shd w:val="clear" w:color="auto" w:fill="E2E2E2"/>
            <w:tcMar>
              <w:top w:w="40" w:type="dxa"/>
              <w:left w:w="20" w:type="dxa"/>
              <w:bottom w:w="40" w:type="dxa"/>
              <w:right w:w="0" w:type="dxa"/>
            </w:tcMar>
            <w:vAlign w:val="bottom"/>
          </w:tcPr>
          <w:p w14:paraId="22CFB356" w14:textId="77777777" w:rsidR="002661BA" w:rsidRDefault="00D972BC">
            <w:pPr>
              <w:jc w:val="right"/>
              <w:textAlignment w:val="bottom"/>
            </w:pPr>
            <w:r>
              <w:rPr>
                <w:rFonts w:ascii="Arial" w:eastAsia="宋体" w:hAnsi="Arial" w:cs="Arial"/>
                <w:color w:val="000000"/>
                <w:sz w:val="18"/>
                <w:szCs w:val="18"/>
              </w:rPr>
              <w:t>(36,515)</w:t>
            </w:r>
          </w:p>
        </w:tc>
        <w:tc>
          <w:tcPr>
            <w:tcW w:w="0" w:type="auto"/>
            <w:shd w:val="clear" w:color="auto" w:fill="E2E2E2"/>
            <w:tcMar>
              <w:top w:w="40" w:type="dxa"/>
              <w:left w:w="0" w:type="dxa"/>
              <w:bottom w:w="40" w:type="dxa"/>
              <w:right w:w="20" w:type="dxa"/>
            </w:tcMar>
            <w:vAlign w:val="bottom"/>
          </w:tcPr>
          <w:p w14:paraId="22CFB357"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358"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B359" w14:textId="77777777" w:rsidR="002661BA" w:rsidRDefault="00D972BC">
            <w:pPr>
              <w:jc w:val="right"/>
              <w:textAlignment w:val="bottom"/>
            </w:pPr>
            <w:r>
              <w:rPr>
                <w:rFonts w:ascii="Arial" w:eastAsia="宋体" w:hAnsi="Arial" w:cs="Arial"/>
                <w:color w:val="000000"/>
                <w:sz w:val="18"/>
                <w:szCs w:val="18"/>
              </w:rPr>
              <w:t>(31,396)</w:t>
            </w:r>
          </w:p>
        </w:tc>
        <w:tc>
          <w:tcPr>
            <w:tcW w:w="0" w:type="auto"/>
            <w:shd w:val="clear" w:color="auto" w:fill="E2E2E2"/>
            <w:tcMar>
              <w:top w:w="40" w:type="dxa"/>
              <w:left w:w="0" w:type="dxa"/>
              <w:bottom w:w="40" w:type="dxa"/>
              <w:right w:w="20" w:type="dxa"/>
            </w:tcMar>
            <w:vAlign w:val="bottom"/>
          </w:tcPr>
          <w:p w14:paraId="22CFB35A"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35B"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B35C" w14:textId="77777777" w:rsidR="002661BA" w:rsidRDefault="00D972BC">
            <w:pPr>
              <w:jc w:val="right"/>
              <w:textAlignment w:val="bottom"/>
            </w:pPr>
            <w:r>
              <w:rPr>
                <w:rFonts w:ascii="Arial" w:eastAsia="宋体" w:hAnsi="Arial" w:cs="Arial"/>
                <w:color w:val="000000"/>
                <w:sz w:val="18"/>
                <w:szCs w:val="18"/>
              </w:rPr>
              <w:t>(26,394)</w:t>
            </w:r>
          </w:p>
        </w:tc>
        <w:tc>
          <w:tcPr>
            <w:tcW w:w="0" w:type="auto"/>
            <w:shd w:val="clear" w:color="auto" w:fill="E2E2E2"/>
            <w:tcMar>
              <w:top w:w="40" w:type="dxa"/>
              <w:left w:w="0" w:type="dxa"/>
              <w:bottom w:w="40" w:type="dxa"/>
              <w:right w:w="20" w:type="dxa"/>
            </w:tcMar>
            <w:vAlign w:val="bottom"/>
          </w:tcPr>
          <w:p w14:paraId="22CFB35D" w14:textId="77777777" w:rsidR="002661BA" w:rsidRDefault="002661BA">
            <w:pPr>
              <w:jc w:val="right"/>
              <w:rPr>
                <w:rFonts w:ascii="宋体"/>
              </w:rPr>
            </w:pPr>
          </w:p>
        </w:tc>
      </w:tr>
      <w:tr w:rsidR="002661BA" w14:paraId="22CFB368" w14:textId="77777777">
        <w:trPr>
          <w:jc w:val="center"/>
        </w:trPr>
        <w:tc>
          <w:tcPr>
            <w:tcW w:w="0" w:type="auto"/>
            <w:gridSpan w:val="3"/>
            <w:shd w:val="clear" w:color="auto" w:fill="FFFFFF"/>
            <w:tcMar>
              <w:top w:w="40" w:type="dxa"/>
              <w:left w:w="245" w:type="dxa"/>
              <w:bottom w:w="40" w:type="dxa"/>
              <w:right w:w="20" w:type="dxa"/>
            </w:tcMar>
            <w:vAlign w:val="bottom"/>
          </w:tcPr>
          <w:p w14:paraId="22CFB35F" w14:textId="77777777" w:rsidR="002661BA" w:rsidRDefault="00D972BC">
            <w:pPr>
              <w:textAlignment w:val="bottom"/>
            </w:pPr>
            <w:r>
              <w:rPr>
                <w:rFonts w:ascii="Arial" w:eastAsia="宋体" w:hAnsi="Arial" w:cs="Arial"/>
                <w:color w:val="000000"/>
                <w:sz w:val="18"/>
                <w:szCs w:val="18"/>
              </w:rPr>
              <w:t>Common stock repurchased</w:t>
            </w:r>
          </w:p>
        </w:tc>
        <w:tc>
          <w:tcPr>
            <w:tcW w:w="0" w:type="auto"/>
            <w:gridSpan w:val="2"/>
            <w:shd w:val="clear" w:color="auto" w:fill="FFFFFF"/>
            <w:tcMar>
              <w:top w:w="40" w:type="dxa"/>
              <w:left w:w="20" w:type="dxa"/>
              <w:bottom w:w="40" w:type="dxa"/>
              <w:right w:w="0" w:type="dxa"/>
            </w:tcMar>
            <w:vAlign w:val="bottom"/>
          </w:tcPr>
          <w:p w14:paraId="22CFB360" w14:textId="77777777" w:rsidR="002661BA" w:rsidRDefault="00D972BC">
            <w:pPr>
              <w:jc w:val="right"/>
              <w:textAlignment w:val="bottom"/>
            </w:pPr>
            <w:r>
              <w:rPr>
                <w:rFonts w:ascii="Arial" w:eastAsia="宋体" w:hAnsi="Arial" w:cs="Arial"/>
                <w:color w:val="000000"/>
                <w:sz w:val="18"/>
                <w:szCs w:val="18"/>
              </w:rPr>
              <w:t>(6,856)</w:t>
            </w:r>
          </w:p>
        </w:tc>
        <w:tc>
          <w:tcPr>
            <w:tcW w:w="0" w:type="auto"/>
            <w:shd w:val="clear" w:color="auto" w:fill="FFFFFF"/>
            <w:tcMar>
              <w:top w:w="40" w:type="dxa"/>
              <w:left w:w="0" w:type="dxa"/>
              <w:bottom w:w="40" w:type="dxa"/>
              <w:right w:w="20" w:type="dxa"/>
            </w:tcMar>
            <w:vAlign w:val="bottom"/>
          </w:tcPr>
          <w:p w14:paraId="22CFB361"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362"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B363" w14:textId="77777777" w:rsidR="002661BA" w:rsidRDefault="00D972BC">
            <w:pPr>
              <w:jc w:val="right"/>
              <w:textAlignment w:val="bottom"/>
            </w:pPr>
            <w:r>
              <w:rPr>
                <w:rFonts w:ascii="Arial" w:eastAsia="宋体" w:hAnsi="Arial" w:cs="Arial"/>
                <w:color w:val="000000"/>
                <w:sz w:val="18"/>
                <w:szCs w:val="18"/>
              </w:rPr>
              <w:t>(5,119)</w:t>
            </w:r>
          </w:p>
        </w:tc>
        <w:tc>
          <w:tcPr>
            <w:tcW w:w="0" w:type="auto"/>
            <w:shd w:val="clear" w:color="auto" w:fill="FFFFFF"/>
            <w:tcMar>
              <w:top w:w="40" w:type="dxa"/>
              <w:left w:w="0" w:type="dxa"/>
              <w:bottom w:w="40" w:type="dxa"/>
              <w:right w:w="20" w:type="dxa"/>
            </w:tcMar>
            <w:vAlign w:val="bottom"/>
          </w:tcPr>
          <w:p w14:paraId="22CFB364"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365"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B366" w14:textId="77777777" w:rsidR="002661BA" w:rsidRDefault="00D972BC">
            <w:pPr>
              <w:jc w:val="right"/>
              <w:textAlignment w:val="bottom"/>
            </w:pPr>
            <w:r>
              <w:rPr>
                <w:rFonts w:ascii="Arial" w:eastAsia="宋体" w:hAnsi="Arial" w:cs="Arial"/>
                <w:color w:val="000000"/>
                <w:sz w:val="18"/>
                <w:szCs w:val="18"/>
              </w:rPr>
              <w:t>(5,002)</w:t>
            </w:r>
          </w:p>
        </w:tc>
        <w:tc>
          <w:tcPr>
            <w:tcW w:w="0" w:type="auto"/>
            <w:shd w:val="clear" w:color="auto" w:fill="FFFFFF"/>
            <w:tcMar>
              <w:top w:w="40" w:type="dxa"/>
              <w:left w:w="0" w:type="dxa"/>
              <w:bottom w:w="40" w:type="dxa"/>
              <w:right w:w="20" w:type="dxa"/>
            </w:tcMar>
            <w:vAlign w:val="bottom"/>
          </w:tcPr>
          <w:p w14:paraId="22CFB367" w14:textId="77777777" w:rsidR="002661BA" w:rsidRDefault="002661BA">
            <w:pPr>
              <w:jc w:val="right"/>
              <w:rPr>
                <w:rFonts w:ascii="宋体"/>
              </w:rPr>
            </w:pPr>
          </w:p>
        </w:tc>
      </w:tr>
      <w:tr w:rsidR="002661BA" w14:paraId="22CFB372" w14:textId="77777777">
        <w:trPr>
          <w:jc w:val="center"/>
        </w:trPr>
        <w:tc>
          <w:tcPr>
            <w:tcW w:w="0" w:type="auto"/>
            <w:gridSpan w:val="3"/>
            <w:shd w:val="clear" w:color="auto" w:fill="E2E2E2"/>
            <w:tcMar>
              <w:top w:w="40" w:type="dxa"/>
              <w:left w:w="740" w:type="dxa"/>
              <w:bottom w:w="40" w:type="dxa"/>
              <w:right w:w="20" w:type="dxa"/>
            </w:tcMar>
            <w:vAlign w:val="bottom"/>
          </w:tcPr>
          <w:p w14:paraId="22CFB369" w14:textId="77777777" w:rsidR="002661BA" w:rsidRDefault="00D972BC">
            <w:pPr>
              <w:textAlignment w:val="bottom"/>
            </w:pPr>
            <w:r>
              <w:rPr>
                <w:rFonts w:ascii="Arial" w:eastAsia="宋体" w:hAnsi="Arial" w:cs="Arial"/>
                <w:color w:val="000000"/>
                <w:sz w:val="18"/>
                <w:szCs w:val="18"/>
              </w:rPr>
              <w:t>Balance, end of year</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36A" w14:textId="77777777" w:rsidR="002661BA" w:rsidRDefault="00D972BC">
            <w:pPr>
              <w:jc w:val="right"/>
              <w:textAlignment w:val="bottom"/>
            </w:pPr>
            <w:r>
              <w:rPr>
                <w:rFonts w:ascii="Arial" w:eastAsia="宋体" w:hAnsi="Arial" w:cs="Arial"/>
                <w:color w:val="000000"/>
                <w:sz w:val="18"/>
                <w:szCs w:val="18"/>
              </w:rPr>
              <w:t>(43,371)</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36B"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36C" w14:textId="77777777" w:rsidR="002661BA" w:rsidRDefault="00D972BC">
            <w:pPr>
              <w:textAlignment w:val="bottom"/>
            </w:pPr>
            <w:r>
              <w:rPr>
                <w:rFonts w:ascii="Arial" w:eastAsia="宋体" w:hAnsi="Arial" w:cs="Arial"/>
                <w:color w:val="000000"/>
                <w:sz w:val="18"/>
                <w:szCs w:val="18"/>
              </w:rPr>
              <w:t> </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36D" w14:textId="77777777" w:rsidR="002661BA" w:rsidRDefault="00D972BC">
            <w:pPr>
              <w:jc w:val="right"/>
              <w:textAlignment w:val="bottom"/>
            </w:pPr>
            <w:r>
              <w:rPr>
                <w:rFonts w:ascii="Arial" w:eastAsia="宋体" w:hAnsi="Arial" w:cs="Arial"/>
                <w:color w:val="000000"/>
                <w:sz w:val="18"/>
                <w:szCs w:val="18"/>
              </w:rPr>
              <w:t>(36,515)</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36E"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36F" w14:textId="77777777" w:rsidR="002661BA" w:rsidRDefault="00D972BC">
            <w:pPr>
              <w:textAlignment w:val="bottom"/>
            </w:pPr>
            <w:r>
              <w:rPr>
                <w:rFonts w:ascii="Arial" w:eastAsia="宋体" w:hAnsi="Arial" w:cs="Arial"/>
                <w:color w:val="000000"/>
                <w:sz w:val="18"/>
                <w:szCs w:val="18"/>
              </w:rPr>
              <w:t> </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370" w14:textId="77777777" w:rsidR="002661BA" w:rsidRDefault="00D972BC">
            <w:pPr>
              <w:jc w:val="right"/>
              <w:textAlignment w:val="bottom"/>
            </w:pPr>
            <w:r>
              <w:rPr>
                <w:rFonts w:ascii="Arial" w:eastAsia="宋体" w:hAnsi="Arial" w:cs="Arial"/>
                <w:color w:val="000000"/>
                <w:sz w:val="18"/>
                <w:szCs w:val="18"/>
              </w:rPr>
              <w:t>(31,396)</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371" w14:textId="77777777" w:rsidR="002661BA" w:rsidRDefault="002661BA">
            <w:pPr>
              <w:jc w:val="right"/>
              <w:rPr>
                <w:rFonts w:ascii="宋体"/>
              </w:rPr>
            </w:pPr>
          </w:p>
        </w:tc>
      </w:tr>
      <w:tr w:rsidR="002661BA" w14:paraId="22CFB379" w14:textId="77777777">
        <w:trPr>
          <w:jc w:val="center"/>
        </w:trPr>
        <w:tc>
          <w:tcPr>
            <w:tcW w:w="0" w:type="auto"/>
            <w:gridSpan w:val="3"/>
            <w:shd w:val="clear" w:color="auto" w:fill="FFFFFF"/>
            <w:tcMar>
              <w:top w:w="40" w:type="dxa"/>
              <w:left w:w="20" w:type="dxa"/>
              <w:bottom w:w="40" w:type="dxa"/>
              <w:right w:w="20" w:type="dxa"/>
            </w:tcMar>
            <w:vAlign w:val="bottom"/>
          </w:tcPr>
          <w:p w14:paraId="22CFB373" w14:textId="77777777" w:rsidR="002661BA" w:rsidRDefault="00D972BC">
            <w:pPr>
              <w:textAlignment w:val="bottom"/>
            </w:pPr>
            <w:r>
              <w:rPr>
                <w:rFonts w:ascii="Arial" w:eastAsia="宋体" w:hAnsi="Arial" w:cs="Arial"/>
                <w:color w:val="000000"/>
                <w:sz w:val="18"/>
                <w:szCs w:val="18"/>
              </w:rPr>
              <w:t>Retained earnings: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374"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B375"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376"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B377"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378" w14:textId="77777777" w:rsidR="002661BA" w:rsidRDefault="002661BA">
            <w:pPr>
              <w:rPr>
                <w:rFonts w:ascii="宋体"/>
              </w:rPr>
            </w:pPr>
          </w:p>
        </w:tc>
      </w:tr>
      <w:tr w:rsidR="002661BA" w14:paraId="22CFB383" w14:textId="77777777">
        <w:trPr>
          <w:jc w:val="center"/>
        </w:trPr>
        <w:tc>
          <w:tcPr>
            <w:tcW w:w="0" w:type="auto"/>
            <w:gridSpan w:val="3"/>
            <w:shd w:val="clear" w:color="auto" w:fill="E2E2E2"/>
            <w:tcMar>
              <w:top w:w="40" w:type="dxa"/>
              <w:left w:w="245" w:type="dxa"/>
              <w:bottom w:w="40" w:type="dxa"/>
              <w:right w:w="20" w:type="dxa"/>
            </w:tcMar>
            <w:vAlign w:val="bottom"/>
          </w:tcPr>
          <w:p w14:paraId="22CFB37A" w14:textId="77777777" w:rsidR="002661BA" w:rsidRDefault="00D972BC">
            <w:pPr>
              <w:textAlignment w:val="bottom"/>
            </w:pPr>
            <w:r>
              <w:rPr>
                <w:rFonts w:ascii="Arial" w:eastAsia="宋体" w:hAnsi="Arial" w:cs="Arial"/>
                <w:color w:val="000000"/>
                <w:sz w:val="18"/>
                <w:szCs w:val="18"/>
              </w:rPr>
              <w:t>Balance, beginning of year</w:t>
            </w:r>
          </w:p>
        </w:tc>
        <w:tc>
          <w:tcPr>
            <w:tcW w:w="0" w:type="auto"/>
            <w:gridSpan w:val="2"/>
            <w:shd w:val="clear" w:color="auto" w:fill="E2E2E2"/>
            <w:tcMar>
              <w:top w:w="40" w:type="dxa"/>
              <w:left w:w="20" w:type="dxa"/>
              <w:bottom w:w="40" w:type="dxa"/>
              <w:right w:w="0" w:type="dxa"/>
            </w:tcMar>
            <w:vAlign w:val="bottom"/>
          </w:tcPr>
          <w:p w14:paraId="22CFB37B" w14:textId="77777777" w:rsidR="002661BA" w:rsidRDefault="00D972BC">
            <w:pPr>
              <w:jc w:val="right"/>
              <w:textAlignment w:val="bottom"/>
            </w:pPr>
            <w:r>
              <w:rPr>
                <w:rFonts w:ascii="Arial" w:eastAsia="宋体" w:hAnsi="Arial" w:cs="Arial"/>
                <w:color w:val="000000"/>
                <w:sz w:val="18"/>
                <w:szCs w:val="18"/>
              </w:rPr>
              <w:t>22,961 </w:t>
            </w:r>
          </w:p>
        </w:tc>
        <w:tc>
          <w:tcPr>
            <w:tcW w:w="0" w:type="auto"/>
            <w:shd w:val="clear" w:color="auto" w:fill="E2E2E2"/>
            <w:tcMar>
              <w:top w:w="40" w:type="dxa"/>
              <w:left w:w="0" w:type="dxa"/>
              <w:bottom w:w="40" w:type="dxa"/>
              <w:right w:w="20" w:type="dxa"/>
            </w:tcMar>
            <w:vAlign w:val="bottom"/>
          </w:tcPr>
          <w:p w14:paraId="22CFB37C"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37D"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B37E" w14:textId="77777777" w:rsidR="002661BA" w:rsidRDefault="00D972BC">
            <w:pPr>
              <w:jc w:val="right"/>
              <w:textAlignment w:val="bottom"/>
            </w:pPr>
            <w:r>
              <w:rPr>
                <w:rFonts w:ascii="Arial" w:eastAsia="宋体" w:hAnsi="Arial" w:cs="Arial"/>
                <w:color w:val="000000"/>
                <w:sz w:val="18"/>
                <w:szCs w:val="18"/>
              </w:rPr>
              <w:t>17,754 </w:t>
            </w:r>
          </w:p>
        </w:tc>
        <w:tc>
          <w:tcPr>
            <w:tcW w:w="0" w:type="auto"/>
            <w:shd w:val="clear" w:color="auto" w:fill="E2E2E2"/>
            <w:tcMar>
              <w:top w:w="40" w:type="dxa"/>
              <w:left w:w="0" w:type="dxa"/>
              <w:bottom w:w="40" w:type="dxa"/>
              <w:right w:w="20" w:type="dxa"/>
            </w:tcMar>
            <w:vAlign w:val="bottom"/>
          </w:tcPr>
          <w:p w14:paraId="22CFB37F"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380"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B381" w14:textId="77777777" w:rsidR="002661BA" w:rsidRDefault="00D972BC">
            <w:pPr>
              <w:jc w:val="right"/>
              <w:textAlignment w:val="bottom"/>
            </w:pPr>
            <w:r>
              <w:rPr>
                <w:rFonts w:ascii="Arial" w:eastAsia="宋体" w:hAnsi="Arial" w:cs="Arial"/>
                <w:color w:val="000000"/>
                <w:sz w:val="18"/>
                <w:szCs w:val="18"/>
              </w:rPr>
              <w:t>16,459 </w:t>
            </w:r>
          </w:p>
        </w:tc>
        <w:tc>
          <w:tcPr>
            <w:tcW w:w="0" w:type="auto"/>
            <w:shd w:val="clear" w:color="auto" w:fill="E2E2E2"/>
            <w:tcMar>
              <w:top w:w="40" w:type="dxa"/>
              <w:left w:w="0" w:type="dxa"/>
              <w:bottom w:w="40" w:type="dxa"/>
              <w:right w:w="20" w:type="dxa"/>
            </w:tcMar>
            <w:vAlign w:val="bottom"/>
          </w:tcPr>
          <w:p w14:paraId="22CFB382" w14:textId="77777777" w:rsidR="002661BA" w:rsidRDefault="002661BA">
            <w:pPr>
              <w:jc w:val="right"/>
              <w:rPr>
                <w:rFonts w:ascii="宋体"/>
              </w:rPr>
            </w:pPr>
          </w:p>
        </w:tc>
      </w:tr>
      <w:tr w:rsidR="002661BA" w14:paraId="22CFB38D" w14:textId="77777777">
        <w:trPr>
          <w:jc w:val="center"/>
        </w:trPr>
        <w:tc>
          <w:tcPr>
            <w:tcW w:w="0" w:type="auto"/>
            <w:gridSpan w:val="3"/>
            <w:shd w:val="clear" w:color="auto" w:fill="FFFFFF"/>
            <w:tcMar>
              <w:top w:w="40" w:type="dxa"/>
              <w:left w:w="245" w:type="dxa"/>
              <w:bottom w:w="40" w:type="dxa"/>
              <w:right w:w="20" w:type="dxa"/>
            </w:tcMar>
            <w:vAlign w:val="bottom"/>
          </w:tcPr>
          <w:p w14:paraId="22CFB384" w14:textId="77777777" w:rsidR="002661BA" w:rsidRDefault="00D972BC">
            <w:pPr>
              <w:textAlignment w:val="bottom"/>
            </w:pPr>
            <w:r>
              <w:rPr>
                <w:rFonts w:ascii="Arial" w:eastAsia="宋体" w:hAnsi="Arial" w:cs="Arial"/>
                <w:color w:val="000000"/>
                <w:sz w:val="18"/>
                <w:szCs w:val="18"/>
              </w:rPr>
              <w:t>Net income</w:t>
            </w:r>
          </w:p>
        </w:tc>
        <w:tc>
          <w:tcPr>
            <w:tcW w:w="0" w:type="auto"/>
            <w:gridSpan w:val="2"/>
            <w:shd w:val="clear" w:color="auto" w:fill="FFFFFF"/>
            <w:tcMar>
              <w:top w:w="40" w:type="dxa"/>
              <w:left w:w="20" w:type="dxa"/>
              <w:bottom w:w="40" w:type="dxa"/>
              <w:right w:w="0" w:type="dxa"/>
            </w:tcMar>
            <w:vAlign w:val="bottom"/>
          </w:tcPr>
          <w:p w14:paraId="22CFB385" w14:textId="77777777" w:rsidR="002661BA" w:rsidRDefault="00D972BC">
            <w:pPr>
              <w:jc w:val="right"/>
              <w:textAlignment w:val="bottom"/>
            </w:pPr>
            <w:r>
              <w:rPr>
                <w:rFonts w:ascii="Arial" w:eastAsia="宋体" w:hAnsi="Arial" w:cs="Arial"/>
                <w:color w:val="000000"/>
                <w:sz w:val="18"/>
                <w:szCs w:val="18"/>
              </w:rPr>
              <w:t>13,608 </w:t>
            </w:r>
          </w:p>
        </w:tc>
        <w:tc>
          <w:tcPr>
            <w:tcW w:w="0" w:type="auto"/>
            <w:shd w:val="clear" w:color="auto" w:fill="FFFFFF"/>
            <w:tcMar>
              <w:top w:w="40" w:type="dxa"/>
              <w:left w:w="0" w:type="dxa"/>
              <w:bottom w:w="40" w:type="dxa"/>
              <w:right w:w="20" w:type="dxa"/>
            </w:tcMar>
            <w:vAlign w:val="bottom"/>
          </w:tcPr>
          <w:p w14:paraId="22CFB386"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387"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B388" w14:textId="77777777" w:rsidR="002661BA" w:rsidRDefault="00D972BC">
            <w:pPr>
              <w:jc w:val="right"/>
              <w:textAlignment w:val="bottom"/>
            </w:pPr>
            <w:r>
              <w:rPr>
                <w:rFonts w:ascii="Arial" w:eastAsia="宋体" w:hAnsi="Arial" w:cs="Arial"/>
                <w:color w:val="000000"/>
                <w:sz w:val="18"/>
                <w:szCs w:val="18"/>
              </w:rPr>
              <w:t>5,667 </w:t>
            </w:r>
          </w:p>
        </w:tc>
        <w:tc>
          <w:tcPr>
            <w:tcW w:w="0" w:type="auto"/>
            <w:shd w:val="clear" w:color="auto" w:fill="FFFFFF"/>
            <w:tcMar>
              <w:top w:w="40" w:type="dxa"/>
              <w:left w:w="0" w:type="dxa"/>
              <w:bottom w:w="40" w:type="dxa"/>
              <w:right w:w="20" w:type="dxa"/>
            </w:tcMar>
            <w:vAlign w:val="bottom"/>
          </w:tcPr>
          <w:p w14:paraId="22CFB389"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38A"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B38B" w14:textId="77777777" w:rsidR="002661BA" w:rsidRDefault="00D972BC">
            <w:pPr>
              <w:jc w:val="right"/>
              <w:textAlignment w:val="bottom"/>
            </w:pPr>
            <w:r>
              <w:rPr>
                <w:rFonts w:ascii="Arial" w:eastAsia="宋体" w:hAnsi="Arial" w:cs="Arial"/>
                <w:color w:val="000000"/>
                <w:sz w:val="18"/>
                <w:szCs w:val="18"/>
              </w:rPr>
              <w:t>1,786 </w:t>
            </w:r>
          </w:p>
        </w:tc>
        <w:tc>
          <w:tcPr>
            <w:tcW w:w="0" w:type="auto"/>
            <w:shd w:val="clear" w:color="auto" w:fill="FFFFFF"/>
            <w:tcMar>
              <w:top w:w="40" w:type="dxa"/>
              <w:left w:w="0" w:type="dxa"/>
              <w:bottom w:w="40" w:type="dxa"/>
              <w:right w:w="20" w:type="dxa"/>
            </w:tcMar>
            <w:vAlign w:val="bottom"/>
          </w:tcPr>
          <w:p w14:paraId="22CFB38C" w14:textId="77777777" w:rsidR="002661BA" w:rsidRDefault="002661BA">
            <w:pPr>
              <w:jc w:val="right"/>
              <w:rPr>
                <w:rFonts w:ascii="宋体"/>
              </w:rPr>
            </w:pPr>
          </w:p>
        </w:tc>
      </w:tr>
      <w:tr w:rsidR="002661BA" w14:paraId="22CFB397" w14:textId="77777777">
        <w:trPr>
          <w:jc w:val="center"/>
        </w:trPr>
        <w:tc>
          <w:tcPr>
            <w:tcW w:w="0" w:type="auto"/>
            <w:gridSpan w:val="3"/>
            <w:shd w:val="clear" w:color="auto" w:fill="E2E2E2"/>
            <w:tcMar>
              <w:top w:w="40" w:type="dxa"/>
              <w:left w:w="245" w:type="dxa"/>
              <w:bottom w:w="40" w:type="dxa"/>
              <w:right w:w="20" w:type="dxa"/>
            </w:tcMar>
            <w:vAlign w:val="bottom"/>
          </w:tcPr>
          <w:p w14:paraId="22CFB38E" w14:textId="77777777" w:rsidR="002661BA" w:rsidRDefault="00D972BC">
            <w:pPr>
              <w:textAlignment w:val="bottom"/>
            </w:pPr>
            <w:r>
              <w:rPr>
                <w:rFonts w:ascii="Arial" w:eastAsia="宋体" w:hAnsi="Arial" w:cs="Arial"/>
                <w:color w:val="000000"/>
                <w:sz w:val="18"/>
                <w:szCs w:val="18"/>
              </w:rPr>
              <w:t>Dividends and dividend equivalents declared</w:t>
            </w:r>
          </w:p>
        </w:tc>
        <w:tc>
          <w:tcPr>
            <w:tcW w:w="0" w:type="auto"/>
            <w:gridSpan w:val="2"/>
            <w:shd w:val="clear" w:color="auto" w:fill="E2E2E2"/>
            <w:tcMar>
              <w:top w:w="40" w:type="dxa"/>
              <w:left w:w="20" w:type="dxa"/>
              <w:bottom w:w="40" w:type="dxa"/>
              <w:right w:w="0" w:type="dxa"/>
            </w:tcMar>
            <w:vAlign w:val="bottom"/>
          </w:tcPr>
          <w:p w14:paraId="22CFB38F" w14:textId="77777777" w:rsidR="002661BA" w:rsidRDefault="00D972BC">
            <w:pPr>
              <w:jc w:val="right"/>
              <w:textAlignment w:val="bottom"/>
            </w:pPr>
            <w:r>
              <w:rPr>
                <w:rFonts w:ascii="Arial" w:eastAsia="宋体" w:hAnsi="Arial" w:cs="Arial"/>
                <w:color w:val="000000"/>
                <w:sz w:val="18"/>
                <w:szCs w:val="18"/>
              </w:rPr>
              <w:t>(479)</w:t>
            </w:r>
          </w:p>
        </w:tc>
        <w:tc>
          <w:tcPr>
            <w:tcW w:w="0" w:type="auto"/>
            <w:shd w:val="clear" w:color="auto" w:fill="E2E2E2"/>
            <w:tcMar>
              <w:top w:w="40" w:type="dxa"/>
              <w:left w:w="0" w:type="dxa"/>
              <w:bottom w:w="40" w:type="dxa"/>
              <w:right w:w="20" w:type="dxa"/>
            </w:tcMar>
            <w:vAlign w:val="bottom"/>
          </w:tcPr>
          <w:p w14:paraId="22CFB390"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391"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392" w14:textId="77777777" w:rsidR="002661BA" w:rsidRDefault="00D972BC">
            <w:pPr>
              <w:jc w:val="right"/>
              <w:textAlignment w:val="bottom"/>
            </w:pPr>
            <w:r>
              <w:rPr>
                <w:rFonts w:ascii="Arial" w:eastAsia="宋体" w:hAnsi="Arial" w:cs="Arial"/>
                <w:color w:val="000000"/>
                <w:sz w:val="18"/>
                <w:szCs w:val="18"/>
              </w:rPr>
              <w:t>(460)</w:t>
            </w:r>
          </w:p>
        </w:tc>
        <w:tc>
          <w:tcPr>
            <w:tcW w:w="0" w:type="auto"/>
            <w:shd w:val="clear" w:color="auto" w:fill="E2E2E2"/>
            <w:tcMar>
              <w:top w:w="40" w:type="dxa"/>
              <w:left w:w="0" w:type="dxa"/>
              <w:bottom w:w="40" w:type="dxa"/>
              <w:right w:w="20" w:type="dxa"/>
            </w:tcMar>
            <w:vAlign w:val="bottom"/>
          </w:tcPr>
          <w:p w14:paraId="22CFB393"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394"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395" w14:textId="77777777" w:rsidR="002661BA" w:rsidRDefault="00D972BC">
            <w:pPr>
              <w:jc w:val="right"/>
              <w:textAlignment w:val="bottom"/>
            </w:pPr>
            <w:r>
              <w:rPr>
                <w:rFonts w:ascii="Arial" w:eastAsia="宋体" w:hAnsi="Arial" w:cs="Arial"/>
                <w:color w:val="000000"/>
                <w:sz w:val="18"/>
                <w:szCs w:val="18"/>
              </w:rPr>
              <w:t>(491)</w:t>
            </w:r>
          </w:p>
        </w:tc>
        <w:tc>
          <w:tcPr>
            <w:tcW w:w="0" w:type="auto"/>
            <w:shd w:val="clear" w:color="auto" w:fill="E2E2E2"/>
            <w:tcMar>
              <w:top w:w="40" w:type="dxa"/>
              <w:left w:w="0" w:type="dxa"/>
              <w:bottom w:w="40" w:type="dxa"/>
              <w:right w:w="20" w:type="dxa"/>
            </w:tcMar>
            <w:vAlign w:val="bottom"/>
          </w:tcPr>
          <w:p w14:paraId="22CFB396" w14:textId="77777777" w:rsidR="002661BA" w:rsidRDefault="002661BA">
            <w:pPr>
              <w:jc w:val="right"/>
              <w:rPr>
                <w:rFonts w:ascii="宋体"/>
              </w:rPr>
            </w:pPr>
          </w:p>
        </w:tc>
      </w:tr>
      <w:tr w:rsidR="002661BA" w14:paraId="22CFB39E" w14:textId="77777777">
        <w:trPr>
          <w:jc w:val="center"/>
          <w:hidden/>
        </w:trPr>
        <w:tc>
          <w:tcPr>
            <w:tcW w:w="0" w:type="auto"/>
            <w:gridSpan w:val="3"/>
            <w:shd w:val="clear" w:color="auto" w:fill="auto"/>
            <w:vAlign w:val="bottom"/>
          </w:tcPr>
          <w:p w14:paraId="22CFB398" w14:textId="77777777" w:rsidR="002661BA" w:rsidRDefault="002661BA">
            <w:pPr>
              <w:rPr>
                <w:rFonts w:ascii="宋体"/>
                <w:vanish/>
              </w:rPr>
            </w:pPr>
          </w:p>
        </w:tc>
        <w:tc>
          <w:tcPr>
            <w:tcW w:w="0" w:type="auto"/>
            <w:gridSpan w:val="3"/>
            <w:shd w:val="clear" w:color="auto" w:fill="auto"/>
            <w:vAlign w:val="bottom"/>
          </w:tcPr>
          <w:p w14:paraId="22CFB399" w14:textId="77777777" w:rsidR="002661BA" w:rsidRDefault="002661BA">
            <w:pPr>
              <w:rPr>
                <w:rFonts w:ascii="宋体"/>
                <w:vanish/>
              </w:rPr>
            </w:pPr>
          </w:p>
        </w:tc>
        <w:tc>
          <w:tcPr>
            <w:tcW w:w="0" w:type="auto"/>
            <w:gridSpan w:val="3"/>
            <w:shd w:val="clear" w:color="auto" w:fill="auto"/>
            <w:vAlign w:val="bottom"/>
          </w:tcPr>
          <w:p w14:paraId="22CFB39A" w14:textId="77777777" w:rsidR="002661BA" w:rsidRDefault="002661BA">
            <w:pPr>
              <w:rPr>
                <w:rFonts w:ascii="宋体"/>
                <w:vanish/>
              </w:rPr>
            </w:pPr>
          </w:p>
        </w:tc>
        <w:tc>
          <w:tcPr>
            <w:tcW w:w="0" w:type="auto"/>
            <w:gridSpan w:val="3"/>
            <w:shd w:val="clear" w:color="auto" w:fill="auto"/>
            <w:vAlign w:val="bottom"/>
          </w:tcPr>
          <w:p w14:paraId="22CFB39B" w14:textId="77777777" w:rsidR="002661BA" w:rsidRDefault="002661BA">
            <w:pPr>
              <w:rPr>
                <w:rFonts w:ascii="宋体"/>
                <w:vanish/>
              </w:rPr>
            </w:pPr>
          </w:p>
        </w:tc>
        <w:tc>
          <w:tcPr>
            <w:tcW w:w="0" w:type="auto"/>
            <w:gridSpan w:val="3"/>
            <w:shd w:val="clear" w:color="auto" w:fill="auto"/>
            <w:vAlign w:val="bottom"/>
          </w:tcPr>
          <w:p w14:paraId="22CFB39C" w14:textId="77777777" w:rsidR="002661BA" w:rsidRDefault="002661BA">
            <w:pPr>
              <w:rPr>
                <w:rFonts w:ascii="宋体"/>
                <w:vanish/>
              </w:rPr>
            </w:pPr>
          </w:p>
        </w:tc>
        <w:tc>
          <w:tcPr>
            <w:tcW w:w="0" w:type="auto"/>
            <w:gridSpan w:val="3"/>
            <w:shd w:val="clear" w:color="auto" w:fill="auto"/>
            <w:vAlign w:val="bottom"/>
          </w:tcPr>
          <w:p w14:paraId="22CFB39D" w14:textId="77777777" w:rsidR="002661BA" w:rsidRDefault="002661BA">
            <w:pPr>
              <w:rPr>
                <w:rFonts w:ascii="宋体"/>
                <w:vanish/>
              </w:rPr>
            </w:pPr>
          </w:p>
        </w:tc>
      </w:tr>
      <w:tr w:rsidR="002661BA" w14:paraId="22CFB3A5" w14:textId="77777777">
        <w:trPr>
          <w:jc w:val="center"/>
          <w:hidden/>
        </w:trPr>
        <w:tc>
          <w:tcPr>
            <w:tcW w:w="0" w:type="auto"/>
            <w:gridSpan w:val="3"/>
            <w:shd w:val="clear" w:color="auto" w:fill="auto"/>
            <w:vAlign w:val="bottom"/>
          </w:tcPr>
          <w:p w14:paraId="22CFB39F" w14:textId="77777777" w:rsidR="002661BA" w:rsidRDefault="002661BA">
            <w:pPr>
              <w:rPr>
                <w:rFonts w:ascii="宋体"/>
                <w:vanish/>
              </w:rPr>
            </w:pPr>
          </w:p>
        </w:tc>
        <w:tc>
          <w:tcPr>
            <w:tcW w:w="0" w:type="auto"/>
            <w:gridSpan w:val="3"/>
            <w:shd w:val="clear" w:color="auto" w:fill="auto"/>
            <w:vAlign w:val="bottom"/>
          </w:tcPr>
          <w:p w14:paraId="22CFB3A0" w14:textId="77777777" w:rsidR="002661BA" w:rsidRDefault="002661BA">
            <w:pPr>
              <w:rPr>
                <w:rFonts w:ascii="宋体"/>
                <w:vanish/>
              </w:rPr>
            </w:pPr>
          </w:p>
        </w:tc>
        <w:tc>
          <w:tcPr>
            <w:tcW w:w="0" w:type="auto"/>
            <w:gridSpan w:val="3"/>
            <w:shd w:val="clear" w:color="auto" w:fill="auto"/>
            <w:vAlign w:val="bottom"/>
          </w:tcPr>
          <w:p w14:paraId="22CFB3A1" w14:textId="77777777" w:rsidR="002661BA" w:rsidRDefault="002661BA">
            <w:pPr>
              <w:rPr>
                <w:rFonts w:ascii="宋体"/>
                <w:vanish/>
              </w:rPr>
            </w:pPr>
          </w:p>
        </w:tc>
        <w:tc>
          <w:tcPr>
            <w:tcW w:w="0" w:type="auto"/>
            <w:gridSpan w:val="3"/>
            <w:shd w:val="clear" w:color="auto" w:fill="auto"/>
            <w:vAlign w:val="bottom"/>
          </w:tcPr>
          <w:p w14:paraId="22CFB3A2" w14:textId="77777777" w:rsidR="002661BA" w:rsidRDefault="002661BA">
            <w:pPr>
              <w:rPr>
                <w:rFonts w:ascii="宋体"/>
                <w:vanish/>
              </w:rPr>
            </w:pPr>
          </w:p>
        </w:tc>
        <w:tc>
          <w:tcPr>
            <w:tcW w:w="0" w:type="auto"/>
            <w:gridSpan w:val="3"/>
            <w:shd w:val="clear" w:color="auto" w:fill="auto"/>
            <w:vAlign w:val="bottom"/>
          </w:tcPr>
          <w:p w14:paraId="22CFB3A3" w14:textId="77777777" w:rsidR="002661BA" w:rsidRDefault="002661BA">
            <w:pPr>
              <w:rPr>
                <w:rFonts w:ascii="宋体"/>
                <w:vanish/>
              </w:rPr>
            </w:pPr>
          </w:p>
        </w:tc>
        <w:tc>
          <w:tcPr>
            <w:tcW w:w="0" w:type="auto"/>
            <w:gridSpan w:val="3"/>
            <w:shd w:val="clear" w:color="auto" w:fill="auto"/>
            <w:vAlign w:val="bottom"/>
          </w:tcPr>
          <w:p w14:paraId="22CFB3A4" w14:textId="77777777" w:rsidR="002661BA" w:rsidRDefault="002661BA">
            <w:pPr>
              <w:rPr>
                <w:rFonts w:ascii="宋体"/>
                <w:vanish/>
              </w:rPr>
            </w:pPr>
          </w:p>
        </w:tc>
      </w:tr>
      <w:tr w:rsidR="002661BA" w14:paraId="22CFB3AC" w14:textId="77777777">
        <w:trPr>
          <w:jc w:val="center"/>
          <w:hidden/>
        </w:trPr>
        <w:tc>
          <w:tcPr>
            <w:tcW w:w="0" w:type="auto"/>
            <w:gridSpan w:val="3"/>
            <w:shd w:val="clear" w:color="auto" w:fill="auto"/>
            <w:vAlign w:val="bottom"/>
          </w:tcPr>
          <w:p w14:paraId="22CFB3A6" w14:textId="77777777" w:rsidR="002661BA" w:rsidRDefault="002661BA">
            <w:pPr>
              <w:rPr>
                <w:rFonts w:ascii="宋体"/>
                <w:vanish/>
              </w:rPr>
            </w:pPr>
          </w:p>
        </w:tc>
        <w:tc>
          <w:tcPr>
            <w:tcW w:w="0" w:type="auto"/>
            <w:gridSpan w:val="3"/>
            <w:shd w:val="clear" w:color="auto" w:fill="auto"/>
            <w:vAlign w:val="bottom"/>
          </w:tcPr>
          <w:p w14:paraId="22CFB3A7" w14:textId="77777777" w:rsidR="002661BA" w:rsidRDefault="002661BA">
            <w:pPr>
              <w:rPr>
                <w:rFonts w:ascii="宋体"/>
                <w:vanish/>
              </w:rPr>
            </w:pPr>
          </w:p>
        </w:tc>
        <w:tc>
          <w:tcPr>
            <w:tcW w:w="0" w:type="auto"/>
            <w:gridSpan w:val="3"/>
            <w:shd w:val="clear" w:color="auto" w:fill="auto"/>
            <w:vAlign w:val="bottom"/>
          </w:tcPr>
          <w:p w14:paraId="22CFB3A8" w14:textId="77777777" w:rsidR="002661BA" w:rsidRDefault="002661BA">
            <w:pPr>
              <w:rPr>
                <w:rFonts w:ascii="宋体"/>
                <w:vanish/>
              </w:rPr>
            </w:pPr>
          </w:p>
        </w:tc>
        <w:tc>
          <w:tcPr>
            <w:tcW w:w="0" w:type="auto"/>
            <w:gridSpan w:val="3"/>
            <w:shd w:val="clear" w:color="auto" w:fill="auto"/>
            <w:vAlign w:val="bottom"/>
          </w:tcPr>
          <w:p w14:paraId="22CFB3A9" w14:textId="77777777" w:rsidR="002661BA" w:rsidRDefault="002661BA">
            <w:pPr>
              <w:rPr>
                <w:rFonts w:ascii="宋体"/>
                <w:vanish/>
              </w:rPr>
            </w:pPr>
          </w:p>
        </w:tc>
        <w:tc>
          <w:tcPr>
            <w:tcW w:w="0" w:type="auto"/>
            <w:gridSpan w:val="3"/>
            <w:shd w:val="clear" w:color="auto" w:fill="auto"/>
            <w:vAlign w:val="bottom"/>
          </w:tcPr>
          <w:p w14:paraId="22CFB3AA" w14:textId="77777777" w:rsidR="002661BA" w:rsidRDefault="002661BA">
            <w:pPr>
              <w:rPr>
                <w:rFonts w:ascii="宋体"/>
                <w:vanish/>
              </w:rPr>
            </w:pPr>
          </w:p>
        </w:tc>
        <w:tc>
          <w:tcPr>
            <w:tcW w:w="0" w:type="auto"/>
            <w:gridSpan w:val="3"/>
            <w:shd w:val="clear" w:color="auto" w:fill="auto"/>
            <w:vAlign w:val="bottom"/>
          </w:tcPr>
          <w:p w14:paraId="22CFB3AB" w14:textId="77777777" w:rsidR="002661BA" w:rsidRDefault="002661BA">
            <w:pPr>
              <w:rPr>
                <w:rFonts w:ascii="宋体"/>
                <w:vanish/>
              </w:rPr>
            </w:pPr>
          </w:p>
        </w:tc>
      </w:tr>
      <w:tr w:rsidR="002661BA" w14:paraId="22CFB3B6" w14:textId="77777777">
        <w:trPr>
          <w:jc w:val="center"/>
        </w:trPr>
        <w:tc>
          <w:tcPr>
            <w:tcW w:w="0" w:type="auto"/>
            <w:gridSpan w:val="3"/>
            <w:shd w:val="clear" w:color="auto" w:fill="FFFFFF"/>
            <w:tcMar>
              <w:top w:w="40" w:type="dxa"/>
              <w:left w:w="740" w:type="dxa"/>
              <w:bottom w:w="40" w:type="dxa"/>
              <w:right w:w="20" w:type="dxa"/>
            </w:tcMar>
            <w:vAlign w:val="bottom"/>
          </w:tcPr>
          <w:p w14:paraId="22CFB3AD" w14:textId="77777777" w:rsidR="002661BA" w:rsidRDefault="00D972BC">
            <w:pPr>
              <w:textAlignment w:val="bottom"/>
            </w:pPr>
            <w:r>
              <w:rPr>
                <w:rFonts w:ascii="Arial" w:eastAsia="宋体" w:hAnsi="Arial" w:cs="Arial"/>
                <w:color w:val="000000"/>
                <w:sz w:val="18"/>
                <w:szCs w:val="18"/>
              </w:rPr>
              <w:t>Balance, end of year</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3AE" w14:textId="77777777" w:rsidR="002661BA" w:rsidRDefault="00D972BC">
            <w:pPr>
              <w:jc w:val="right"/>
              <w:textAlignment w:val="bottom"/>
            </w:pPr>
            <w:r>
              <w:rPr>
                <w:rFonts w:ascii="Arial" w:eastAsia="宋体" w:hAnsi="Arial" w:cs="Arial"/>
                <w:color w:val="000000"/>
                <w:sz w:val="18"/>
                <w:szCs w:val="18"/>
              </w:rPr>
              <w:t>36,090 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3AF"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3B0" w14:textId="77777777" w:rsidR="002661BA" w:rsidRDefault="00D972BC">
            <w:pPr>
              <w:textAlignment w:val="bottom"/>
            </w:pPr>
            <w:r>
              <w:rPr>
                <w:rFonts w:ascii="Arial" w:eastAsia="宋体" w:hAnsi="Arial" w:cs="Arial"/>
                <w:color w:val="000000"/>
                <w:sz w:val="18"/>
                <w:szCs w:val="18"/>
              </w:rPr>
              <w:t>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3B1" w14:textId="77777777" w:rsidR="002661BA" w:rsidRDefault="00D972BC">
            <w:pPr>
              <w:jc w:val="right"/>
              <w:textAlignment w:val="bottom"/>
            </w:pPr>
            <w:r>
              <w:rPr>
                <w:rFonts w:ascii="Arial" w:eastAsia="宋体" w:hAnsi="Arial" w:cs="Arial"/>
                <w:color w:val="000000"/>
                <w:sz w:val="18"/>
                <w:szCs w:val="18"/>
              </w:rPr>
              <w:t>22,961 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3B2"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3B3" w14:textId="77777777" w:rsidR="002661BA" w:rsidRDefault="00D972BC">
            <w:pPr>
              <w:textAlignment w:val="bottom"/>
            </w:pPr>
            <w:r>
              <w:rPr>
                <w:rFonts w:ascii="Arial" w:eastAsia="宋体" w:hAnsi="Arial" w:cs="Arial"/>
                <w:color w:val="000000"/>
                <w:sz w:val="18"/>
                <w:szCs w:val="18"/>
              </w:rPr>
              <w:t>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3B4" w14:textId="77777777" w:rsidR="002661BA" w:rsidRDefault="00D972BC">
            <w:pPr>
              <w:jc w:val="right"/>
              <w:textAlignment w:val="bottom"/>
            </w:pPr>
            <w:r>
              <w:rPr>
                <w:rFonts w:ascii="Arial" w:eastAsia="宋体" w:hAnsi="Arial" w:cs="Arial"/>
                <w:color w:val="000000"/>
                <w:sz w:val="18"/>
                <w:szCs w:val="18"/>
              </w:rPr>
              <w:t>17,754 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3B5" w14:textId="77777777" w:rsidR="002661BA" w:rsidRDefault="002661BA">
            <w:pPr>
              <w:jc w:val="right"/>
              <w:rPr>
                <w:rFonts w:ascii="宋体"/>
              </w:rPr>
            </w:pPr>
          </w:p>
        </w:tc>
      </w:tr>
      <w:tr w:rsidR="002661BA" w14:paraId="22CFB3BD" w14:textId="77777777">
        <w:trPr>
          <w:jc w:val="center"/>
        </w:trPr>
        <w:tc>
          <w:tcPr>
            <w:tcW w:w="0" w:type="auto"/>
            <w:gridSpan w:val="3"/>
            <w:shd w:val="clear" w:color="auto" w:fill="E2E2E2"/>
            <w:tcMar>
              <w:top w:w="40" w:type="dxa"/>
              <w:left w:w="20" w:type="dxa"/>
              <w:bottom w:w="40" w:type="dxa"/>
              <w:right w:w="20" w:type="dxa"/>
            </w:tcMar>
            <w:vAlign w:val="bottom"/>
          </w:tcPr>
          <w:p w14:paraId="22CFB3B7" w14:textId="77777777" w:rsidR="002661BA" w:rsidRDefault="00D972BC">
            <w:pPr>
              <w:textAlignment w:val="bottom"/>
            </w:pPr>
            <w:r>
              <w:rPr>
                <w:rFonts w:ascii="Arial" w:eastAsia="宋体" w:hAnsi="Arial" w:cs="Arial"/>
                <w:color w:val="000000"/>
                <w:sz w:val="18"/>
                <w:szCs w:val="18"/>
              </w:rPr>
              <w:t>Accumulated other comprehensive income:</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B3B8"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B3B9"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B3BA"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B3BB"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B3BC" w14:textId="77777777" w:rsidR="002661BA" w:rsidRDefault="002661BA">
            <w:pPr>
              <w:rPr>
                <w:rFonts w:ascii="宋体"/>
              </w:rPr>
            </w:pPr>
          </w:p>
        </w:tc>
      </w:tr>
      <w:tr w:rsidR="002661BA" w14:paraId="22CFB3C7" w14:textId="77777777">
        <w:trPr>
          <w:jc w:val="center"/>
        </w:trPr>
        <w:tc>
          <w:tcPr>
            <w:tcW w:w="0" w:type="auto"/>
            <w:gridSpan w:val="3"/>
            <w:shd w:val="clear" w:color="auto" w:fill="FFFFFF"/>
            <w:tcMar>
              <w:top w:w="40" w:type="dxa"/>
              <w:left w:w="245" w:type="dxa"/>
              <w:bottom w:w="40" w:type="dxa"/>
              <w:right w:w="20" w:type="dxa"/>
            </w:tcMar>
            <w:vAlign w:val="bottom"/>
          </w:tcPr>
          <w:p w14:paraId="22CFB3BE" w14:textId="77777777" w:rsidR="002661BA" w:rsidRDefault="00D972BC">
            <w:pPr>
              <w:textAlignment w:val="bottom"/>
            </w:pPr>
            <w:r>
              <w:rPr>
                <w:rFonts w:ascii="Arial" w:eastAsia="宋体" w:hAnsi="Arial" w:cs="Arial"/>
                <w:color w:val="000000"/>
                <w:sz w:val="18"/>
                <w:szCs w:val="18"/>
              </w:rPr>
              <w:t>Balance, beginning of year</w:t>
            </w:r>
          </w:p>
        </w:tc>
        <w:tc>
          <w:tcPr>
            <w:tcW w:w="0" w:type="auto"/>
            <w:gridSpan w:val="2"/>
            <w:shd w:val="clear" w:color="auto" w:fill="FFFFFF"/>
            <w:tcMar>
              <w:top w:w="40" w:type="dxa"/>
              <w:left w:w="20" w:type="dxa"/>
              <w:bottom w:w="40" w:type="dxa"/>
              <w:right w:w="0" w:type="dxa"/>
            </w:tcMar>
            <w:vAlign w:val="bottom"/>
          </w:tcPr>
          <w:p w14:paraId="22CFB3BF" w14:textId="77777777" w:rsidR="002661BA" w:rsidRDefault="00D972BC">
            <w:pPr>
              <w:jc w:val="right"/>
              <w:textAlignment w:val="bottom"/>
            </w:pPr>
            <w:r>
              <w:rPr>
                <w:rFonts w:ascii="Arial" w:eastAsia="宋体" w:hAnsi="Arial" w:cs="Arial"/>
                <w:color w:val="000000"/>
                <w:sz w:val="18"/>
                <w:szCs w:val="18"/>
              </w:rPr>
              <w:t>616 </w:t>
            </w:r>
          </w:p>
        </w:tc>
        <w:tc>
          <w:tcPr>
            <w:tcW w:w="0" w:type="auto"/>
            <w:shd w:val="clear" w:color="auto" w:fill="FFFFFF"/>
            <w:tcMar>
              <w:top w:w="40" w:type="dxa"/>
              <w:left w:w="0" w:type="dxa"/>
              <w:bottom w:w="40" w:type="dxa"/>
              <w:right w:w="20" w:type="dxa"/>
            </w:tcMar>
            <w:vAlign w:val="bottom"/>
          </w:tcPr>
          <w:p w14:paraId="22CFB3C0"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3C1"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B3C2" w14:textId="77777777" w:rsidR="002661BA" w:rsidRDefault="00D972BC">
            <w:pPr>
              <w:jc w:val="right"/>
              <w:textAlignment w:val="bottom"/>
            </w:pPr>
            <w:r>
              <w:rPr>
                <w:rFonts w:ascii="Arial" w:eastAsia="宋体" w:hAnsi="Arial" w:cs="Arial"/>
                <w:color w:val="000000"/>
                <w:sz w:val="18"/>
                <w:szCs w:val="18"/>
              </w:rPr>
              <w:t>384 </w:t>
            </w:r>
          </w:p>
        </w:tc>
        <w:tc>
          <w:tcPr>
            <w:tcW w:w="0" w:type="auto"/>
            <w:shd w:val="clear" w:color="auto" w:fill="FFFFFF"/>
            <w:tcMar>
              <w:top w:w="40" w:type="dxa"/>
              <w:left w:w="0" w:type="dxa"/>
              <w:bottom w:w="40" w:type="dxa"/>
              <w:right w:w="20" w:type="dxa"/>
            </w:tcMar>
            <w:vAlign w:val="bottom"/>
          </w:tcPr>
          <w:p w14:paraId="22CFB3C3"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3C4"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B3C5" w14:textId="77777777" w:rsidR="002661BA" w:rsidRDefault="00D972BC">
            <w:pPr>
              <w:jc w:val="right"/>
              <w:textAlignment w:val="bottom"/>
            </w:pPr>
            <w:r>
              <w:rPr>
                <w:rFonts w:ascii="Arial" w:eastAsia="宋体" w:hAnsi="Arial" w:cs="Arial"/>
                <w:color w:val="000000"/>
                <w:sz w:val="18"/>
                <w:szCs w:val="18"/>
              </w:rPr>
              <w:t>498 </w:t>
            </w:r>
          </w:p>
        </w:tc>
        <w:tc>
          <w:tcPr>
            <w:tcW w:w="0" w:type="auto"/>
            <w:shd w:val="clear" w:color="auto" w:fill="FFFFFF"/>
            <w:tcMar>
              <w:top w:w="40" w:type="dxa"/>
              <w:left w:w="0" w:type="dxa"/>
              <w:bottom w:w="40" w:type="dxa"/>
              <w:right w:w="20" w:type="dxa"/>
            </w:tcMar>
            <w:vAlign w:val="bottom"/>
          </w:tcPr>
          <w:p w14:paraId="22CFB3C6" w14:textId="77777777" w:rsidR="002661BA" w:rsidRDefault="002661BA">
            <w:pPr>
              <w:jc w:val="right"/>
              <w:rPr>
                <w:rFonts w:ascii="宋体"/>
              </w:rPr>
            </w:pPr>
          </w:p>
        </w:tc>
      </w:tr>
      <w:tr w:rsidR="002661BA" w14:paraId="22CFB3D1" w14:textId="77777777">
        <w:trPr>
          <w:jc w:val="center"/>
        </w:trPr>
        <w:tc>
          <w:tcPr>
            <w:tcW w:w="0" w:type="auto"/>
            <w:gridSpan w:val="3"/>
            <w:shd w:val="clear" w:color="auto" w:fill="E2E2E2"/>
            <w:tcMar>
              <w:top w:w="40" w:type="dxa"/>
              <w:left w:w="245" w:type="dxa"/>
              <w:bottom w:w="40" w:type="dxa"/>
              <w:right w:w="20" w:type="dxa"/>
            </w:tcMar>
            <w:vAlign w:val="bottom"/>
          </w:tcPr>
          <w:p w14:paraId="22CFB3C8" w14:textId="77777777" w:rsidR="002661BA" w:rsidRDefault="00D972BC">
            <w:pPr>
              <w:textAlignment w:val="bottom"/>
            </w:pPr>
            <w:r>
              <w:rPr>
                <w:rFonts w:ascii="Arial" w:eastAsia="宋体" w:hAnsi="Arial" w:cs="Arial"/>
                <w:color w:val="000000"/>
                <w:sz w:val="18"/>
                <w:szCs w:val="18"/>
              </w:rPr>
              <w:t>Change in unrealized gains (losses) on investments</w:t>
            </w:r>
          </w:p>
        </w:tc>
        <w:tc>
          <w:tcPr>
            <w:tcW w:w="0" w:type="auto"/>
            <w:gridSpan w:val="2"/>
            <w:shd w:val="clear" w:color="auto" w:fill="E2E2E2"/>
            <w:tcMar>
              <w:top w:w="40" w:type="dxa"/>
              <w:left w:w="20" w:type="dxa"/>
              <w:bottom w:w="40" w:type="dxa"/>
              <w:right w:w="0" w:type="dxa"/>
            </w:tcMar>
            <w:vAlign w:val="bottom"/>
          </w:tcPr>
          <w:p w14:paraId="22CFB3C9" w14:textId="77777777" w:rsidR="002661BA" w:rsidRDefault="00D972BC">
            <w:pPr>
              <w:jc w:val="right"/>
              <w:textAlignment w:val="bottom"/>
            </w:pPr>
            <w:r>
              <w:rPr>
                <w:rFonts w:ascii="Arial" w:eastAsia="宋体" w:hAnsi="Arial" w:cs="Arial"/>
                <w:color w:val="000000"/>
                <w:sz w:val="18"/>
                <w:szCs w:val="18"/>
              </w:rPr>
              <w:t>(12)</w:t>
            </w:r>
          </w:p>
        </w:tc>
        <w:tc>
          <w:tcPr>
            <w:tcW w:w="0" w:type="auto"/>
            <w:shd w:val="clear" w:color="auto" w:fill="E2E2E2"/>
            <w:tcMar>
              <w:top w:w="40" w:type="dxa"/>
              <w:left w:w="0" w:type="dxa"/>
              <w:bottom w:w="40" w:type="dxa"/>
              <w:right w:w="20" w:type="dxa"/>
            </w:tcMar>
            <w:vAlign w:val="bottom"/>
          </w:tcPr>
          <w:p w14:paraId="22CFB3CA"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3CB"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B3CC"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B3CD"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3CE"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B3CF" w14:textId="77777777" w:rsidR="002661BA" w:rsidRDefault="00D972BC">
            <w:pPr>
              <w:jc w:val="right"/>
              <w:textAlignment w:val="bottom"/>
            </w:pPr>
            <w:r>
              <w:rPr>
                <w:rFonts w:ascii="Arial" w:eastAsia="宋体" w:hAnsi="Arial" w:cs="Arial"/>
                <w:color w:val="000000"/>
                <w:sz w:val="18"/>
                <w:szCs w:val="18"/>
              </w:rPr>
              <w:t>61 </w:t>
            </w:r>
          </w:p>
        </w:tc>
        <w:tc>
          <w:tcPr>
            <w:tcW w:w="0" w:type="auto"/>
            <w:shd w:val="clear" w:color="auto" w:fill="E2E2E2"/>
            <w:tcMar>
              <w:top w:w="40" w:type="dxa"/>
              <w:left w:w="0" w:type="dxa"/>
              <w:bottom w:w="40" w:type="dxa"/>
              <w:right w:w="20" w:type="dxa"/>
            </w:tcMar>
            <w:vAlign w:val="bottom"/>
          </w:tcPr>
          <w:p w14:paraId="22CFB3D0" w14:textId="77777777" w:rsidR="002661BA" w:rsidRDefault="002661BA">
            <w:pPr>
              <w:jc w:val="right"/>
              <w:rPr>
                <w:rFonts w:ascii="宋体"/>
              </w:rPr>
            </w:pPr>
          </w:p>
        </w:tc>
      </w:tr>
      <w:tr w:rsidR="002661BA" w14:paraId="22CFB3DB" w14:textId="77777777">
        <w:trPr>
          <w:jc w:val="center"/>
        </w:trPr>
        <w:tc>
          <w:tcPr>
            <w:tcW w:w="0" w:type="auto"/>
            <w:gridSpan w:val="3"/>
            <w:shd w:val="clear" w:color="auto" w:fill="FFFFFF"/>
            <w:tcMar>
              <w:top w:w="40" w:type="dxa"/>
              <w:left w:w="245" w:type="dxa"/>
              <w:bottom w:w="40" w:type="dxa"/>
              <w:right w:w="20" w:type="dxa"/>
            </w:tcMar>
            <w:vAlign w:val="bottom"/>
          </w:tcPr>
          <w:p w14:paraId="22CFB3D2" w14:textId="77777777" w:rsidR="002661BA" w:rsidRDefault="00D972BC">
            <w:pPr>
              <w:textAlignment w:val="bottom"/>
            </w:pPr>
            <w:r>
              <w:rPr>
                <w:rFonts w:ascii="Arial" w:eastAsia="宋体" w:hAnsi="Arial" w:cs="Arial"/>
                <w:color w:val="000000"/>
                <w:sz w:val="18"/>
                <w:szCs w:val="18"/>
              </w:rPr>
              <w:t xml:space="preserve">Change in </w:t>
            </w:r>
            <w:r>
              <w:rPr>
                <w:rFonts w:ascii="Arial" w:eastAsia="宋体" w:hAnsi="Arial" w:cs="Arial"/>
                <w:color w:val="000000"/>
                <w:sz w:val="18"/>
                <w:szCs w:val="18"/>
              </w:rPr>
              <w:t>unrealized gains (losses) on derivative instruments</w:t>
            </w:r>
          </w:p>
        </w:tc>
        <w:tc>
          <w:tcPr>
            <w:tcW w:w="0" w:type="auto"/>
            <w:gridSpan w:val="2"/>
            <w:shd w:val="clear" w:color="auto" w:fill="FFFFFF"/>
            <w:tcMar>
              <w:top w:w="40" w:type="dxa"/>
              <w:left w:w="20" w:type="dxa"/>
              <w:bottom w:w="40" w:type="dxa"/>
              <w:right w:w="0" w:type="dxa"/>
            </w:tcMar>
            <w:vAlign w:val="bottom"/>
          </w:tcPr>
          <w:p w14:paraId="22CFB3D3" w14:textId="77777777" w:rsidR="002661BA" w:rsidRDefault="00D972BC">
            <w:pPr>
              <w:jc w:val="right"/>
              <w:textAlignment w:val="bottom"/>
            </w:pPr>
            <w:r>
              <w:rPr>
                <w:rFonts w:ascii="Arial" w:eastAsia="宋体" w:hAnsi="Arial" w:cs="Arial"/>
                <w:color w:val="000000"/>
                <w:sz w:val="18"/>
                <w:szCs w:val="18"/>
              </w:rPr>
              <w:t>150 </w:t>
            </w:r>
          </w:p>
        </w:tc>
        <w:tc>
          <w:tcPr>
            <w:tcW w:w="0" w:type="auto"/>
            <w:shd w:val="clear" w:color="auto" w:fill="FFFFFF"/>
            <w:tcMar>
              <w:top w:w="40" w:type="dxa"/>
              <w:left w:w="0" w:type="dxa"/>
              <w:bottom w:w="40" w:type="dxa"/>
              <w:right w:w="20" w:type="dxa"/>
            </w:tcMar>
            <w:vAlign w:val="bottom"/>
          </w:tcPr>
          <w:p w14:paraId="22CFB3D4"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3D5"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B3D6" w14:textId="77777777" w:rsidR="002661BA" w:rsidRDefault="00D972BC">
            <w:pPr>
              <w:jc w:val="right"/>
              <w:textAlignment w:val="bottom"/>
            </w:pPr>
            <w:r>
              <w:rPr>
                <w:rFonts w:ascii="Arial" w:eastAsia="宋体" w:hAnsi="Arial" w:cs="Arial"/>
                <w:color w:val="000000"/>
                <w:sz w:val="18"/>
                <w:szCs w:val="18"/>
              </w:rPr>
              <w:t>(76)</w:t>
            </w:r>
          </w:p>
        </w:tc>
        <w:tc>
          <w:tcPr>
            <w:tcW w:w="0" w:type="auto"/>
            <w:shd w:val="clear" w:color="auto" w:fill="FFFFFF"/>
            <w:tcMar>
              <w:top w:w="40" w:type="dxa"/>
              <w:left w:w="0" w:type="dxa"/>
              <w:bottom w:w="40" w:type="dxa"/>
              <w:right w:w="20" w:type="dxa"/>
            </w:tcMar>
            <w:vAlign w:val="bottom"/>
          </w:tcPr>
          <w:p w14:paraId="22CFB3D7"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3D8"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B3D9" w14:textId="77777777" w:rsidR="002661BA" w:rsidRDefault="00D972BC">
            <w:pPr>
              <w:jc w:val="right"/>
              <w:textAlignment w:val="bottom"/>
            </w:pPr>
            <w:r>
              <w:rPr>
                <w:rFonts w:ascii="Arial" w:eastAsia="宋体" w:hAnsi="Arial" w:cs="Arial"/>
                <w:color w:val="000000"/>
                <w:sz w:val="18"/>
                <w:szCs w:val="18"/>
              </w:rPr>
              <w:t>(77)</w:t>
            </w:r>
          </w:p>
        </w:tc>
        <w:tc>
          <w:tcPr>
            <w:tcW w:w="0" w:type="auto"/>
            <w:shd w:val="clear" w:color="auto" w:fill="FFFFFF"/>
            <w:tcMar>
              <w:top w:w="40" w:type="dxa"/>
              <w:left w:w="0" w:type="dxa"/>
              <w:bottom w:w="40" w:type="dxa"/>
              <w:right w:w="20" w:type="dxa"/>
            </w:tcMar>
            <w:vAlign w:val="bottom"/>
          </w:tcPr>
          <w:p w14:paraId="22CFB3DA" w14:textId="77777777" w:rsidR="002661BA" w:rsidRDefault="002661BA">
            <w:pPr>
              <w:jc w:val="right"/>
              <w:rPr>
                <w:rFonts w:ascii="宋体"/>
              </w:rPr>
            </w:pPr>
          </w:p>
        </w:tc>
      </w:tr>
      <w:tr w:rsidR="002661BA" w14:paraId="22CFB3E5" w14:textId="77777777">
        <w:trPr>
          <w:jc w:val="center"/>
        </w:trPr>
        <w:tc>
          <w:tcPr>
            <w:tcW w:w="0" w:type="auto"/>
            <w:gridSpan w:val="3"/>
            <w:shd w:val="clear" w:color="auto" w:fill="E2E2E2"/>
            <w:tcMar>
              <w:top w:w="40" w:type="dxa"/>
              <w:left w:w="245" w:type="dxa"/>
              <w:bottom w:w="40" w:type="dxa"/>
              <w:right w:w="20" w:type="dxa"/>
            </w:tcMar>
            <w:vAlign w:val="bottom"/>
          </w:tcPr>
          <w:p w14:paraId="22CFB3DC" w14:textId="77777777" w:rsidR="002661BA" w:rsidRDefault="00D972BC">
            <w:pPr>
              <w:textAlignment w:val="bottom"/>
            </w:pPr>
            <w:r>
              <w:rPr>
                <w:rFonts w:ascii="Arial" w:eastAsia="宋体" w:hAnsi="Arial" w:cs="Arial"/>
                <w:color w:val="000000"/>
                <w:sz w:val="18"/>
                <w:szCs w:val="18"/>
              </w:rPr>
              <w:t>Foreign currency translation adjustment</w:t>
            </w:r>
          </w:p>
        </w:tc>
        <w:tc>
          <w:tcPr>
            <w:tcW w:w="0" w:type="auto"/>
            <w:gridSpan w:val="2"/>
            <w:shd w:val="clear" w:color="auto" w:fill="E2E2E2"/>
            <w:tcMar>
              <w:top w:w="40" w:type="dxa"/>
              <w:left w:w="20" w:type="dxa"/>
              <w:bottom w:w="40" w:type="dxa"/>
              <w:right w:w="0" w:type="dxa"/>
            </w:tcMar>
            <w:vAlign w:val="bottom"/>
          </w:tcPr>
          <w:p w14:paraId="22CFB3DD" w14:textId="77777777" w:rsidR="002661BA" w:rsidRDefault="00D972BC">
            <w:pPr>
              <w:jc w:val="right"/>
              <w:textAlignment w:val="bottom"/>
            </w:pPr>
            <w:r>
              <w:rPr>
                <w:rFonts w:ascii="Arial" w:eastAsia="宋体" w:hAnsi="Arial" w:cs="Arial"/>
                <w:color w:val="000000"/>
                <w:sz w:val="18"/>
                <w:szCs w:val="18"/>
              </w:rPr>
              <w:t>(326)</w:t>
            </w:r>
          </w:p>
        </w:tc>
        <w:tc>
          <w:tcPr>
            <w:tcW w:w="0" w:type="auto"/>
            <w:shd w:val="clear" w:color="auto" w:fill="E2E2E2"/>
            <w:tcMar>
              <w:top w:w="40" w:type="dxa"/>
              <w:left w:w="0" w:type="dxa"/>
              <w:bottom w:w="40" w:type="dxa"/>
              <w:right w:w="20" w:type="dxa"/>
            </w:tcMar>
            <w:vAlign w:val="bottom"/>
          </w:tcPr>
          <w:p w14:paraId="22CFB3DE"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3DF"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B3E0" w14:textId="77777777" w:rsidR="002661BA" w:rsidRDefault="00D972BC">
            <w:pPr>
              <w:jc w:val="right"/>
              <w:textAlignment w:val="bottom"/>
            </w:pPr>
            <w:r>
              <w:rPr>
                <w:rFonts w:ascii="Arial" w:eastAsia="宋体" w:hAnsi="Arial" w:cs="Arial"/>
                <w:color w:val="000000"/>
                <w:sz w:val="18"/>
                <w:szCs w:val="18"/>
              </w:rPr>
              <w:t>291 </w:t>
            </w:r>
          </w:p>
        </w:tc>
        <w:tc>
          <w:tcPr>
            <w:tcW w:w="0" w:type="auto"/>
            <w:shd w:val="clear" w:color="auto" w:fill="E2E2E2"/>
            <w:tcMar>
              <w:top w:w="40" w:type="dxa"/>
              <w:left w:w="0" w:type="dxa"/>
              <w:bottom w:w="40" w:type="dxa"/>
              <w:right w:w="20" w:type="dxa"/>
            </w:tcMar>
            <w:vAlign w:val="bottom"/>
          </w:tcPr>
          <w:p w14:paraId="22CFB3E1"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3E2"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B3E3" w14:textId="77777777" w:rsidR="002661BA" w:rsidRDefault="00D972BC">
            <w:pPr>
              <w:jc w:val="right"/>
              <w:textAlignment w:val="bottom"/>
            </w:pPr>
            <w:r>
              <w:rPr>
                <w:rFonts w:ascii="Arial" w:eastAsia="宋体" w:hAnsi="Arial" w:cs="Arial"/>
                <w:color w:val="000000"/>
                <w:sz w:val="18"/>
                <w:szCs w:val="18"/>
              </w:rPr>
              <w:t>(99)</w:t>
            </w:r>
          </w:p>
        </w:tc>
        <w:tc>
          <w:tcPr>
            <w:tcW w:w="0" w:type="auto"/>
            <w:shd w:val="clear" w:color="auto" w:fill="E2E2E2"/>
            <w:tcMar>
              <w:top w:w="40" w:type="dxa"/>
              <w:left w:w="0" w:type="dxa"/>
              <w:bottom w:w="40" w:type="dxa"/>
              <w:right w:w="20" w:type="dxa"/>
            </w:tcMar>
            <w:vAlign w:val="bottom"/>
          </w:tcPr>
          <w:p w14:paraId="22CFB3E4" w14:textId="77777777" w:rsidR="002661BA" w:rsidRDefault="002661BA">
            <w:pPr>
              <w:jc w:val="right"/>
              <w:rPr>
                <w:rFonts w:ascii="宋体"/>
              </w:rPr>
            </w:pPr>
          </w:p>
        </w:tc>
      </w:tr>
      <w:tr w:rsidR="002661BA" w14:paraId="22CFB3EF" w14:textId="77777777">
        <w:trPr>
          <w:jc w:val="center"/>
        </w:trPr>
        <w:tc>
          <w:tcPr>
            <w:tcW w:w="0" w:type="auto"/>
            <w:gridSpan w:val="3"/>
            <w:shd w:val="clear" w:color="auto" w:fill="FFFFFF"/>
            <w:tcMar>
              <w:top w:w="40" w:type="dxa"/>
              <w:left w:w="245" w:type="dxa"/>
              <w:bottom w:w="40" w:type="dxa"/>
              <w:right w:w="20" w:type="dxa"/>
            </w:tcMar>
            <w:vAlign w:val="bottom"/>
          </w:tcPr>
          <w:p w14:paraId="22CFB3E6" w14:textId="77777777" w:rsidR="002661BA" w:rsidRDefault="00D972BC">
            <w:pPr>
              <w:textAlignment w:val="bottom"/>
            </w:pPr>
            <w:r>
              <w:rPr>
                <w:rFonts w:ascii="Arial" w:eastAsia="宋体" w:hAnsi="Arial" w:cs="Arial"/>
                <w:color w:val="000000"/>
                <w:sz w:val="18"/>
                <w:szCs w:val="18"/>
              </w:rPr>
              <w:t>Tax benefit (provision) on above items</w:t>
            </w:r>
          </w:p>
        </w:tc>
        <w:tc>
          <w:tcPr>
            <w:tcW w:w="0" w:type="auto"/>
            <w:gridSpan w:val="2"/>
            <w:shd w:val="clear" w:color="auto" w:fill="FFFFFF"/>
            <w:tcMar>
              <w:top w:w="40" w:type="dxa"/>
              <w:left w:w="20" w:type="dxa"/>
              <w:bottom w:w="40" w:type="dxa"/>
              <w:right w:w="0" w:type="dxa"/>
            </w:tcMar>
            <w:vAlign w:val="bottom"/>
          </w:tcPr>
          <w:p w14:paraId="22CFB3E7" w14:textId="77777777" w:rsidR="002661BA" w:rsidRDefault="00D972BC">
            <w:pPr>
              <w:jc w:val="right"/>
              <w:textAlignment w:val="bottom"/>
            </w:pPr>
            <w:r>
              <w:rPr>
                <w:rFonts w:ascii="Arial" w:eastAsia="宋体" w:hAnsi="Arial" w:cs="Arial"/>
                <w:color w:val="000000"/>
                <w:sz w:val="18"/>
                <w:szCs w:val="18"/>
              </w:rPr>
              <w:t>(30)</w:t>
            </w:r>
          </w:p>
        </w:tc>
        <w:tc>
          <w:tcPr>
            <w:tcW w:w="0" w:type="auto"/>
            <w:shd w:val="clear" w:color="auto" w:fill="FFFFFF"/>
            <w:tcMar>
              <w:top w:w="40" w:type="dxa"/>
              <w:left w:w="0" w:type="dxa"/>
              <w:bottom w:w="40" w:type="dxa"/>
              <w:right w:w="20" w:type="dxa"/>
            </w:tcMar>
            <w:vAlign w:val="bottom"/>
          </w:tcPr>
          <w:p w14:paraId="22CFB3E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3E9"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3EA" w14:textId="77777777" w:rsidR="002661BA" w:rsidRDefault="00D972BC">
            <w:pPr>
              <w:jc w:val="right"/>
              <w:textAlignment w:val="bottom"/>
            </w:pPr>
            <w:r>
              <w:rPr>
                <w:rFonts w:ascii="Arial" w:eastAsia="宋体" w:hAnsi="Arial" w:cs="Arial"/>
                <w:color w:val="000000"/>
                <w:sz w:val="18"/>
                <w:szCs w:val="18"/>
              </w:rPr>
              <w:t>17 </w:t>
            </w:r>
          </w:p>
        </w:tc>
        <w:tc>
          <w:tcPr>
            <w:tcW w:w="0" w:type="auto"/>
            <w:shd w:val="clear" w:color="auto" w:fill="FFFFFF"/>
            <w:tcMar>
              <w:top w:w="40" w:type="dxa"/>
              <w:left w:w="0" w:type="dxa"/>
              <w:bottom w:w="40" w:type="dxa"/>
              <w:right w:w="20" w:type="dxa"/>
            </w:tcMar>
            <w:vAlign w:val="bottom"/>
          </w:tcPr>
          <w:p w14:paraId="22CFB3E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3E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3ED" w14:textId="77777777" w:rsidR="002661BA" w:rsidRDefault="00D972BC">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22CFB3EE" w14:textId="77777777" w:rsidR="002661BA" w:rsidRDefault="002661BA">
            <w:pPr>
              <w:jc w:val="right"/>
              <w:rPr>
                <w:rFonts w:ascii="宋体"/>
              </w:rPr>
            </w:pPr>
          </w:p>
        </w:tc>
      </w:tr>
      <w:tr w:rsidR="002661BA" w14:paraId="22CFB3F9" w14:textId="77777777">
        <w:trPr>
          <w:jc w:val="center"/>
        </w:trPr>
        <w:tc>
          <w:tcPr>
            <w:tcW w:w="0" w:type="auto"/>
            <w:gridSpan w:val="3"/>
            <w:shd w:val="clear" w:color="auto" w:fill="E2E2E2"/>
            <w:tcMar>
              <w:top w:w="40" w:type="dxa"/>
              <w:left w:w="740" w:type="dxa"/>
              <w:bottom w:w="40" w:type="dxa"/>
              <w:right w:w="20" w:type="dxa"/>
            </w:tcMar>
            <w:vAlign w:val="bottom"/>
          </w:tcPr>
          <w:p w14:paraId="22CFB3F0" w14:textId="77777777" w:rsidR="002661BA" w:rsidRDefault="00D972BC">
            <w:pPr>
              <w:textAlignment w:val="bottom"/>
            </w:pPr>
            <w:r>
              <w:rPr>
                <w:rFonts w:ascii="Arial" w:eastAsia="宋体" w:hAnsi="Arial" w:cs="Arial"/>
                <w:color w:val="000000"/>
                <w:sz w:val="18"/>
                <w:szCs w:val="18"/>
              </w:rPr>
              <w:t>Balance, end of year</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3F1" w14:textId="77777777" w:rsidR="002661BA" w:rsidRDefault="00D972BC">
            <w:pPr>
              <w:jc w:val="right"/>
              <w:textAlignment w:val="bottom"/>
            </w:pPr>
            <w:r>
              <w:rPr>
                <w:rFonts w:ascii="Arial" w:eastAsia="宋体" w:hAnsi="Arial" w:cs="Arial"/>
                <w:color w:val="000000"/>
                <w:sz w:val="18"/>
                <w:szCs w:val="18"/>
              </w:rPr>
              <w:t>398 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3F2"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3F3" w14:textId="77777777" w:rsidR="002661BA" w:rsidRDefault="00D972BC">
            <w:pPr>
              <w:textAlignment w:val="bottom"/>
            </w:pPr>
            <w:r>
              <w:rPr>
                <w:rFonts w:ascii="Arial" w:eastAsia="宋体" w:hAnsi="Arial" w:cs="Arial"/>
                <w:color w:val="000000"/>
                <w:sz w:val="18"/>
                <w:szCs w:val="18"/>
              </w:rPr>
              <w:t> </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3F4" w14:textId="77777777" w:rsidR="002661BA" w:rsidRDefault="00D972BC">
            <w:pPr>
              <w:jc w:val="right"/>
              <w:textAlignment w:val="bottom"/>
            </w:pPr>
            <w:r>
              <w:rPr>
                <w:rFonts w:ascii="Arial" w:eastAsia="宋体" w:hAnsi="Arial" w:cs="Arial"/>
                <w:color w:val="000000"/>
                <w:sz w:val="18"/>
                <w:szCs w:val="18"/>
              </w:rPr>
              <w:t>616 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3F5"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3F6" w14:textId="77777777" w:rsidR="002661BA" w:rsidRDefault="00D972BC">
            <w:pPr>
              <w:textAlignment w:val="bottom"/>
            </w:pPr>
            <w:r>
              <w:rPr>
                <w:rFonts w:ascii="Arial" w:eastAsia="宋体" w:hAnsi="Arial" w:cs="Arial"/>
                <w:color w:val="000000"/>
                <w:sz w:val="18"/>
                <w:szCs w:val="18"/>
              </w:rPr>
              <w:t> </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3F7" w14:textId="77777777" w:rsidR="002661BA" w:rsidRDefault="00D972BC">
            <w:pPr>
              <w:jc w:val="right"/>
              <w:textAlignment w:val="bottom"/>
            </w:pPr>
            <w:r>
              <w:rPr>
                <w:rFonts w:ascii="Arial" w:eastAsia="宋体" w:hAnsi="Arial" w:cs="Arial"/>
                <w:color w:val="000000"/>
                <w:sz w:val="18"/>
                <w:szCs w:val="18"/>
              </w:rPr>
              <w:t>384 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3F8" w14:textId="77777777" w:rsidR="002661BA" w:rsidRDefault="002661BA">
            <w:pPr>
              <w:jc w:val="right"/>
              <w:rPr>
                <w:rFonts w:ascii="宋体"/>
              </w:rPr>
            </w:pPr>
          </w:p>
        </w:tc>
      </w:tr>
      <w:tr w:rsidR="002661BA" w14:paraId="22CFB406" w14:textId="77777777">
        <w:trPr>
          <w:jc w:val="center"/>
        </w:trPr>
        <w:tc>
          <w:tcPr>
            <w:tcW w:w="0" w:type="auto"/>
            <w:gridSpan w:val="3"/>
            <w:shd w:val="clear" w:color="auto" w:fill="FFFFFF"/>
            <w:tcMar>
              <w:top w:w="40" w:type="dxa"/>
              <w:left w:w="20" w:type="dxa"/>
              <w:bottom w:w="40" w:type="dxa"/>
              <w:right w:w="20" w:type="dxa"/>
            </w:tcMar>
            <w:vAlign w:val="bottom"/>
          </w:tcPr>
          <w:p w14:paraId="22CFB3FA" w14:textId="77777777" w:rsidR="002661BA" w:rsidRDefault="00D972BC">
            <w:pPr>
              <w:textAlignment w:val="bottom"/>
            </w:pPr>
            <w:r>
              <w:rPr>
                <w:rFonts w:ascii="Arial" w:eastAsia="宋体" w:hAnsi="Arial" w:cs="Arial"/>
                <w:color w:val="000000"/>
                <w:sz w:val="18"/>
                <w:szCs w:val="18"/>
              </w:rPr>
              <w:t xml:space="preserve">Total </w:t>
            </w:r>
            <w:r>
              <w:rPr>
                <w:rFonts w:ascii="Arial" w:eastAsia="宋体" w:hAnsi="Arial" w:cs="Arial"/>
                <w:color w:val="000000"/>
                <w:sz w:val="18"/>
                <w:szCs w:val="18"/>
              </w:rPr>
              <w:t>stockholders’ equity</w:t>
            </w:r>
          </w:p>
        </w:tc>
        <w:tc>
          <w:tcPr>
            <w:tcW w:w="0" w:type="auto"/>
            <w:tcBorders>
              <w:top w:val="single" w:sz="8" w:space="0" w:color="000000"/>
            </w:tcBorders>
            <w:shd w:val="clear" w:color="auto" w:fill="FFFFFF"/>
            <w:tcMar>
              <w:top w:w="40" w:type="dxa"/>
              <w:left w:w="20" w:type="dxa"/>
              <w:bottom w:w="40" w:type="dxa"/>
              <w:right w:w="0" w:type="dxa"/>
            </w:tcMar>
            <w:vAlign w:val="bottom"/>
          </w:tcPr>
          <w:p w14:paraId="22CFB3FB"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3FC" w14:textId="77777777" w:rsidR="002661BA" w:rsidRDefault="00D972BC">
            <w:pPr>
              <w:jc w:val="right"/>
              <w:textAlignment w:val="bottom"/>
            </w:pPr>
            <w:r>
              <w:rPr>
                <w:rFonts w:ascii="Arial" w:eastAsia="宋体" w:hAnsi="Arial" w:cs="Arial"/>
                <w:color w:val="000000"/>
                <w:sz w:val="18"/>
                <w:szCs w:val="18"/>
              </w:rPr>
              <w:t>9,778 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3F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3FE"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B3F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400" w14:textId="77777777" w:rsidR="002661BA" w:rsidRDefault="00D972BC">
            <w:pPr>
              <w:jc w:val="right"/>
              <w:textAlignment w:val="bottom"/>
            </w:pPr>
            <w:r>
              <w:rPr>
                <w:rFonts w:ascii="Arial" w:eastAsia="宋体" w:hAnsi="Arial" w:cs="Arial"/>
                <w:color w:val="000000"/>
                <w:sz w:val="18"/>
                <w:szCs w:val="18"/>
              </w:rPr>
              <w:t>3,561 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401"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402"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20" w:type="dxa"/>
              <w:bottom w:w="40" w:type="dxa"/>
              <w:right w:w="0" w:type="dxa"/>
            </w:tcMar>
            <w:vAlign w:val="bottom"/>
          </w:tcPr>
          <w:p w14:paraId="22CFB40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404" w14:textId="77777777" w:rsidR="002661BA" w:rsidRDefault="00D972BC">
            <w:pPr>
              <w:jc w:val="right"/>
              <w:textAlignment w:val="bottom"/>
            </w:pPr>
            <w:r>
              <w:rPr>
                <w:rFonts w:ascii="Arial" w:eastAsia="宋体" w:hAnsi="Arial" w:cs="Arial"/>
                <w:color w:val="000000"/>
                <w:sz w:val="18"/>
                <w:szCs w:val="18"/>
              </w:rPr>
              <w:t>2,870 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405" w14:textId="77777777" w:rsidR="002661BA" w:rsidRDefault="002661BA">
            <w:pPr>
              <w:jc w:val="right"/>
              <w:rPr>
                <w:rFonts w:ascii="宋体"/>
              </w:rPr>
            </w:pPr>
          </w:p>
        </w:tc>
      </w:tr>
      <w:tr w:rsidR="002661BA" w14:paraId="22CFB40D" w14:textId="77777777">
        <w:trPr>
          <w:jc w:val="center"/>
        </w:trPr>
        <w:tc>
          <w:tcPr>
            <w:tcW w:w="0" w:type="auto"/>
            <w:gridSpan w:val="3"/>
            <w:shd w:val="clear" w:color="auto" w:fill="E2E2E2"/>
            <w:tcMar>
              <w:top w:w="40" w:type="dxa"/>
              <w:left w:w="20" w:type="dxa"/>
              <w:bottom w:w="40" w:type="dxa"/>
              <w:right w:w="20" w:type="dxa"/>
            </w:tcMar>
            <w:vAlign w:val="bottom"/>
          </w:tcPr>
          <w:p w14:paraId="22CFB407" w14:textId="77777777" w:rsidR="002661BA" w:rsidRDefault="00D972BC">
            <w:pPr>
              <w:textAlignment w:val="bottom"/>
            </w:pPr>
            <w:r>
              <w:rPr>
                <w:rFonts w:ascii="Arial" w:eastAsia="宋体" w:hAnsi="Arial" w:cs="Arial"/>
                <w:color w:val="000000"/>
                <w:sz w:val="18"/>
                <w:szCs w:val="18"/>
              </w:rPr>
              <w:t>Number of shares:</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B408"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B409"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B40A"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B40B"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B40C" w14:textId="77777777" w:rsidR="002661BA" w:rsidRDefault="002661BA">
            <w:pPr>
              <w:rPr>
                <w:rFonts w:ascii="宋体"/>
              </w:rPr>
            </w:pPr>
          </w:p>
        </w:tc>
      </w:tr>
      <w:tr w:rsidR="002661BA" w14:paraId="22CFB414" w14:textId="77777777">
        <w:trPr>
          <w:jc w:val="center"/>
        </w:trPr>
        <w:tc>
          <w:tcPr>
            <w:tcW w:w="0" w:type="auto"/>
            <w:gridSpan w:val="3"/>
            <w:shd w:val="clear" w:color="auto" w:fill="FFFFFF"/>
            <w:tcMar>
              <w:top w:w="40" w:type="dxa"/>
              <w:left w:w="20" w:type="dxa"/>
              <w:bottom w:w="40" w:type="dxa"/>
              <w:right w:w="20" w:type="dxa"/>
            </w:tcMar>
            <w:vAlign w:val="bottom"/>
          </w:tcPr>
          <w:p w14:paraId="22CFB40E" w14:textId="77777777" w:rsidR="002661BA" w:rsidRDefault="00D972BC">
            <w:pPr>
              <w:textAlignment w:val="bottom"/>
            </w:pPr>
            <w:r>
              <w:rPr>
                <w:rFonts w:ascii="Arial" w:eastAsia="宋体" w:hAnsi="Arial" w:cs="Arial"/>
                <w:color w:val="000000"/>
                <w:sz w:val="18"/>
                <w:szCs w:val="18"/>
              </w:rPr>
              <w:t>Common stock - shares outstanding:</w:t>
            </w:r>
          </w:p>
        </w:tc>
        <w:tc>
          <w:tcPr>
            <w:tcW w:w="0" w:type="auto"/>
            <w:gridSpan w:val="3"/>
            <w:shd w:val="clear" w:color="auto" w:fill="FFFFFF"/>
            <w:tcMar>
              <w:top w:w="0" w:type="dxa"/>
              <w:left w:w="20" w:type="dxa"/>
              <w:bottom w:w="0" w:type="dxa"/>
              <w:right w:w="20" w:type="dxa"/>
            </w:tcMar>
            <w:vAlign w:val="bottom"/>
          </w:tcPr>
          <w:p w14:paraId="22CFB40F"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B410"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vAlign w:val="bottom"/>
          </w:tcPr>
          <w:p w14:paraId="22CFB411"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B412"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vAlign w:val="bottom"/>
          </w:tcPr>
          <w:p w14:paraId="22CFB413" w14:textId="77777777" w:rsidR="002661BA" w:rsidRDefault="002661BA">
            <w:pPr>
              <w:rPr>
                <w:rFonts w:ascii="宋体"/>
              </w:rPr>
            </w:pPr>
          </w:p>
        </w:tc>
      </w:tr>
      <w:tr w:rsidR="002661BA" w14:paraId="22CFB41E" w14:textId="77777777">
        <w:trPr>
          <w:jc w:val="center"/>
        </w:trPr>
        <w:tc>
          <w:tcPr>
            <w:tcW w:w="0" w:type="auto"/>
            <w:gridSpan w:val="3"/>
            <w:shd w:val="clear" w:color="auto" w:fill="E2E2E2"/>
            <w:tcMar>
              <w:top w:w="40" w:type="dxa"/>
              <w:left w:w="245" w:type="dxa"/>
              <w:bottom w:w="40" w:type="dxa"/>
              <w:right w:w="20" w:type="dxa"/>
            </w:tcMar>
            <w:vAlign w:val="bottom"/>
          </w:tcPr>
          <w:p w14:paraId="22CFB415" w14:textId="77777777" w:rsidR="002661BA" w:rsidRDefault="00D972BC">
            <w:pPr>
              <w:textAlignment w:val="bottom"/>
            </w:pPr>
            <w:r>
              <w:rPr>
                <w:rFonts w:ascii="Arial" w:eastAsia="宋体" w:hAnsi="Arial" w:cs="Arial"/>
                <w:color w:val="000000"/>
                <w:sz w:val="18"/>
                <w:szCs w:val="18"/>
              </w:rPr>
              <w:t>Balance, beginning of year</w:t>
            </w:r>
          </w:p>
        </w:tc>
        <w:tc>
          <w:tcPr>
            <w:tcW w:w="0" w:type="auto"/>
            <w:gridSpan w:val="2"/>
            <w:shd w:val="clear" w:color="auto" w:fill="E2E2E2"/>
            <w:tcMar>
              <w:top w:w="40" w:type="dxa"/>
              <w:left w:w="20" w:type="dxa"/>
              <w:bottom w:w="40" w:type="dxa"/>
              <w:right w:w="0" w:type="dxa"/>
            </w:tcMar>
            <w:vAlign w:val="bottom"/>
          </w:tcPr>
          <w:p w14:paraId="22CFB416" w14:textId="77777777" w:rsidR="002661BA" w:rsidRDefault="00D972BC">
            <w:pPr>
              <w:jc w:val="right"/>
              <w:textAlignment w:val="bottom"/>
            </w:pPr>
            <w:r>
              <w:rPr>
                <w:rFonts w:ascii="Arial" w:eastAsia="宋体" w:hAnsi="Arial" w:cs="Arial"/>
                <w:color w:val="000000"/>
                <w:sz w:val="18"/>
                <w:szCs w:val="18"/>
              </w:rPr>
              <w:t>684 </w:t>
            </w:r>
          </w:p>
        </w:tc>
        <w:tc>
          <w:tcPr>
            <w:tcW w:w="0" w:type="auto"/>
            <w:shd w:val="clear" w:color="auto" w:fill="E2E2E2"/>
            <w:tcMar>
              <w:top w:w="40" w:type="dxa"/>
              <w:left w:w="0" w:type="dxa"/>
              <w:bottom w:w="40" w:type="dxa"/>
              <w:right w:w="20" w:type="dxa"/>
            </w:tcMar>
            <w:vAlign w:val="bottom"/>
          </w:tcPr>
          <w:p w14:paraId="22CFB417"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418"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B419" w14:textId="77777777" w:rsidR="002661BA" w:rsidRDefault="00D972BC">
            <w:pPr>
              <w:jc w:val="right"/>
              <w:textAlignment w:val="bottom"/>
            </w:pPr>
            <w:r>
              <w:rPr>
                <w:rFonts w:ascii="Arial" w:eastAsia="宋体" w:hAnsi="Arial" w:cs="Arial"/>
                <w:color w:val="000000"/>
                <w:sz w:val="18"/>
                <w:szCs w:val="18"/>
              </w:rPr>
              <w:t>796 </w:t>
            </w:r>
          </w:p>
        </w:tc>
        <w:tc>
          <w:tcPr>
            <w:tcW w:w="0" w:type="auto"/>
            <w:shd w:val="clear" w:color="auto" w:fill="E2E2E2"/>
            <w:tcMar>
              <w:top w:w="40" w:type="dxa"/>
              <w:left w:w="0" w:type="dxa"/>
              <w:bottom w:w="40" w:type="dxa"/>
              <w:right w:w="20" w:type="dxa"/>
            </w:tcMar>
            <w:vAlign w:val="bottom"/>
          </w:tcPr>
          <w:p w14:paraId="22CFB41A"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41B"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B41C" w14:textId="77777777" w:rsidR="002661BA" w:rsidRDefault="00D972BC">
            <w:pPr>
              <w:jc w:val="right"/>
              <w:textAlignment w:val="bottom"/>
            </w:pPr>
            <w:r>
              <w:rPr>
                <w:rFonts w:ascii="Arial" w:eastAsia="宋体" w:hAnsi="Arial" w:cs="Arial"/>
                <w:color w:val="000000"/>
                <w:sz w:val="18"/>
                <w:szCs w:val="18"/>
              </w:rPr>
              <w:t>915 </w:t>
            </w:r>
          </w:p>
        </w:tc>
        <w:tc>
          <w:tcPr>
            <w:tcW w:w="0" w:type="auto"/>
            <w:shd w:val="clear" w:color="auto" w:fill="E2E2E2"/>
            <w:tcMar>
              <w:top w:w="40" w:type="dxa"/>
              <w:left w:w="0" w:type="dxa"/>
              <w:bottom w:w="40" w:type="dxa"/>
              <w:right w:w="20" w:type="dxa"/>
            </w:tcMar>
            <w:vAlign w:val="bottom"/>
          </w:tcPr>
          <w:p w14:paraId="22CFB41D" w14:textId="77777777" w:rsidR="002661BA" w:rsidRDefault="002661BA">
            <w:pPr>
              <w:jc w:val="right"/>
              <w:rPr>
                <w:rFonts w:ascii="宋体"/>
              </w:rPr>
            </w:pPr>
          </w:p>
        </w:tc>
      </w:tr>
      <w:tr w:rsidR="002661BA" w14:paraId="22CFB428" w14:textId="77777777">
        <w:trPr>
          <w:jc w:val="center"/>
        </w:trPr>
        <w:tc>
          <w:tcPr>
            <w:tcW w:w="0" w:type="auto"/>
            <w:gridSpan w:val="3"/>
            <w:shd w:val="clear" w:color="auto" w:fill="FFFFFF"/>
            <w:tcMar>
              <w:top w:w="40" w:type="dxa"/>
              <w:left w:w="245" w:type="dxa"/>
              <w:bottom w:w="40" w:type="dxa"/>
              <w:right w:w="20" w:type="dxa"/>
            </w:tcMar>
            <w:vAlign w:val="bottom"/>
          </w:tcPr>
          <w:p w14:paraId="22CFB41F" w14:textId="77777777" w:rsidR="002661BA" w:rsidRDefault="00D972BC">
            <w:pPr>
              <w:textAlignment w:val="bottom"/>
            </w:pPr>
            <w:r>
              <w:rPr>
                <w:rFonts w:ascii="Arial" w:eastAsia="宋体" w:hAnsi="Arial" w:cs="Arial"/>
                <w:color w:val="000000"/>
                <w:sz w:val="18"/>
                <w:szCs w:val="18"/>
              </w:rPr>
              <w:t>Common stock issued</w:t>
            </w:r>
          </w:p>
        </w:tc>
        <w:tc>
          <w:tcPr>
            <w:tcW w:w="0" w:type="auto"/>
            <w:gridSpan w:val="2"/>
            <w:shd w:val="clear" w:color="auto" w:fill="FFFFFF"/>
            <w:tcMar>
              <w:top w:w="40" w:type="dxa"/>
              <w:left w:w="20" w:type="dxa"/>
              <w:bottom w:w="40" w:type="dxa"/>
              <w:right w:w="0" w:type="dxa"/>
            </w:tcMar>
            <w:vAlign w:val="bottom"/>
          </w:tcPr>
          <w:p w14:paraId="22CFB420" w14:textId="77777777" w:rsidR="002661BA" w:rsidRDefault="00D972BC">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22CFB421"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422"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B423" w14:textId="77777777" w:rsidR="002661BA" w:rsidRDefault="00D972BC">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22CFB424"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425"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B426" w14:textId="77777777" w:rsidR="002661BA" w:rsidRDefault="00D972BC">
            <w:pPr>
              <w:jc w:val="right"/>
              <w:textAlignment w:val="bottom"/>
            </w:pPr>
            <w:r>
              <w:rPr>
                <w:rFonts w:ascii="Arial" w:eastAsia="宋体" w:hAnsi="Arial" w:cs="Arial"/>
                <w:color w:val="000000"/>
                <w:sz w:val="18"/>
                <w:szCs w:val="18"/>
              </w:rPr>
              <w:t>15 </w:t>
            </w:r>
          </w:p>
        </w:tc>
        <w:tc>
          <w:tcPr>
            <w:tcW w:w="0" w:type="auto"/>
            <w:shd w:val="clear" w:color="auto" w:fill="FFFFFF"/>
            <w:tcMar>
              <w:top w:w="40" w:type="dxa"/>
              <w:left w:w="0" w:type="dxa"/>
              <w:bottom w:w="40" w:type="dxa"/>
              <w:right w:w="20" w:type="dxa"/>
            </w:tcMar>
            <w:vAlign w:val="bottom"/>
          </w:tcPr>
          <w:p w14:paraId="22CFB427" w14:textId="77777777" w:rsidR="002661BA" w:rsidRDefault="002661BA">
            <w:pPr>
              <w:jc w:val="right"/>
              <w:rPr>
                <w:rFonts w:ascii="宋体"/>
              </w:rPr>
            </w:pPr>
          </w:p>
        </w:tc>
      </w:tr>
      <w:tr w:rsidR="002661BA" w14:paraId="22CFB432" w14:textId="77777777">
        <w:trPr>
          <w:jc w:val="center"/>
        </w:trPr>
        <w:tc>
          <w:tcPr>
            <w:tcW w:w="0" w:type="auto"/>
            <w:gridSpan w:val="3"/>
            <w:shd w:val="clear" w:color="auto" w:fill="E2E2E2"/>
            <w:tcMar>
              <w:top w:w="40" w:type="dxa"/>
              <w:left w:w="245" w:type="dxa"/>
              <w:bottom w:w="40" w:type="dxa"/>
              <w:right w:w="20" w:type="dxa"/>
            </w:tcMar>
            <w:vAlign w:val="bottom"/>
          </w:tcPr>
          <w:p w14:paraId="22CFB429" w14:textId="77777777" w:rsidR="002661BA" w:rsidRDefault="00D972BC">
            <w:pPr>
              <w:textAlignment w:val="bottom"/>
            </w:pPr>
            <w:r>
              <w:rPr>
                <w:rFonts w:ascii="Arial" w:eastAsia="宋体" w:hAnsi="Arial" w:cs="Arial"/>
                <w:color w:val="000000"/>
                <w:sz w:val="18"/>
                <w:szCs w:val="18"/>
              </w:rPr>
              <w:t>Common stock repurchased</w:t>
            </w:r>
          </w:p>
        </w:tc>
        <w:tc>
          <w:tcPr>
            <w:tcW w:w="0" w:type="auto"/>
            <w:gridSpan w:val="2"/>
            <w:shd w:val="clear" w:color="auto" w:fill="E2E2E2"/>
            <w:tcMar>
              <w:top w:w="40" w:type="dxa"/>
              <w:left w:w="20" w:type="dxa"/>
              <w:bottom w:w="40" w:type="dxa"/>
              <w:right w:w="0" w:type="dxa"/>
            </w:tcMar>
            <w:vAlign w:val="bottom"/>
          </w:tcPr>
          <w:p w14:paraId="22CFB42A" w14:textId="77777777" w:rsidR="002661BA" w:rsidRDefault="00D972BC">
            <w:pPr>
              <w:jc w:val="right"/>
              <w:textAlignment w:val="bottom"/>
            </w:pPr>
            <w:r>
              <w:rPr>
                <w:rFonts w:ascii="Arial" w:eastAsia="宋体" w:hAnsi="Arial" w:cs="Arial"/>
                <w:color w:val="000000"/>
                <w:sz w:val="18"/>
                <w:szCs w:val="18"/>
              </w:rPr>
              <w:t>(100)</w:t>
            </w:r>
          </w:p>
        </w:tc>
        <w:tc>
          <w:tcPr>
            <w:tcW w:w="0" w:type="auto"/>
            <w:shd w:val="clear" w:color="auto" w:fill="E2E2E2"/>
            <w:tcMar>
              <w:top w:w="40" w:type="dxa"/>
              <w:left w:w="0" w:type="dxa"/>
              <w:bottom w:w="40" w:type="dxa"/>
              <w:right w:w="20" w:type="dxa"/>
            </w:tcMar>
            <w:vAlign w:val="bottom"/>
          </w:tcPr>
          <w:p w14:paraId="22CFB42B"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42C"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B42D" w14:textId="77777777" w:rsidR="002661BA" w:rsidRDefault="00D972BC">
            <w:pPr>
              <w:jc w:val="right"/>
              <w:textAlignment w:val="bottom"/>
            </w:pPr>
            <w:r>
              <w:rPr>
                <w:rFonts w:ascii="Arial" w:eastAsia="宋体" w:hAnsi="Arial" w:cs="Arial"/>
                <w:color w:val="000000"/>
                <w:sz w:val="18"/>
                <w:szCs w:val="18"/>
              </w:rPr>
              <w:t>(124)</w:t>
            </w:r>
          </w:p>
        </w:tc>
        <w:tc>
          <w:tcPr>
            <w:tcW w:w="0" w:type="auto"/>
            <w:shd w:val="clear" w:color="auto" w:fill="E2E2E2"/>
            <w:tcMar>
              <w:top w:w="40" w:type="dxa"/>
              <w:left w:w="0" w:type="dxa"/>
              <w:bottom w:w="40" w:type="dxa"/>
              <w:right w:w="20" w:type="dxa"/>
            </w:tcMar>
            <w:vAlign w:val="bottom"/>
          </w:tcPr>
          <w:p w14:paraId="22CFB42E"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B42F"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B430" w14:textId="77777777" w:rsidR="002661BA" w:rsidRDefault="00D972BC">
            <w:pPr>
              <w:jc w:val="right"/>
              <w:textAlignment w:val="bottom"/>
            </w:pPr>
            <w:r>
              <w:rPr>
                <w:rFonts w:ascii="Arial" w:eastAsia="宋体" w:hAnsi="Arial" w:cs="Arial"/>
                <w:color w:val="000000"/>
                <w:sz w:val="18"/>
                <w:szCs w:val="18"/>
              </w:rPr>
              <w:t>(134)</w:t>
            </w:r>
          </w:p>
        </w:tc>
        <w:tc>
          <w:tcPr>
            <w:tcW w:w="0" w:type="auto"/>
            <w:shd w:val="clear" w:color="auto" w:fill="E2E2E2"/>
            <w:tcMar>
              <w:top w:w="40" w:type="dxa"/>
              <w:left w:w="0" w:type="dxa"/>
              <w:bottom w:w="40" w:type="dxa"/>
              <w:right w:w="20" w:type="dxa"/>
            </w:tcMar>
            <w:vAlign w:val="bottom"/>
          </w:tcPr>
          <w:p w14:paraId="22CFB431" w14:textId="77777777" w:rsidR="002661BA" w:rsidRDefault="002661BA">
            <w:pPr>
              <w:jc w:val="right"/>
              <w:rPr>
                <w:rFonts w:ascii="宋体"/>
              </w:rPr>
            </w:pPr>
          </w:p>
        </w:tc>
      </w:tr>
      <w:tr w:rsidR="002661BA" w14:paraId="22CFB43C" w14:textId="77777777">
        <w:trPr>
          <w:jc w:val="center"/>
        </w:trPr>
        <w:tc>
          <w:tcPr>
            <w:tcW w:w="0" w:type="auto"/>
            <w:gridSpan w:val="3"/>
            <w:shd w:val="clear" w:color="auto" w:fill="FFFFFF"/>
            <w:tcMar>
              <w:top w:w="40" w:type="dxa"/>
              <w:left w:w="740" w:type="dxa"/>
              <w:bottom w:w="40" w:type="dxa"/>
              <w:right w:w="20" w:type="dxa"/>
            </w:tcMar>
            <w:vAlign w:val="bottom"/>
          </w:tcPr>
          <w:p w14:paraId="22CFB433" w14:textId="77777777" w:rsidR="002661BA" w:rsidRDefault="00D972BC">
            <w:pPr>
              <w:textAlignment w:val="bottom"/>
            </w:pPr>
            <w:r>
              <w:rPr>
                <w:rFonts w:ascii="Arial" w:eastAsia="宋体" w:hAnsi="Arial" w:cs="Arial"/>
                <w:color w:val="000000"/>
                <w:sz w:val="18"/>
                <w:szCs w:val="18"/>
              </w:rPr>
              <w:t>Balance, end of year</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434" w14:textId="77777777" w:rsidR="002661BA" w:rsidRDefault="00D972BC">
            <w:pPr>
              <w:jc w:val="right"/>
              <w:textAlignment w:val="bottom"/>
            </w:pPr>
            <w:r>
              <w:rPr>
                <w:rFonts w:ascii="Arial" w:eastAsia="宋体" w:hAnsi="Arial" w:cs="Arial"/>
                <w:color w:val="000000"/>
                <w:sz w:val="18"/>
                <w:szCs w:val="18"/>
              </w:rPr>
              <w:t>594 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435"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436" w14:textId="77777777" w:rsidR="002661BA" w:rsidRDefault="00D972BC">
            <w:pPr>
              <w:textAlignment w:val="bottom"/>
            </w:pPr>
            <w:r>
              <w:rPr>
                <w:rFonts w:ascii="Arial" w:eastAsia="宋体" w:hAnsi="Arial" w:cs="Arial"/>
                <w:color w:val="000000"/>
                <w:sz w:val="18"/>
                <w:szCs w:val="18"/>
              </w:rPr>
              <w:t>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437" w14:textId="77777777" w:rsidR="002661BA" w:rsidRDefault="00D972BC">
            <w:pPr>
              <w:jc w:val="right"/>
              <w:textAlignment w:val="bottom"/>
            </w:pPr>
            <w:r>
              <w:rPr>
                <w:rFonts w:ascii="Arial" w:eastAsia="宋体" w:hAnsi="Arial" w:cs="Arial"/>
                <w:color w:val="000000"/>
                <w:sz w:val="18"/>
                <w:szCs w:val="18"/>
              </w:rPr>
              <w:t>684 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438"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B439" w14:textId="77777777" w:rsidR="002661BA" w:rsidRDefault="00D972BC">
            <w:pPr>
              <w:textAlignment w:val="bottom"/>
            </w:pPr>
            <w:r>
              <w:rPr>
                <w:rFonts w:ascii="Arial" w:eastAsia="宋体" w:hAnsi="Arial" w:cs="Arial"/>
                <w:color w:val="000000"/>
                <w:sz w:val="18"/>
                <w:szCs w:val="18"/>
              </w:rPr>
              <w:t>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43A" w14:textId="77777777" w:rsidR="002661BA" w:rsidRDefault="00D972BC">
            <w:pPr>
              <w:jc w:val="right"/>
              <w:textAlignment w:val="bottom"/>
            </w:pPr>
            <w:r>
              <w:rPr>
                <w:rFonts w:ascii="Arial" w:eastAsia="宋体" w:hAnsi="Arial" w:cs="Arial"/>
                <w:color w:val="000000"/>
                <w:sz w:val="18"/>
                <w:szCs w:val="18"/>
              </w:rPr>
              <w:t>796 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43B" w14:textId="77777777" w:rsidR="002661BA" w:rsidRDefault="002661BA">
            <w:pPr>
              <w:jc w:val="right"/>
              <w:rPr>
                <w:rFonts w:ascii="宋体"/>
              </w:rPr>
            </w:pPr>
          </w:p>
        </w:tc>
      </w:tr>
      <w:tr w:rsidR="002661BA" w14:paraId="22CFB443" w14:textId="77777777">
        <w:trPr>
          <w:trHeight w:val="300"/>
          <w:jc w:val="center"/>
        </w:trPr>
        <w:tc>
          <w:tcPr>
            <w:tcW w:w="0" w:type="auto"/>
            <w:gridSpan w:val="3"/>
            <w:shd w:val="clear" w:color="auto" w:fill="E2E2E2"/>
            <w:tcMar>
              <w:top w:w="0" w:type="dxa"/>
              <w:left w:w="20" w:type="dxa"/>
              <w:bottom w:w="0" w:type="dxa"/>
              <w:right w:w="20" w:type="dxa"/>
            </w:tcMar>
            <w:vAlign w:val="bottom"/>
          </w:tcPr>
          <w:p w14:paraId="22CFB43D" w14:textId="77777777" w:rsidR="002661BA" w:rsidRDefault="002661B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B43E"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B43F" w14:textId="77777777" w:rsidR="002661BA" w:rsidRDefault="002661B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B440"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B441" w14:textId="77777777" w:rsidR="002661BA" w:rsidRDefault="002661B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B442" w14:textId="77777777" w:rsidR="002661BA" w:rsidRDefault="002661BA">
            <w:pPr>
              <w:rPr>
                <w:rFonts w:ascii="宋体"/>
              </w:rPr>
            </w:pPr>
          </w:p>
        </w:tc>
      </w:tr>
      <w:tr w:rsidR="002661BA" w14:paraId="22CFB450" w14:textId="77777777">
        <w:trPr>
          <w:jc w:val="center"/>
        </w:trPr>
        <w:tc>
          <w:tcPr>
            <w:tcW w:w="0" w:type="auto"/>
            <w:gridSpan w:val="3"/>
            <w:shd w:val="clear" w:color="auto" w:fill="FFFFFF"/>
            <w:tcMar>
              <w:top w:w="40" w:type="dxa"/>
              <w:left w:w="20" w:type="dxa"/>
              <w:bottom w:w="40" w:type="dxa"/>
              <w:right w:w="20" w:type="dxa"/>
            </w:tcMar>
            <w:vAlign w:val="bottom"/>
          </w:tcPr>
          <w:p w14:paraId="22CFB444" w14:textId="77777777" w:rsidR="002661BA" w:rsidRDefault="00D972BC">
            <w:pPr>
              <w:textAlignment w:val="bottom"/>
            </w:pPr>
            <w:r>
              <w:rPr>
                <w:rFonts w:ascii="Arial" w:eastAsia="宋体" w:hAnsi="Arial" w:cs="Arial"/>
                <w:color w:val="000000"/>
                <w:sz w:val="18"/>
                <w:szCs w:val="18"/>
              </w:rPr>
              <w:t>Dividends and dividend equivalents declared per share or restricted stock unit</w:t>
            </w:r>
          </w:p>
        </w:tc>
        <w:tc>
          <w:tcPr>
            <w:tcW w:w="0" w:type="auto"/>
            <w:shd w:val="clear" w:color="auto" w:fill="FFFFFF"/>
            <w:tcMar>
              <w:top w:w="40" w:type="dxa"/>
              <w:left w:w="20" w:type="dxa"/>
              <w:bottom w:w="40" w:type="dxa"/>
              <w:right w:w="0" w:type="dxa"/>
            </w:tcMar>
            <w:vAlign w:val="bottom"/>
          </w:tcPr>
          <w:p w14:paraId="22CFB445"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446" w14:textId="77777777" w:rsidR="002661BA" w:rsidRDefault="00D972BC">
            <w:pPr>
              <w:jc w:val="right"/>
              <w:textAlignment w:val="bottom"/>
            </w:pPr>
            <w:r>
              <w:rPr>
                <w:rFonts w:ascii="Arial" w:eastAsia="宋体" w:hAnsi="Arial" w:cs="Arial"/>
                <w:color w:val="000000"/>
                <w:sz w:val="18"/>
                <w:szCs w:val="18"/>
              </w:rPr>
              <w:t>0.72 </w:t>
            </w:r>
          </w:p>
        </w:tc>
        <w:tc>
          <w:tcPr>
            <w:tcW w:w="0" w:type="auto"/>
            <w:shd w:val="clear" w:color="auto" w:fill="FFFFFF"/>
            <w:tcMar>
              <w:top w:w="40" w:type="dxa"/>
              <w:left w:w="0" w:type="dxa"/>
              <w:bottom w:w="40" w:type="dxa"/>
              <w:right w:w="20" w:type="dxa"/>
            </w:tcMar>
            <w:vAlign w:val="bottom"/>
          </w:tcPr>
          <w:p w14:paraId="22CFB44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448"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B44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44A" w14:textId="77777777" w:rsidR="002661BA" w:rsidRDefault="00D972BC">
            <w:pPr>
              <w:jc w:val="right"/>
              <w:textAlignment w:val="bottom"/>
            </w:pPr>
            <w:r>
              <w:rPr>
                <w:rFonts w:ascii="Arial" w:eastAsia="宋体" w:hAnsi="Arial" w:cs="Arial"/>
                <w:color w:val="000000"/>
                <w:sz w:val="18"/>
                <w:szCs w:val="18"/>
              </w:rPr>
              <w:t>0.64 </w:t>
            </w:r>
          </w:p>
        </w:tc>
        <w:tc>
          <w:tcPr>
            <w:tcW w:w="0" w:type="auto"/>
            <w:shd w:val="clear" w:color="auto" w:fill="FFFFFF"/>
            <w:tcMar>
              <w:top w:w="40" w:type="dxa"/>
              <w:left w:w="0" w:type="dxa"/>
              <w:bottom w:w="40" w:type="dxa"/>
              <w:right w:w="20" w:type="dxa"/>
            </w:tcMar>
            <w:vAlign w:val="bottom"/>
          </w:tcPr>
          <w:p w14:paraId="22CFB44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44C"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B44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44E" w14:textId="77777777" w:rsidR="002661BA" w:rsidRDefault="00D972BC">
            <w:pPr>
              <w:jc w:val="right"/>
              <w:textAlignment w:val="bottom"/>
            </w:pPr>
            <w:r>
              <w:rPr>
                <w:rFonts w:ascii="Arial" w:eastAsia="宋体" w:hAnsi="Arial" w:cs="Arial"/>
                <w:color w:val="000000"/>
                <w:sz w:val="18"/>
                <w:szCs w:val="18"/>
              </w:rPr>
              <w:t>0.56 </w:t>
            </w:r>
          </w:p>
        </w:tc>
        <w:tc>
          <w:tcPr>
            <w:tcW w:w="0" w:type="auto"/>
            <w:shd w:val="clear" w:color="auto" w:fill="FFFFFF"/>
            <w:tcMar>
              <w:top w:w="40" w:type="dxa"/>
              <w:left w:w="0" w:type="dxa"/>
              <w:bottom w:w="40" w:type="dxa"/>
              <w:right w:w="20" w:type="dxa"/>
            </w:tcMar>
            <w:vAlign w:val="bottom"/>
          </w:tcPr>
          <w:p w14:paraId="22CFB44F" w14:textId="77777777" w:rsidR="002661BA" w:rsidRDefault="002661BA">
            <w:pPr>
              <w:jc w:val="right"/>
              <w:rPr>
                <w:rFonts w:ascii="宋体"/>
              </w:rPr>
            </w:pPr>
          </w:p>
        </w:tc>
      </w:tr>
    </w:tbl>
    <w:p w14:paraId="22CFB451" w14:textId="77777777" w:rsidR="002661BA" w:rsidRDefault="00D972BC">
      <w:pPr>
        <w:spacing w:before="120"/>
        <w:jc w:val="center"/>
      </w:pPr>
      <w:r>
        <w:rPr>
          <w:rFonts w:ascii="Arial" w:eastAsia="宋体" w:hAnsi="Arial" w:cs="Arial"/>
          <w:color w:val="000000"/>
          <w:sz w:val="18"/>
          <w:szCs w:val="18"/>
        </w:rPr>
        <w:t xml:space="preserve">The accompanying notes are an integral part of these consolidated financial statements. </w:t>
      </w:r>
    </w:p>
    <w:p w14:paraId="22CFB452" w14:textId="77777777" w:rsidR="002661BA" w:rsidRDefault="00D972BC">
      <w:pPr>
        <w:jc w:val="center"/>
      </w:pPr>
      <w:r>
        <w:rPr>
          <w:rFonts w:ascii="Arial" w:eastAsia="宋体" w:hAnsi="Arial" w:cs="Arial"/>
          <w:color w:val="000000"/>
          <w:sz w:val="18"/>
          <w:szCs w:val="18"/>
        </w:rPr>
        <w:t>60</w:t>
      </w:r>
    </w:p>
    <w:p w14:paraId="22CFB453" w14:textId="77777777" w:rsidR="002661BA" w:rsidRDefault="00D972BC">
      <w:r>
        <w:pict w14:anchorId="22CFE4ED">
          <v:rect id="_x0000_i1084" style="width:415.3pt;height:1.5pt" o:hralign="center" o:hrstd="t" o:hr="t" fillcolor="#a0a0a0" stroked="f"/>
        </w:pict>
      </w:r>
    </w:p>
    <w:p w14:paraId="22CFB454" w14:textId="77777777" w:rsidR="002661BA" w:rsidRDefault="00D972BC">
      <w:hyperlink r:id="rId95" w:anchor="id0d7a71b05ce452ea9fdb54f3cb359c7_7" w:history="1">
        <w:r>
          <w:rPr>
            <w:rStyle w:val="a5"/>
            <w:rFonts w:ascii="Arial" w:eastAsia="宋体" w:hAnsi="Arial" w:cs="Arial"/>
            <w:sz w:val="18"/>
            <w:szCs w:val="18"/>
          </w:rPr>
          <w:t>Table of Contents</w:t>
        </w:r>
      </w:hyperlink>
    </w:p>
    <w:p w14:paraId="22CFB455" w14:textId="77777777" w:rsidR="002661BA" w:rsidRDefault="00D972BC">
      <w:pPr>
        <w:jc w:val="center"/>
      </w:pPr>
      <w:r>
        <w:rPr>
          <w:rFonts w:ascii="Arial" w:eastAsia="宋体" w:hAnsi="Arial" w:cs="Arial"/>
          <w:b/>
          <w:bCs/>
          <w:color w:val="000000"/>
          <w:sz w:val="20"/>
          <w:szCs w:val="20"/>
        </w:rPr>
        <w:t xml:space="preserve">eBay Inc. </w:t>
      </w:r>
    </w:p>
    <w:p w14:paraId="22CFB456" w14:textId="77777777" w:rsidR="002661BA" w:rsidRDefault="00D972BC">
      <w:pPr>
        <w:spacing w:before="80" w:after="120"/>
        <w:jc w:val="center"/>
      </w:pPr>
      <w:r>
        <w:rPr>
          <w:rFonts w:ascii="Arial" w:eastAsia="宋体" w:hAnsi="Arial" w:cs="Arial"/>
          <w:b/>
          <w:bCs/>
          <w:color w:val="000000"/>
          <w:sz w:val="20"/>
          <w:szCs w:val="20"/>
        </w:rPr>
        <w:t>CONSOLIDATED STATEMENT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4869"/>
        <w:gridCol w:w="41"/>
        <w:gridCol w:w="121"/>
        <w:gridCol w:w="897"/>
        <w:gridCol w:w="36"/>
        <w:gridCol w:w="36"/>
        <w:gridCol w:w="36"/>
        <w:gridCol w:w="36"/>
        <w:gridCol w:w="122"/>
        <w:gridCol w:w="898"/>
        <w:gridCol w:w="36"/>
        <w:gridCol w:w="36"/>
        <w:gridCol w:w="36"/>
        <w:gridCol w:w="36"/>
        <w:gridCol w:w="122"/>
        <w:gridCol w:w="900"/>
        <w:gridCol w:w="36"/>
      </w:tblGrid>
      <w:tr w:rsidR="002661BA" w14:paraId="22CFB469" w14:textId="77777777">
        <w:trPr>
          <w:jc w:val="center"/>
        </w:trPr>
        <w:tc>
          <w:tcPr>
            <w:tcW w:w="50" w:type="pct"/>
            <w:shd w:val="clear" w:color="auto" w:fill="auto"/>
            <w:vAlign w:val="bottom"/>
          </w:tcPr>
          <w:p w14:paraId="22CFB457" w14:textId="77777777" w:rsidR="002661BA" w:rsidRDefault="002661BA">
            <w:pPr>
              <w:rPr>
                <w:rFonts w:ascii="宋体"/>
              </w:rPr>
            </w:pPr>
          </w:p>
        </w:tc>
        <w:tc>
          <w:tcPr>
            <w:tcW w:w="2978" w:type="pct"/>
            <w:shd w:val="clear" w:color="auto" w:fill="auto"/>
            <w:vAlign w:val="bottom"/>
          </w:tcPr>
          <w:p w14:paraId="22CFB458" w14:textId="77777777" w:rsidR="002661BA" w:rsidRDefault="002661BA">
            <w:pPr>
              <w:rPr>
                <w:rFonts w:ascii="宋体"/>
              </w:rPr>
            </w:pPr>
          </w:p>
        </w:tc>
        <w:tc>
          <w:tcPr>
            <w:tcW w:w="5" w:type="pct"/>
            <w:shd w:val="clear" w:color="auto" w:fill="auto"/>
            <w:vAlign w:val="bottom"/>
          </w:tcPr>
          <w:p w14:paraId="22CFB459" w14:textId="77777777" w:rsidR="002661BA" w:rsidRDefault="002661BA">
            <w:pPr>
              <w:rPr>
                <w:rFonts w:ascii="宋体"/>
              </w:rPr>
            </w:pPr>
          </w:p>
        </w:tc>
        <w:tc>
          <w:tcPr>
            <w:tcW w:w="50" w:type="pct"/>
            <w:shd w:val="clear" w:color="auto" w:fill="auto"/>
            <w:vAlign w:val="bottom"/>
          </w:tcPr>
          <w:p w14:paraId="22CFB45A" w14:textId="77777777" w:rsidR="002661BA" w:rsidRDefault="002661BA">
            <w:pPr>
              <w:rPr>
                <w:rFonts w:ascii="宋体"/>
              </w:rPr>
            </w:pPr>
          </w:p>
        </w:tc>
        <w:tc>
          <w:tcPr>
            <w:tcW w:w="580" w:type="pct"/>
            <w:shd w:val="clear" w:color="auto" w:fill="auto"/>
            <w:vAlign w:val="bottom"/>
          </w:tcPr>
          <w:p w14:paraId="22CFB45B" w14:textId="77777777" w:rsidR="002661BA" w:rsidRDefault="002661BA">
            <w:pPr>
              <w:rPr>
                <w:rFonts w:ascii="宋体"/>
              </w:rPr>
            </w:pPr>
          </w:p>
        </w:tc>
        <w:tc>
          <w:tcPr>
            <w:tcW w:w="5" w:type="pct"/>
            <w:shd w:val="clear" w:color="auto" w:fill="auto"/>
            <w:vAlign w:val="bottom"/>
          </w:tcPr>
          <w:p w14:paraId="22CFB45C" w14:textId="77777777" w:rsidR="002661BA" w:rsidRDefault="002661BA">
            <w:pPr>
              <w:rPr>
                <w:rFonts w:ascii="宋体"/>
              </w:rPr>
            </w:pPr>
          </w:p>
        </w:tc>
        <w:tc>
          <w:tcPr>
            <w:tcW w:w="5" w:type="pct"/>
            <w:shd w:val="clear" w:color="auto" w:fill="auto"/>
            <w:vAlign w:val="bottom"/>
          </w:tcPr>
          <w:p w14:paraId="22CFB45D" w14:textId="77777777" w:rsidR="002661BA" w:rsidRDefault="002661BA">
            <w:pPr>
              <w:rPr>
                <w:rFonts w:ascii="宋体"/>
              </w:rPr>
            </w:pPr>
          </w:p>
        </w:tc>
        <w:tc>
          <w:tcPr>
            <w:tcW w:w="19" w:type="pct"/>
            <w:shd w:val="clear" w:color="auto" w:fill="auto"/>
            <w:vAlign w:val="bottom"/>
          </w:tcPr>
          <w:p w14:paraId="22CFB45E" w14:textId="77777777" w:rsidR="002661BA" w:rsidRDefault="002661BA">
            <w:pPr>
              <w:rPr>
                <w:rFonts w:ascii="宋体"/>
              </w:rPr>
            </w:pPr>
          </w:p>
        </w:tc>
        <w:tc>
          <w:tcPr>
            <w:tcW w:w="5" w:type="pct"/>
            <w:shd w:val="clear" w:color="auto" w:fill="auto"/>
            <w:vAlign w:val="bottom"/>
          </w:tcPr>
          <w:p w14:paraId="22CFB45F" w14:textId="77777777" w:rsidR="002661BA" w:rsidRDefault="002661BA">
            <w:pPr>
              <w:rPr>
                <w:rFonts w:ascii="宋体"/>
              </w:rPr>
            </w:pPr>
          </w:p>
        </w:tc>
        <w:tc>
          <w:tcPr>
            <w:tcW w:w="50" w:type="pct"/>
            <w:shd w:val="clear" w:color="auto" w:fill="auto"/>
            <w:vAlign w:val="bottom"/>
          </w:tcPr>
          <w:p w14:paraId="22CFB460" w14:textId="77777777" w:rsidR="002661BA" w:rsidRDefault="002661BA">
            <w:pPr>
              <w:rPr>
                <w:rFonts w:ascii="宋体"/>
              </w:rPr>
            </w:pPr>
          </w:p>
        </w:tc>
        <w:tc>
          <w:tcPr>
            <w:tcW w:w="580" w:type="pct"/>
            <w:shd w:val="clear" w:color="auto" w:fill="auto"/>
            <w:vAlign w:val="bottom"/>
          </w:tcPr>
          <w:p w14:paraId="22CFB461" w14:textId="77777777" w:rsidR="002661BA" w:rsidRDefault="002661BA">
            <w:pPr>
              <w:rPr>
                <w:rFonts w:ascii="宋体"/>
              </w:rPr>
            </w:pPr>
          </w:p>
        </w:tc>
        <w:tc>
          <w:tcPr>
            <w:tcW w:w="5" w:type="pct"/>
            <w:shd w:val="clear" w:color="auto" w:fill="auto"/>
            <w:vAlign w:val="bottom"/>
          </w:tcPr>
          <w:p w14:paraId="22CFB462" w14:textId="77777777" w:rsidR="002661BA" w:rsidRDefault="002661BA">
            <w:pPr>
              <w:rPr>
                <w:rFonts w:ascii="宋体"/>
              </w:rPr>
            </w:pPr>
          </w:p>
        </w:tc>
        <w:tc>
          <w:tcPr>
            <w:tcW w:w="5" w:type="pct"/>
            <w:shd w:val="clear" w:color="auto" w:fill="auto"/>
            <w:vAlign w:val="bottom"/>
          </w:tcPr>
          <w:p w14:paraId="22CFB463" w14:textId="77777777" w:rsidR="002661BA" w:rsidRDefault="002661BA">
            <w:pPr>
              <w:rPr>
                <w:rFonts w:ascii="宋体"/>
              </w:rPr>
            </w:pPr>
          </w:p>
        </w:tc>
        <w:tc>
          <w:tcPr>
            <w:tcW w:w="19" w:type="pct"/>
            <w:shd w:val="clear" w:color="auto" w:fill="auto"/>
            <w:vAlign w:val="bottom"/>
          </w:tcPr>
          <w:p w14:paraId="22CFB464" w14:textId="77777777" w:rsidR="002661BA" w:rsidRDefault="002661BA">
            <w:pPr>
              <w:rPr>
                <w:rFonts w:ascii="宋体"/>
              </w:rPr>
            </w:pPr>
          </w:p>
        </w:tc>
        <w:tc>
          <w:tcPr>
            <w:tcW w:w="5" w:type="pct"/>
            <w:shd w:val="clear" w:color="auto" w:fill="auto"/>
            <w:vAlign w:val="bottom"/>
          </w:tcPr>
          <w:p w14:paraId="22CFB465" w14:textId="77777777" w:rsidR="002661BA" w:rsidRDefault="002661BA">
            <w:pPr>
              <w:rPr>
                <w:rFonts w:ascii="宋体"/>
              </w:rPr>
            </w:pPr>
          </w:p>
        </w:tc>
        <w:tc>
          <w:tcPr>
            <w:tcW w:w="50" w:type="pct"/>
            <w:shd w:val="clear" w:color="auto" w:fill="auto"/>
            <w:vAlign w:val="bottom"/>
          </w:tcPr>
          <w:p w14:paraId="22CFB466" w14:textId="77777777" w:rsidR="002661BA" w:rsidRDefault="002661BA">
            <w:pPr>
              <w:rPr>
                <w:rFonts w:ascii="宋体"/>
              </w:rPr>
            </w:pPr>
          </w:p>
        </w:tc>
        <w:tc>
          <w:tcPr>
            <w:tcW w:w="581" w:type="pct"/>
            <w:shd w:val="clear" w:color="auto" w:fill="auto"/>
            <w:vAlign w:val="bottom"/>
          </w:tcPr>
          <w:p w14:paraId="22CFB467" w14:textId="77777777" w:rsidR="002661BA" w:rsidRDefault="002661BA">
            <w:pPr>
              <w:rPr>
                <w:rFonts w:ascii="宋体"/>
              </w:rPr>
            </w:pPr>
          </w:p>
        </w:tc>
        <w:tc>
          <w:tcPr>
            <w:tcW w:w="5" w:type="pct"/>
            <w:shd w:val="clear" w:color="auto" w:fill="auto"/>
            <w:vAlign w:val="bottom"/>
          </w:tcPr>
          <w:p w14:paraId="22CFB468" w14:textId="77777777" w:rsidR="002661BA" w:rsidRDefault="002661BA">
            <w:pPr>
              <w:rPr>
                <w:rFonts w:ascii="宋体"/>
              </w:rPr>
            </w:pPr>
          </w:p>
        </w:tc>
      </w:tr>
      <w:tr w:rsidR="002661BA" w14:paraId="22CFB46C" w14:textId="77777777">
        <w:trPr>
          <w:jc w:val="center"/>
        </w:trPr>
        <w:tc>
          <w:tcPr>
            <w:tcW w:w="0" w:type="auto"/>
            <w:gridSpan w:val="3"/>
            <w:shd w:val="clear" w:color="auto" w:fill="auto"/>
            <w:tcMar>
              <w:top w:w="40" w:type="dxa"/>
              <w:left w:w="20" w:type="dxa"/>
              <w:bottom w:w="40" w:type="dxa"/>
              <w:right w:w="20" w:type="dxa"/>
            </w:tcMar>
            <w:vAlign w:val="bottom"/>
          </w:tcPr>
          <w:p w14:paraId="22CFB46A" w14:textId="77777777" w:rsidR="002661BA" w:rsidRDefault="00D972BC">
            <w:pPr>
              <w:textAlignment w:val="bottom"/>
            </w:pPr>
            <w:r>
              <w:rPr>
                <w:rFonts w:ascii="Arial" w:eastAsia="宋体" w:hAnsi="Arial" w:cs="Arial"/>
                <w:b/>
                <w:bCs/>
                <w:color w:val="000000"/>
                <w:sz w:val="18"/>
                <w:szCs w:val="18"/>
              </w:rPr>
              <w:t> </w:t>
            </w:r>
          </w:p>
        </w:tc>
        <w:tc>
          <w:tcPr>
            <w:tcW w:w="0" w:type="auto"/>
            <w:gridSpan w:val="15"/>
            <w:shd w:val="clear" w:color="auto" w:fill="auto"/>
            <w:tcMar>
              <w:top w:w="40" w:type="dxa"/>
              <w:left w:w="20" w:type="dxa"/>
              <w:bottom w:w="40" w:type="dxa"/>
              <w:right w:w="20" w:type="dxa"/>
            </w:tcMar>
            <w:vAlign w:val="bottom"/>
          </w:tcPr>
          <w:p w14:paraId="22CFB46B"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B473" w14:textId="77777777">
        <w:trPr>
          <w:jc w:val="center"/>
        </w:trPr>
        <w:tc>
          <w:tcPr>
            <w:tcW w:w="0" w:type="auto"/>
            <w:gridSpan w:val="3"/>
            <w:shd w:val="clear" w:color="auto" w:fill="auto"/>
            <w:tcMar>
              <w:top w:w="40" w:type="dxa"/>
              <w:left w:w="20" w:type="dxa"/>
              <w:bottom w:w="40" w:type="dxa"/>
              <w:right w:w="20" w:type="dxa"/>
            </w:tcMar>
            <w:vAlign w:val="bottom"/>
          </w:tcPr>
          <w:p w14:paraId="22CFB46D" w14:textId="77777777" w:rsidR="002661BA" w:rsidRDefault="00D972BC">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46E"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46F" w14:textId="77777777" w:rsidR="002661BA" w:rsidRDefault="002661B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B470"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471" w14:textId="77777777" w:rsidR="002661BA" w:rsidRDefault="002661B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B472"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B476" w14:textId="77777777">
        <w:trPr>
          <w:jc w:val="center"/>
        </w:trPr>
        <w:tc>
          <w:tcPr>
            <w:tcW w:w="0" w:type="auto"/>
            <w:gridSpan w:val="3"/>
            <w:shd w:val="clear" w:color="auto" w:fill="auto"/>
            <w:tcMar>
              <w:top w:w="40" w:type="dxa"/>
              <w:left w:w="20" w:type="dxa"/>
              <w:bottom w:w="40" w:type="dxa"/>
              <w:right w:w="20" w:type="dxa"/>
            </w:tcMar>
            <w:vAlign w:val="bottom"/>
          </w:tcPr>
          <w:p w14:paraId="22CFB474" w14:textId="77777777" w:rsidR="002661BA" w:rsidRDefault="00D972BC">
            <w:pPr>
              <w:textAlignment w:val="bottom"/>
            </w:pPr>
            <w:r>
              <w:rPr>
                <w:rFonts w:ascii="Arial" w:eastAsia="宋体" w:hAnsi="Arial" w:cs="Arial"/>
                <w:b/>
                <w:bCs/>
                <w:color w:val="000000"/>
                <w:sz w:val="18"/>
                <w:szCs w:val="18"/>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2CFB475" w14:textId="77777777" w:rsidR="002661BA" w:rsidRDefault="00D972BC">
            <w:pPr>
              <w:jc w:val="center"/>
              <w:textAlignment w:val="bottom"/>
            </w:pPr>
            <w:r>
              <w:rPr>
                <w:rFonts w:ascii="Arial" w:eastAsia="宋体" w:hAnsi="Arial" w:cs="Arial"/>
                <w:b/>
                <w:bCs/>
                <w:color w:val="000000"/>
                <w:sz w:val="17"/>
                <w:szCs w:val="17"/>
              </w:rPr>
              <w:t>(In millions)</w:t>
            </w:r>
          </w:p>
        </w:tc>
      </w:tr>
      <w:tr w:rsidR="002661BA" w14:paraId="22CFB47D" w14:textId="77777777">
        <w:trPr>
          <w:jc w:val="center"/>
        </w:trPr>
        <w:tc>
          <w:tcPr>
            <w:tcW w:w="0" w:type="auto"/>
            <w:gridSpan w:val="3"/>
            <w:shd w:val="clear" w:color="auto" w:fill="DBDBDB"/>
            <w:tcMar>
              <w:top w:w="40" w:type="dxa"/>
              <w:left w:w="20" w:type="dxa"/>
              <w:bottom w:w="40" w:type="dxa"/>
              <w:right w:w="20" w:type="dxa"/>
            </w:tcMar>
            <w:vAlign w:val="bottom"/>
          </w:tcPr>
          <w:p w14:paraId="22CFB477" w14:textId="77777777" w:rsidR="002661BA" w:rsidRDefault="00D972BC">
            <w:pPr>
              <w:textAlignment w:val="bottom"/>
            </w:pPr>
            <w:r>
              <w:rPr>
                <w:rFonts w:ascii="Arial" w:eastAsia="宋体" w:hAnsi="Arial" w:cs="Arial"/>
                <w:color w:val="000000"/>
                <w:sz w:val="18"/>
                <w:szCs w:val="18"/>
              </w:rPr>
              <w:t>Cash flows from operating activities:</w:t>
            </w:r>
          </w:p>
        </w:tc>
        <w:tc>
          <w:tcPr>
            <w:tcW w:w="0" w:type="auto"/>
            <w:gridSpan w:val="3"/>
            <w:shd w:val="clear" w:color="auto" w:fill="DBDBDB"/>
            <w:tcMar>
              <w:top w:w="40" w:type="dxa"/>
              <w:left w:w="20" w:type="dxa"/>
              <w:bottom w:w="40" w:type="dxa"/>
              <w:right w:w="20" w:type="dxa"/>
            </w:tcMar>
            <w:vAlign w:val="bottom"/>
          </w:tcPr>
          <w:p w14:paraId="22CFB478"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DBDBDB"/>
            <w:tcMar>
              <w:top w:w="0" w:type="dxa"/>
              <w:left w:w="20" w:type="dxa"/>
              <w:bottom w:w="0" w:type="dxa"/>
              <w:right w:w="20" w:type="dxa"/>
            </w:tcMar>
            <w:vAlign w:val="bottom"/>
          </w:tcPr>
          <w:p w14:paraId="22CFB479" w14:textId="77777777" w:rsidR="002661BA" w:rsidRDefault="002661BA">
            <w:pPr>
              <w:rPr>
                <w:rFonts w:ascii="宋体"/>
              </w:rPr>
            </w:pPr>
          </w:p>
        </w:tc>
        <w:tc>
          <w:tcPr>
            <w:tcW w:w="0" w:type="auto"/>
            <w:gridSpan w:val="3"/>
            <w:shd w:val="clear" w:color="auto" w:fill="DBDBDB"/>
            <w:tcMar>
              <w:top w:w="40" w:type="dxa"/>
              <w:left w:w="20" w:type="dxa"/>
              <w:bottom w:w="40" w:type="dxa"/>
              <w:right w:w="20" w:type="dxa"/>
            </w:tcMar>
            <w:vAlign w:val="bottom"/>
          </w:tcPr>
          <w:p w14:paraId="22CFB47A" w14:textId="77777777" w:rsidR="002661BA" w:rsidRDefault="00D972BC">
            <w:pPr>
              <w:textAlignment w:val="bottom"/>
            </w:pPr>
            <w:r>
              <w:rPr>
                <w:rFonts w:ascii="Arial" w:eastAsia="宋体" w:hAnsi="Arial" w:cs="Arial"/>
                <w:color w:val="FFFFFF"/>
                <w:sz w:val="18"/>
                <w:szCs w:val="18"/>
              </w:rPr>
              <w:t> </w:t>
            </w:r>
          </w:p>
        </w:tc>
        <w:tc>
          <w:tcPr>
            <w:tcW w:w="0" w:type="auto"/>
            <w:gridSpan w:val="3"/>
            <w:shd w:val="clear" w:color="auto" w:fill="DBDBDB"/>
            <w:tcMar>
              <w:top w:w="0" w:type="dxa"/>
              <w:left w:w="20" w:type="dxa"/>
              <w:bottom w:w="0" w:type="dxa"/>
              <w:right w:w="20" w:type="dxa"/>
            </w:tcMar>
            <w:vAlign w:val="bottom"/>
          </w:tcPr>
          <w:p w14:paraId="22CFB47B"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B47C" w14:textId="77777777" w:rsidR="002661BA" w:rsidRDefault="002661BA">
            <w:pPr>
              <w:rPr>
                <w:rFonts w:ascii="宋体"/>
              </w:rPr>
            </w:pPr>
          </w:p>
        </w:tc>
      </w:tr>
      <w:tr w:rsidR="002661BA" w14:paraId="22CFB48A" w14:textId="77777777">
        <w:trPr>
          <w:jc w:val="center"/>
        </w:trPr>
        <w:tc>
          <w:tcPr>
            <w:tcW w:w="0" w:type="auto"/>
            <w:gridSpan w:val="3"/>
            <w:shd w:val="clear" w:color="auto" w:fill="FFFFFF"/>
            <w:tcMar>
              <w:top w:w="40" w:type="dxa"/>
              <w:left w:w="245" w:type="dxa"/>
              <w:bottom w:w="40" w:type="dxa"/>
              <w:right w:w="20" w:type="dxa"/>
            </w:tcMar>
            <w:vAlign w:val="bottom"/>
          </w:tcPr>
          <w:p w14:paraId="22CFB47E" w14:textId="77777777" w:rsidR="002661BA" w:rsidRDefault="00D972BC">
            <w:pPr>
              <w:textAlignment w:val="bottom"/>
            </w:pPr>
            <w:r>
              <w:rPr>
                <w:rFonts w:ascii="Arial" w:eastAsia="宋体" w:hAnsi="Arial" w:cs="Arial"/>
                <w:color w:val="000000"/>
                <w:sz w:val="18"/>
                <w:szCs w:val="18"/>
              </w:rPr>
              <w:t>Net income</w:t>
            </w:r>
          </w:p>
        </w:tc>
        <w:tc>
          <w:tcPr>
            <w:tcW w:w="0" w:type="auto"/>
            <w:shd w:val="clear" w:color="auto" w:fill="FFFFFF"/>
            <w:tcMar>
              <w:top w:w="40" w:type="dxa"/>
              <w:left w:w="20" w:type="dxa"/>
              <w:bottom w:w="40" w:type="dxa"/>
              <w:right w:w="0" w:type="dxa"/>
            </w:tcMar>
            <w:vAlign w:val="bottom"/>
          </w:tcPr>
          <w:p w14:paraId="22CFB47F"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480" w14:textId="77777777" w:rsidR="002661BA" w:rsidRDefault="00D972BC">
            <w:pPr>
              <w:jc w:val="right"/>
              <w:textAlignment w:val="bottom"/>
            </w:pPr>
            <w:r>
              <w:rPr>
                <w:rFonts w:ascii="Arial" w:eastAsia="宋体" w:hAnsi="Arial" w:cs="Arial"/>
                <w:color w:val="000000"/>
                <w:sz w:val="18"/>
                <w:szCs w:val="18"/>
              </w:rPr>
              <w:t>13,608 </w:t>
            </w:r>
          </w:p>
        </w:tc>
        <w:tc>
          <w:tcPr>
            <w:tcW w:w="0" w:type="auto"/>
            <w:shd w:val="clear" w:color="auto" w:fill="FFFFFF"/>
            <w:tcMar>
              <w:top w:w="40" w:type="dxa"/>
              <w:left w:w="0" w:type="dxa"/>
              <w:bottom w:w="40" w:type="dxa"/>
              <w:right w:w="20" w:type="dxa"/>
            </w:tcMar>
            <w:vAlign w:val="bottom"/>
          </w:tcPr>
          <w:p w14:paraId="22CFB48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482"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B48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484" w14:textId="77777777" w:rsidR="002661BA" w:rsidRDefault="00D972BC">
            <w:pPr>
              <w:jc w:val="right"/>
              <w:textAlignment w:val="bottom"/>
            </w:pPr>
            <w:r>
              <w:rPr>
                <w:rFonts w:ascii="Arial" w:eastAsia="宋体" w:hAnsi="Arial" w:cs="Arial"/>
                <w:color w:val="000000"/>
                <w:sz w:val="18"/>
                <w:szCs w:val="18"/>
              </w:rPr>
              <w:t>5,667 </w:t>
            </w:r>
          </w:p>
        </w:tc>
        <w:tc>
          <w:tcPr>
            <w:tcW w:w="0" w:type="auto"/>
            <w:shd w:val="clear" w:color="auto" w:fill="FFFFFF"/>
            <w:tcMar>
              <w:top w:w="40" w:type="dxa"/>
              <w:left w:w="0" w:type="dxa"/>
              <w:bottom w:w="40" w:type="dxa"/>
              <w:right w:w="20" w:type="dxa"/>
            </w:tcMar>
            <w:vAlign w:val="bottom"/>
          </w:tcPr>
          <w:p w14:paraId="22CFB48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486"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B48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488" w14:textId="77777777" w:rsidR="002661BA" w:rsidRDefault="00D972BC">
            <w:pPr>
              <w:jc w:val="right"/>
              <w:textAlignment w:val="bottom"/>
            </w:pPr>
            <w:r>
              <w:rPr>
                <w:rFonts w:ascii="Arial" w:eastAsia="宋体" w:hAnsi="Arial" w:cs="Arial"/>
                <w:color w:val="000000"/>
                <w:sz w:val="18"/>
                <w:szCs w:val="18"/>
              </w:rPr>
              <w:t>1,786 </w:t>
            </w:r>
          </w:p>
        </w:tc>
        <w:tc>
          <w:tcPr>
            <w:tcW w:w="0" w:type="auto"/>
            <w:shd w:val="clear" w:color="auto" w:fill="FFFFFF"/>
            <w:tcMar>
              <w:top w:w="40" w:type="dxa"/>
              <w:left w:w="0" w:type="dxa"/>
              <w:bottom w:w="40" w:type="dxa"/>
              <w:right w:w="20" w:type="dxa"/>
            </w:tcMar>
            <w:vAlign w:val="bottom"/>
          </w:tcPr>
          <w:p w14:paraId="22CFB489" w14:textId="77777777" w:rsidR="002661BA" w:rsidRDefault="002661BA">
            <w:pPr>
              <w:jc w:val="right"/>
              <w:rPr>
                <w:rFonts w:ascii="宋体"/>
              </w:rPr>
            </w:pPr>
          </w:p>
        </w:tc>
      </w:tr>
      <w:tr w:rsidR="002661BA" w14:paraId="22CFB494" w14:textId="77777777">
        <w:trPr>
          <w:jc w:val="center"/>
        </w:trPr>
        <w:tc>
          <w:tcPr>
            <w:tcW w:w="0" w:type="auto"/>
            <w:gridSpan w:val="3"/>
            <w:shd w:val="clear" w:color="auto" w:fill="DBDBDB"/>
            <w:tcMar>
              <w:top w:w="40" w:type="dxa"/>
              <w:left w:w="245" w:type="dxa"/>
              <w:bottom w:w="40" w:type="dxa"/>
              <w:right w:w="20" w:type="dxa"/>
            </w:tcMar>
            <w:vAlign w:val="bottom"/>
          </w:tcPr>
          <w:p w14:paraId="22CFB48B" w14:textId="77777777" w:rsidR="002661BA" w:rsidRDefault="00D972BC">
            <w:pPr>
              <w:textAlignment w:val="bottom"/>
            </w:pPr>
            <w:r>
              <w:rPr>
                <w:rFonts w:ascii="Arial" w:eastAsia="宋体" w:hAnsi="Arial" w:cs="Arial"/>
                <w:color w:val="000000"/>
                <w:sz w:val="18"/>
                <w:szCs w:val="18"/>
              </w:rPr>
              <w:t>(Income) loss from discontinued operations, net of income taxes</w:t>
            </w:r>
          </w:p>
        </w:tc>
        <w:tc>
          <w:tcPr>
            <w:tcW w:w="0" w:type="auto"/>
            <w:gridSpan w:val="2"/>
            <w:shd w:val="clear" w:color="auto" w:fill="DBDBDB"/>
            <w:tcMar>
              <w:top w:w="40" w:type="dxa"/>
              <w:left w:w="20" w:type="dxa"/>
              <w:bottom w:w="40" w:type="dxa"/>
              <w:right w:w="0" w:type="dxa"/>
            </w:tcMar>
            <w:vAlign w:val="bottom"/>
          </w:tcPr>
          <w:p w14:paraId="22CFB48C" w14:textId="77777777" w:rsidR="002661BA" w:rsidRDefault="00D972BC">
            <w:pPr>
              <w:jc w:val="right"/>
              <w:textAlignment w:val="bottom"/>
            </w:pPr>
            <w:r>
              <w:rPr>
                <w:rFonts w:ascii="Arial" w:eastAsia="宋体" w:hAnsi="Arial" w:cs="Arial"/>
                <w:color w:val="000000"/>
                <w:sz w:val="18"/>
                <w:szCs w:val="18"/>
              </w:rPr>
              <w:t>(13,356)</w:t>
            </w:r>
          </w:p>
        </w:tc>
        <w:tc>
          <w:tcPr>
            <w:tcW w:w="0" w:type="auto"/>
            <w:shd w:val="clear" w:color="auto" w:fill="DBDBDB"/>
            <w:tcMar>
              <w:top w:w="40" w:type="dxa"/>
              <w:left w:w="0" w:type="dxa"/>
              <w:bottom w:w="40" w:type="dxa"/>
              <w:right w:w="20" w:type="dxa"/>
            </w:tcMar>
            <w:vAlign w:val="bottom"/>
          </w:tcPr>
          <w:p w14:paraId="22CFB48D"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48E"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48F" w14:textId="77777777" w:rsidR="002661BA" w:rsidRDefault="00D972BC">
            <w:pPr>
              <w:jc w:val="right"/>
              <w:textAlignment w:val="bottom"/>
            </w:pPr>
            <w:r>
              <w:rPr>
                <w:rFonts w:ascii="Arial" w:eastAsia="宋体" w:hAnsi="Arial" w:cs="Arial"/>
                <w:color w:val="000000"/>
                <w:sz w:val="18"/>
                <w:szCs w:val="18"/>
              </w:rPr>
              <w:t>(3,180)</w:t>
            </w:r>
          </w:p>
        </w:tc>
        <w:tc>
          <w:tcPr>
            <w:tcW w:w="0" w:type="auto"/>
            <w:shd w:val="clear" w:color="auto" w:fill="DBDBDB"/>
            <w:tcMar>
              <w:top w:w="40" w:type="dxa"/>
              <w:left w:w="0" w:type="dxa"/>
              <w:bottom w:w="40" w:type="dxa"/>
              <w:right w:w="20" w:type="dxa"/>
            </w:tcMar>
            <w:vAlign w:val="bottom"/>
          </w:tcPr>
          <w:p w14:paraId="22CFB490"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491"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492" w14:textId="77777777" w:rsidR="002661BA" w:rsidRDefault="00D972BC">
            <w:pPr>
              <w:jc w:val="right"/>
              <w:textAlignment w:val="bottom"/>
            </w:pPr>
            <w:r>
              <w:rPr>
                <w:rFonts w:ascii="Arial" w:eastAsia="宋体" w:hAnsi="Arial" w:cs="Arial"/>
                <w:color w:val="000000"/>
                <w:sz w:val="18"/>
                <w:szCs w:val="18"/>
              </w:rPr>
              <w:t>(353)</w:t>
            </w:r>
          </w:p>
        </w:tc>
        <w:tc>
          <w:tcPr>
            <w:tcW w:w="0" w:type="auto"/>
            <w:shd w:val="clear" w:color="auto" w:fill="DBDBDB"/>
            <w:tcMar>
              <w:top w:w="40" w:type="dxa"/>
              <w:left w:w="0" w:type="dxa"/>
              <w:bottom w:w="40" w:type="dxa"/>
              <w:right w:w="20" w:type="dxa"/>
            </w:tcMar>
            <w:vAlign w:val="bottom"/>
          </w:tcPr>
          <w:p w14:paraId="22CFB493" w14:textId="77777777" w:rsidR="002661BA" w:rsidRDefault="002661BA">
            <w:pPr>
              <w:jc w:val="right"/>
              <w:rPr>
                <w:rFonts w:ascii="宋体"/>
              </w:rPr>
            </w:pPr>
          </w:p>
        </w:tc>
      </w:tr>
      <w:tr w:rsidR="002661BA" w14:paraId="22CFB49B" w14:textId="77777777">
        <w:trPr>
          <w:jc w:val="center"/>
        </w:trPr>
        <w:tc>
          <w:tcPr>
            <w:tcW w:w="0" w:type="auto"/>
            <w:gridSpan w:val="3"/>
            <w:shd w:val="clear" w:color="auto" w:fill="FFFFFF"/>
            <w:tcMar>
              <w:top w:w="40" w:type="dxa"/>
              <w:left w:w="245" w:type="dxa"/>
              <w:bottom w:w="40" w:type="dxa"/>
              <w:right w:w="20" w:type="dxa"/>
            </w:tcMar>
            <w:vAlign w:val="bottom"/>
          </w:tcPr>
          <w:p w14:paraId="22CFB495" w14:textId="77777777" w:rsidR="002661BA" w:rsidRDefault="00D972BC">
            <w:pPr>
              <w:textAlignment w:val="bottom"/>
            </w:pPr>
            <w:r>
              <w:rPr>
                <w:rFonts w:ascii="Arial" w:eastAsia="宋体" w:hAnsi="Arial" w:cs="Arial"/>
                <w:color w:val="000000"/>
                <w:sz w:val="18"/>
                <w:szCs w:val="18"/>
              </w:rPr>
              <w:t>Adjustments:</w:t>
            </w:r>
          </w:p>
        </w:tc>
        <w:tc>
          <w:tcPr>
            <w:tcW w:w="0" w:type="auto"/>
            <w:gridSpan w:val="3"/>
            <w:shd w:val="clear" w:color="auto" w:fill="FFFFFF"/>
            <w:tcMar>
              <w:top w:w="40" w:type="dxa"/>
              <w:left w:w="20" w:type="dxa"/>
              <w:bottom w:w="40" w:type="dxa"/>
              <w:right w:w="20" w:type="dxa"/>
            </w:tcMar>
            <w:vAlign w:val="bottom"/>
          </w:tcPr>
          <w:p w14:paraId="22CFB496"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vAlign w:val="bottom"/>
          </w:tcPr>
          <w:p w14:paraId="22CFB497"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B498"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vAlign w:val="bottom"/>
          </w:tcPr>
          <w:p w14:paraId="22CFB499"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49A" w14:textId="77777777" w:rsidR="002661BA" w:rsidRDefault="002661BA">
            <w:pPr>
              <w:rPr>
                <w:rFonts w:ascii="宋体"/>
              </w:rPr>
            </w:pPr>
          </w:p>
        </w:tc>
      </w:tr>
      <w:tr w:rsidR="002661BA" w14:paraId="22CFB4A5" w14:textId="77777777">
        <w:trPr>
          <w:jc w:val="center"/>
        </w:trPr>
        <w:tc>
          <w:tcPr>
            <w:tcW w:w="0" w:type="auto"/>
            <w:gridSpan w:val="3"/>
            <w:shd w:val="clear" w:color="auto" w:fill="DBDBDB"/>
            <w:tcMar>
              <w:top w:w="40" w:type="dxa"/>
              <w:left w:w="515" w:type="dxa"/>
              <w:bottom w:w="40" w:type="dxa"/>
              <w:right w:w="20" w:type="dxa"/>
            </w:tcMar>
            <w:vAlign w:val="bottom"/>
          </w:tcPr>
          <w:p w14:paraId="22CFB49C" w14:textId="77777777" w:rsidR="002661BA" w:rsidRDefault="00D972BC">
            <w:pPr>
              <w:textAlignment w:val="bottom"/>
            </w:pPr>
            <w:r>
              <w:rPr>
                <w:rFonts w:ascii="Arial" w:eastAsia="宋体" w:hAnsi="Arial" w:cs="Arial"/>
                <w:color w:val="000000"/>
                <w:sz w:val="18"/>
                <w:szCs w:val="18"/>
              </w:rPr>
              <w:t>Provision for transaction losses</w:t>
            </w:r>
          </w:p>
        </w:tc>
        <w:tc>
          <w:tcPr>
            <w:tcW w:w="0" w:type="auto"/>
            <w:gridSpan w:val="2"/>
            <w:shd w:val="clear" w:color="auto" w:fill="DBDBDB"/>
            <w:tcMar>
              <w:top w:w="40" w:type="dxa"/>
              <w:left w:w="20" w:type="dxa"/>
              <w:bottom w:w="40" w:type="dxa"/>
              <w:right w:w="0" w:type="dxa"/>
            </w:tcMar>
            <w:vAlign w:val="bottom"/>
          </w:tcPr>
          <w:p w14:paraId="22CFB49D" w14:textId="77777777" w:rsidR="002661BA" w:rsidRDefault="00D972BC">
            <w:pPr>
              <w:jc w:val="right"/>
              <w:textAlignment w:val="bottom"/>
            </w:pPr>
            <w:r>
              <w:rPr>
                <w:rFonts w:ascii="Arial" w:eastAsia="宋体" w:hAnsi="Arial" w:cs="Arial"/>
                <w:color w:val="000000"/>
                <w:sz w:val="18"/>
                <w:szCs w:val="18"/>
              </w:rPr>
              <w:t>422 </w:t>
            </w:r>
          </w:p>
        </w:tc>
        <w:tc>
          <w:tcPr>
            <w:tcW w:w="0" w:type="auto"/>
            <w:shd w:val="clear" w:color="auto" w:fill="DBDBDB"/>
            <w:tcMar>
              <w:top w:w="40" w:type="dxa"/>
              <w:left w:w="0" w:type="dxa"/>
              <w:bottom w:w="40" w:type="dxa"/>
              <w:right w:w="20" w:type="dxa"/>
            </w:tcMar>
            <w:vAlign w:val="bottom"/>
          </w:tcPr>
          <w:p w14:paraId="22CFB49E"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49F"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4A0" w14:textId="77777777" w:rsidR="002661BA" w:rsidRDefault="00D972BC">
            <w:pPr>
              <w:jc w:val="right"/>
              <w:textAlignment w:val="bottom"/>
            </w:pPr>
            <w:r>
              <w:rPr>
                <w:rFonts w:ascii="Arial" w:eastAsia="宋体" w:hAnsi="Arial" w:cs="Arial"/>
                <w:color w:val="000000"/>
                <w:sz w:val="18"/>
                <w:szCs w:val="18"/>
              </w:rPr>
              <w:t>330 </w:t>
            </w:r>
          </w:p>
        </w:tc>
        <w:tc>
          <w:tcPr>
            <w:tcW w:w="0" w:type="auto"/>
            <w:shd w:val="clear" w:color="auto" w:fill="DBDBDB"/>
            <w:tcMar>
              <w:top w:w="40" w:type="dxa"/>
              <w:left w:w="0" w:type="dxa"/>
              <w:bottom w:w="40" w:type="dxa"/>
              <w:right w:w="20" w:type="dxa"/>
            </w:tcMar>
            <w:vAlign w:val="bottom"/>
          </w:tcPr>
          <w:p w14:paraId="22CFB4A1"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4A2"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4A3" w14:textId="77777777" w:rsidR="002661BA" w:rsidRDefault="00D972BC">
            <w:pPr>
              <w:jc w:val="right"/>
              <w:textAlignment w:val="bottom"/>
            </w:pPr>
            <w:r>
              <w:rPr>
                <w:rFonts w:ascii="Arial" w:eastAsia="宋体" w:hAnsi="Arial" w:cs="Arial"/>
                <w:color w:val="000000"/>
                <w:sz w:val="18"/>
                <w:szCs w:val="18"/>
              </w:rPr>
              <w:t>262 </w:t>
            </w:r>
          </w:p>
        </w:tc>
        <w:tc>
          <w:tcPr>
            <w:tcW w:w="0" w:type="auto"/>
            <w:shd w:val="clear" w:color="auto" w:fill="DBDBDB"/>
            <w:tcMar>
              <w:top w:w="40" w:type="dxa"/>
              <w:left w:w="0" w:type="dxa"/>
              <w:bottom w:w="40" w:type="dxa"/>
              <w:right w:w="20" w:type="dxa"/>
            </w:tcMar>
            <w:vAlign w:val="bottom"/>
          </w:tcPr>
          <w:p w14:paraId="22CFB4A4" w14:textId="77777777" w:rsidR="002661BA" w:rsidRDefault="002661BA">
            <w:pPr>
              <w:jc w:val="right"/>
              <w:rPr>
                <w:rFonts w:ascii="宋体"/>
              </w:rPr>
            </w:pPr>
          </w:p>
        </w:tc>
      </w:tr>
      <w:tr w:rsidR="002661BA" w14:paraId="22CFB4AF" w14:textId="77777777">
        <w:trPr>
          <w:jc w:val="center"/>
        </w:trPr>
        <w:tc>
          <w:tcPr>
            <w:tcW w:w="0" w:type="auto"/>
            <w:gridSpan w:val="3"/>
            <w:shd w:val="clear" w:color="auto" w:fill="FFFFFF"/>
            <w:tcMar>
              <w:top w:w="40" w:type="dxa"/>
              <w:left w:w="515" w:type="dxa"/>
              <w:bottom w:w="40" w:type="dxa"/>
              <w:right w:w="20" w:type="dxa"/>
            </w:tcMar>
            <w:vAlign w:val="bottom"/>
          </w:tcPr>
          <w:p w14:paraId="22CFB4A6" w14:textId="77777777" w:rsidR="002661BA" w:rsidRDefault="00D972BC">
            <w:pPr>
              <w:textAlignment w:val="bottom"/>
            </w:pPr>
            <w:r>
              <w:rPr>
                <w:rFonts w:ascii="Arial" w:eastAsia="宋体" w:hAnsi="Arial" w:cs="Arial"/>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22CFB4A7" w14:textId="77777777" w:rsidR="002661BA" w:rsidRDefault="00D972BC">
            <w:pPr>
              <w:jc w:val="right"/>
              <w:textAlignment w:val="bottom"/>
            </w:pPr>
            <w:r>
              <w:rPr>
                <w:rFonts w:ascii="Arial" w:eastAsia="宋体" w:hAnsi="Arial" w:cs="Arial"/>
                <w:color w:val="000000"/>
                <w:sz w:val="18"/>
                <w:szCs w:val="18"/>
              </w:rPr>
              <w:t>502 </w:t>
            </w:r>
          </w:p>
        </w:tc>
        <w:tc>
          <w:tcPr>
            <w:tcW w:w="0" w:type="auto"/>
            <w:shd w:val="clear" w:color="auto" w:fill="FFFFFF"/>
            <w:tcMar>
              <w:top w:w="40" w:type="dxa"/>
              <w:left w:w="0" w:type="dxa"/>
              <w:bottom w:w="40" w:type="dxa"/>
              <w:right w:w="20" w:type="dxa"/>
            </w:tcMar>
            <w:vAlign w:val="bottom"/>
          </w:tcPr>
          <w:p w14:paraId="22CFB4A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4A9"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4AA" w14:textId="77777777" w:rsidR="002661BA" w:rsidRDefault="00D972BC">
            <w:pPr>
              <w:jc w:val="right"/>
              <w:textAlignment w:val="bottom"/>
            </w:pPr>
            <w:r>
              <w:rPr>
                <w:rFonts w:ascii="Arial" w:eastAsia="宋体" w:hAnsi="Arial" w:cs="Arial"/>
                <w:color w:val="000000"/>
                <w:sz w:val="18"/>
                <w:szCs w:val="18"/>
              </w:rPr>
              <w:t>583 </w:t>
            </w:r>
          </w:p>
        </w:tc>
        <w:tc>
          <w:tcPr>
            <w:tcW w:w="0" w:type="auto"/>
            <w:shd w:val="clear" w:color="auto" w:fill="FFFFFF"/>
            <w:tcMar>
              <w:top w:w="40" w:type="dxa"/>
              <w:left w:w="0" w:type="dxa"/>
              <w:bottom w:w="40" w:type="dxa"/>
              <w:right w:w="20" w:type="dxa"/>
            </w:tcMar>
            <w:vAlign w:val="bottom"/>
          </w:tcPr>
          <w:p w14:paraId="22CFB4A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4A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4AD" w14:textId="77777777" w:rsidR="002661BA" w:rsidRDefault="00D972BC">
            <w:pPr>
              <w:jc w:val="right"/>
              <w:textAlignment w:val="bottom"/>
            </w:pPr>
            <w:r>
              <w:rPr>
                <w:rFonts w:ascii="Arial" w:eastAsia="宋体" w:hAnsi="Arial" w:cs="Arial"/>
                <w:color w:val="000000"/>
                <w:sz w:val="18"/>
                <w:szCs w:val="18"/>
              </w:rPr>
              <w:t>600 </w:t>
            </w:r>
          </w:p>
        </w:tc>
        <w:tc>
          <w:tcPr>
            <w:tcW w:w="0" w:type="auto"/>
            <w:shd w:val="clear" w:color="auto" w:fill="FFFFFF"/>
            <w:tcMar>
              <w:top w:w="40" w:type="dxa"/>
              <w:left w:w="0" w:type="dxa"/>
              <w:bottom w:w="40" w:type="dxa"/>
              <w:right w:w="20" w:type="dxa"/>
            </w:tcMar>
            <w:vAlign w:val="bottom"/>
          </w:tcPr>
          <w:p w14:paraId="22CFB4AE" w14:textId="77777777" w:rsidR="002661BA" w:rsidRDefault="002661BA">
            <w:pPr>
              <w:jc w:val="right"/>
              <w:rPr>
                <w:rFonts w:ascii="宋体"/>
              </w:rPr>
            </w:pPr>
          </w:p>
        </w:tc>
      </w:tr>
      <w:tr w:rsidR="002661BA" w14:paraId="22CFB4B9" w14:textId="77777777">
        <w:trPr>
          <w:jc w:val="center"/>
        </w:trPr>
        <w:tc>
          <w:tcPr>
            <w:tcW w:w="0" w:type="auto"/>
            <w:gridSpan w:val="3"/>
            <w:shd w:val="clear" w:color="auto" w:fill="DBDBDB"/>
            <w:tcMar>
              <w:top w:w="40" w:type="dxa"/>
              <w:left w:w="515" w:type="dxa"/>
              <w:bottom w:w="40" w:type="dxa"/>
              <w:right w:w="20" w:type="dxa"/>
            </w:tcMar>
            <w:vAlign w:val="bottom"/>
          </w:tcPr>
          <w:p w14:paraId="22CFB4B0" w14:textId="77777777" w:rsidR="002661BA" w:rsidRDefault="00D972BC">
            <w:pPr>
              <w:textAlignment w:val="bottom"/>
            </w:pPr>
            <w:r>
              <w:rPr>
                <w:rFonts w:ascii="Arial" w:eastAsia="宋体" w:hAnsi="Arial" w:cs="Arial"/>
                <w:color w:val="000000"/>
                <w:sz w:val="18"/>
                <w:szCs w:val="18"/>
              </w:rPr>
              <w:t>Stock-based compensation</w:t>
            </w:r>
          </w:p>
        </w:tc>
        <w:tc>
          <w:tcPr>
            <w:tcW w:w="0" w:type="auto"/>
            <w:gridSpan w:val="2"/>
            <w:shd w:val="clear" w:color="auto" w:fill="DBDBDB"/>
            <w:tcMar>
              <w:top w:w="40" w:type="dxa"/>
              <w:left w:w="20" w:type="dxa"/>
              <w:bottom w:w="40" w:type="dxa"/>
              <w:right w:w="0" w:type="dxa"/>
            </w:tcMar>
            <w:vAlign w:val="bottom"/>
          </w:tcPr>
          <w:p w14:paraId="22CFB4B1" w14:textId="77777777" w:rsidR="002661BA" w:rsidRDefault="00D972BC">
            <w:pPr>
              <w:jc w:val="right"/>
              <w:textAlignment w:val="bottom"/>
            </w:pPr>
            <w:r>
              <w:rPr>
                <w:rFonts w:ascii="Arial" w:eastAsia="宋体" w:hAnsi="Arial" w:cs="Arial"/>
                <w:color w:val="000000"/>
                <w:sz w:val="18"/>
                <w:szCs w:val="18"/>
              </w:rPr>
              <w:t>477 </w:t>
            </w:r>
          </w:p>
        </w:tc>
        <w:tc>
          <w:tcPr>
            <w:tcW w:w="0" w:type="auto"/>
            <w:shd w:val="clear" w:color="auto" w:fill="DBDBDB"/>
            <w:tcMar>
              <w:top w:w="40" w:type="dxa"/>
              <w:left w:w="0" w:type="dxa"/>
              <w:bottom w:w="40" w:type="dxa"/>
              <w:right w:w="20" w:type="dxa"/>
            </w:tcMar>
            <w:vAlign w:val="bottom"/>
          </w:tcPr>
          <w:p w14:paraId="22CFB4B2"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4B3"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4B4" w14:textId="77777777" w:rsidR="002661BA" w:rsidRDefault="00D972BC">
            <w:pPr>
              <w:jc w:val="right"/>
              <w:textAlignment w:val="bottom"/>
            </w:pPr>
            <w:r>
              <w:rPr>
                <w:rFonts w:ascii="Arial" w:eastAsia="宋体" w:hAnsi="Arial" w:cs="Arial"/>
                <w:color w:val="000000"/>
                <w:sz w:val="18"/>
                <w:szCs w:val="18"/>
              </w:rPr>
              <w:t>417 </w:t>
            </w:r>
          </w:p>
        </w:tc>
        <w:tc>
          <w:tcPr>
            <w:tcW w:w="0" w:type="auto"/>
            <w:shd w:val="clear" w:color="auto" w:fill="DBDBDB"/>
            <w:tcMar>
              <w:top w:w="40" w:type="dxa"/>
              <w:left w:w="0" w:type="dxa"/>
              <w:bottom w:w="40" w:type="dxa"/>
              <w:right w:w="20" w:type="dxa"/>
            </w:tcMar>
            <w:vAlign w:val="bottom"/>
          </w:tcPr>
          <w:p w14:paraId="22CFB4B5"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4B6"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4B7" w14:textId="77777777" w:rsidR="002661BA" w:rsidRDefault="00D972BC">
            <w:pPr>
              <w:jc w:val="right"/>
              <w:textAlignment w:val="bottom"/>
            </w:pPr>
            <w:r>
              <w:rPr>
                <w:rFonts w:ascii="Arial" w:eastAsia="宋体" w:hAnsi="Arial" w:cs="Arial"/>
                <w:color w:val="000000"/>
                <w:sz w:val="18"/>
                <w:szCs w:val="18"/>
              </w:rPr>
              <w:t>415 </w:t>
            </w:r>
          </w:p>
        </w:tc>
        <w:tc>
          <w:tcPr>
            <w:tcW w:w="0" w:type="auto"/>
            <w:shd w:val="clear" w:color="auto" w:fill="DBDBDB"/>
            <w:tcMar>
              <w:top w:w="40" w:type="dxa"/>
              <w:left w:w="0" w:type="dxa"/>
              <w:bottom w:w="40" w:type="dxa"/>
              <w:right w:w="20" w:type="dxa"/>
            </w:tcMar>
            <w:vAlign w:val="bottom"/>
          </w:tcPr>
          <w:p w14:paraId="22CFB4B8" w14:textId="77777777" w:rsidR="002661BA" w:rsidRDefault="002661BA">
            <w:pPr>
              <w:jc w:val="right"/>
              <w:rPr>
                <w:rFonts w:ascii="宋体"/>
              </w:rPr>
            </w:pPr>
          </w:p>
        </w:tc>
      </w:tr>
      <w:tr w:rsidR="002661BA" w14:paraId="22CFB4C3" w14:textId="77777777">
        <w:trPr>
          <w:jc w:val="center"/>
        </w:trPr>
        <w:tc>
          <w:tcPr>
            <w:tcW w:w="0" w:type="auto"/>
            <w:gridSpan w:val="3"/>
            <w:shd w:val="clear" w:color="auto" w:fill="FFFFFF"/>
            <w:tcMar>
              <w:top w:w="40" w:type="dxa"/>
              <w:left w:w="515" w:type="dxa"/>
              <w:bottom w:w="40" w:type="dxa"/>
              <w:right w:w="20" w:type="dxa"/>
            </w:tcMar>
            <w:vAlign w:val="bottom"/>
          </w:tcPr>
          <w:p w14:paraId="22CFB4BA" w14:textId="77777777" w:rsidR="002661BA" w:rsidRDefault="00D972BC">
            <w:pPr>
              <w:textAlignment w:val="bottom"/>
            </w:pPr>
            <w:r>
              <w:rPr>
                <w:rFonts w:ascii="Arial" w:eastAsia="宋体" w:hAnsi="Arial" w:cs="Arial"/>
                <w:color w:val="000000"/>
                <w:sz w:val="18"/>
                <w:szCs w:val="18"/>
              </w:rPr>
              <w:t>(Gain) loss on investments, net</w:t>
            </w:r>
          </w:p>
        </w:tc>
        <w:tc>
          <w:tcPr>
            <w:tcW w:w="0" w:type="auto"/>
            <w:gridSpan w:val="2"/>
            <w:shd w:val="clear" w:color="auto" w:fill="FFFFFF"/>
            <w:tcMar>
              <w:top w:w="40" w:type="dxa"/>
              <w:left w:w="20" w:type="dxa"/>
              <w:bottom w:w="40" w:type="dxa"/>
              <w:right w:w="0" w:type="dxa"/>
            </w:tcMar>
            <w:vAlign w:val="bottom"/>
          </w:tcPr>
          <w:p w14:paraId="22CFB4BB" w14:textId="77777777" w:rsidR="002661BA" w:rsidRDefault="00D972BC">
            <w:pPr>
              <w:jc w:val="right"/>
              <w:textAlignment w:val="bottom"/>
            </w:pPr>
            <w:r>
              <w:rPr>
                <w:rFonts w:ascii="Arial" w:eastAsia="宋体" w:hAnsi="Arial" w:cs="Arial"/>
                <w:color w:val="000000"/>
                <w:sz w:val="18"/>
                <w:szCs w:val="18"/>
              </w:rPr>
              <w:t>(143)</w:t>
            </w:r>
          </w:p>
        </w:tc>
        <w:tc>
          <w:tcPr>
            <w:tcW w:w="0" w:type="auto"/>
            <w:shd w:val="clear" w:color="auto" w:fill="FFFFFF"/>
            <w:tcMar>
              <w:top w:w="40" w:type="dxa"/>
              <w:left w:w="0" w:type="dxa"/>
              <w:bottom w:w="40" w:type="dxa"/>
              <w:right w:w="20" w:type="dxa"/>
            </w:tcMar>
            <w:vAlign w:val="bottom"/>
          </w:tcPr>
          <w:p w14:paraId="22CFB4B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4B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4BE" w14:textId="77777777" w:rsidR="002661BA" w:rsidRDefault="00D972BC">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22CFB4B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4C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4C1"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4C2" w14:textId="77777777" w:rsidR="002661BA" w:rsidRDefault="002661BA">
            <w:pPr>
              <w:jc w:val="right"/>
              <w:rPr>
                <w:rFonts w:ascii="宋体"/>
              </w:rPr>
            </w:pPr>
          </w:p>
        </w:tc>
      </w:tr>
      <w:tr w:rsidR="002661BA" w14:paraId="22CFB4CD" w14:textId="77777777">
        <w:trPr>
          <w:jc w:val="center"/>
        </w:trPr>
        <w:tc>
          <w:tcPr>
            <w:tcW w:w="0" w:type="auto"/>
            <w:gridSpan w:val="3"/>
            <w:shd w:val="clear" w:color="auto" w:fill="DBDBDB"/>
            <w:tcMar>
              <w:top w:w="40" w:type="dxa"/>
              <w:left w:w="515" w:type="dxa"/>
              <w:bottom w:w="40" w:type="dxa"/>
              <w:right w:w="20" w:type="dxa"/>
            </w:tcMar>
            <w:vAlign w:val="bottom"/>
          </w:tcPr>
          <w:p w14:paraId="22CFB4C4" w14:textId="77777777" w:rsidR="002661BA" w:rsidRDefault="00D972BC">
            <w:pPr>
              <w:textAlignment w:val="bottom"/>
            </w:pPr>
            <w:r>
              <w:rPr>
                <w:rFonts w:ascii="Arial" w:eastAsia="宋体" w:hAnsi="Arial" w:cs="Arial"/>
                <w:color w:val="000000"/>
                <w:sz w:val="18"/>
                <w:szCs w:val="18"/>
              </w:rPr>
              <w:t>(Gain) loss on sale of business</w:t>
            </w:r>
          </w:p>
        </w:tc>
        <w:tc>
          <w:tcPr>
            <w:tcW w:w="0" w:type="auto"/>
            <w:gridSpan w:val="2"/>
            <w:shd w:val="clear" w:color="auto" w:fill="DBDBDB"/>
            <w:tcMar>
              <w:top w:w="40" w:type="dxa"/>
              <w:left w:w="20" w:type="dxa"/>
              <w:bottom w:w="40" w:type="dxa"/>
              <w:right w:w="0" w:type="dxa"/>
            </w:tcMar>
            <w:vAlign w:val="bottom"/>
          </w:tcPr>
          <w:p w14:paraId="22CFB4C5"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B4C6"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4C7"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4C8"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B4C9"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4CA"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4CB" w14:textId="77777777" w:rsidR="002661BA" w:rsidRDefault="00D972BC">
            <w:pPr>
              <w:jc w:val="right"/>
              <w:textAlignment w:val="bottom"/>
            </w:pPr>
            <w:r>
              <w:rPr>
                <w:rFonts w:ascii="Arial" w:eastAsia="宋体" w:hAnsi="Arial" w:cs="Arial"/>
                <w:color w:val="000000"/>
                <w:sz w:val="18"/>
                <w:szCs w:val="18"/>
              </w:rPr>
              <w:t>52 </w:t>
            </w:r>
          </w:p>
        </w:tc>
        <w:tc>
          <w:tcPr>
            <w:tcW w:w="0" w:type="auto"/>
            <w:shd w:val="clear" w:color="auto" w:fill="DBDBDB"/>
            <w:tcMar>
              <w:top w:w="40" w:type="dxa"/>
              <w:left w:w="0" w:type="dxa"/>
              <w:bottom w:w="40" w:type="dxa"/>
              <w:right w:w="20" w:type="dxa"/>
            </w:tcMar>
            <w:vAlign w:val="bottom"/>
          </w:tcPr>
          <w:p w14:paraId="22CFB4CC" w14:textId="77777777" w:rsidR="002661BA" w:rsidRDefault="002661BA">
            <w:pPr>
              <w:jc w:val="right"/>
              <w:rPr>
                <w:rFonts w:ascii="宋体"/>
              </w:rPr>
            </w:pPr>
          </w:p>
        </w:tc>
      </w:tr>
      <w:tr w:rsidR="002661BA" w14:paraId="22CFB4D7" w14:textId="77777777">
        <w:trPr>
          <w:jc w:val="center"/>
        </w:trPr>
        <w:tc>
          <w:tcPr>
            <w:tcW w:w="0" w:type="auto"/>
            <w:gridSpan w:val="3"/>
            <w:shd w:val="clear" w:color="auto" w:fill="FFFFFF"/>
            <w:tcMar>
              <w:top w:w="40" w:type="dxa"/>
              <w:left w:w="515" w:type="dxa"/>
              <w:bottom w:w="40" w:type="dxa"/>
              <w:right w:w="20" w:type="dxa"/>
            </w:tcMar>
            <w:vAlign w:val="bottom"/>
          </w:tcPr>
          <w:p w14:paraId="22CFB4CE" w14:textId="77777777" w:rsidR="002661BA" w:rsidRDefault="00D972BC">
            <w:pPr>
              <w:textAlignment w:val="bottom"/>
            </w:pPr>
            <w:r>
              <w:rPr>
                <w:rFonts w:ascii="Arial" w:eastAsia="宋体" w:hAnsi="Arial" w:cs="Arial"/>
                <w:color w:val="000000"/>
                <w:sz w:val="18"/>
                <w:szCs w:val="18"/>
              </w:rPr>
              <w:t>Deferred income taxes</w:t>
            </w:r>
          </w:p>
        </w:tc>
        <w:tc>
          <w:tcPr>
            <w:tcW w:w="0" w:type="auto"/>
            <w:gridSpan w:val="2"/>
            <w:shd w:val="clear" w:color="auto" w:fill="FFFFFF"/>
            <w:tcMar>
              <w:top w:w="40" w:type="dxa"/>
              <w:left w:w="20" w:type="dxa"/>
              <w:bottom w:w="40" w:type="dxa"/>
              <w:right w:w="0" w:type="dxa"/>
            </w:tcMar>
            <w:vAlign w:val="bottom"/>
          </w:tcPr>
          <w:p w14:paraId="22CFB4CF" w14:textId="77777777" w:rsidR="002661BA" w:rsidRDefault="00D972BC">
            <w:pPr>
              <w:jc w:val="right"/>
              <w:textAlignment w:val="bottom"/>
            </w:pPr>
            <w:r>
              <w:rPr>
                <w:rFonts w:ascii="Arial" w:eastAsia="宋体" w:hAnsi="Arial" w:cs="Arial"/>
                <w:color w:val="000000"/>
                <w:sz w:val="18"/>
                <w:szCs w:val="18"/>
              </w:rPr>
              <w:t>(680)</w:t>
            </w:r>
          </w:p>
        </w:tc>
        <w:tc>
          <w:tcPr>
            <w:tcW w:w="0" w:type="auto"/>
            <w:shd w:val="clear" w:color="auto" w:fill="FFFFFF"/>
            <w:tcMar>
              <w:top w:w="40" w:type="dxa"/>
              <w:left w:w="0" w:type="dxa"/>
              <w:bottom w:w="40" w:type="dxa"/>
              <w:right w:w="20" w:type="dxa"/>
            </w:tcMar>
            <w:vAlign w:val="bottom"/>
          </w:tcPr>
          <w:p w14:paraId="22CFB4D0"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4D1"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4D2" w14:textId="77777777" w:rsidR="002661BA" w:rsidRDefault="00D972BC">
            <w:pPr>
              <w:jc w:val="right"/>
              <w:textAlignment w:val="bottom"/>
            </w:pPr>
            <w:r>
              <w:rPr>
                <w:rFonts w:ascii="Arial" w:eastAsia="宋体" w:hAnsi="Arial" w:cs="Arial"/>
                <w:color w:val="000000"/>
                <w:sz w:val="18"/>
                <w:szCs w:val="18"/>
              </w:rPr>
              <w:t>414 </w:t>
            </w:r>
          </w:p>
        </w:tc>
        <w:tc>
          <w:tcPr>
            <w:tcW w:w="0" w:type="auto"/>
            <w:shd w:val="clear" w:color="auto" w:fill="FFFFFF"/>
            <w:tcMar>
              <w:top w:w="40" w:type="dxa"/>
              <w:left w:w="0" w:type="dxa"/>
              <w:bottom w:w="40" w:type="dxa"/>
              <w:right w:w="20" w:type="dxa"/>
            </w:tcMar>
            <w:vAlign w:val="bottom"/>
          </w:tcPr>
          <w:p w14:paraId="22CFB4D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4D4"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4D5" w14:textId="77777777" w:rsidR="002661BA" w:rsidRDefault="00D972BC">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22CFB4D6" w14:textId="77777777" w:rsidR="002661BA" w:rsidRDefault="002661BA">
            <w:pPr>
              <w:jc w:val="right"/>
              <w:rPr>
                <w:rFonts w:ascii="宋体"/>
              </w:rPr>
            </w:pPr>
          </w:p>
        </w:tc>
      </w:tr>
      <w:tr w:rsidR="002661BA" w14:paraId="22CFB4E1" w14:textId="77777777">
        <w:trPr>
          <w:jc w:val="center"/>
        </w:trPr>
        <w:tc>
          <w:tcPr>
            <w:tcW w:w="0" w:type="auto"/>
            <w:gridSpan w:val="3"/>
            <w:shd w:val="clear" w:color="auto" w:fill="DBDBDB"/>
            <w:tcMar>
              <w:top w:w="40" w:type="dxa"/>
              <w:left w:w="515" w:type="dxa"/>
              <w:bottom w:w="40" w:type="dxa"/>
              <w:right w:w="20" w:type="dxa"/>
            </w:tcMar>
            <w:vAlign w:val="bottom"/>
          </w:tcPr>
          <w:p w14:paraId="22CFB4D8" w14:textId="77777777" w:rsidR="002661BA" w:rsidRDefault="00D972BC">
            <w:pPr>
              <w:textAlignment w:val="bottom"/>
            </w:pPr>
            <w:r>
              <w:rPr>
                <w:rFonts w:ascii="Arial" w:eastAsia="宋体" w:hAnsi="Arial" w:cs="Arial"/>
                <w:color w:val="000000"/>
                <w:sz w:val="18"/>
                <w:szCs w:val="18"/>
              </w:rPr>
              <w:t>Change in fair value of warrant</w:t>
            </w:r>
          </w:p>
        </w:tc>
        <w:tc>
          <w:tcPr>
            <w:tcW w:w="0" w:type="auto"/>
            <w:gridSpan w:val="2"/>
            <w:shd w:val="clear" w:color="auto" w:fill="DBDBDB"/>
            <w:tcMar>
              <w:top w:w="40" w:type="dxa"/>
              <w:left w:w="20" w:type="dxa"/>
              <w:bottom w:w="40" w:type="dxa"/>
              <w:right w:w="0" w:type="dxa"/>
            </w:tcMar>
            <w:vAlign w:val="bottom"/>
          </w:tcPr>
          <w:p w14:paraId="22CFB4D9" w14:textId="77777777" w:rsidR="002661BA" w:rsidRDefault="00D972BC">
            <w:pPr>
              <w:jc w:val="right"/>
              <w:textAlignment w:val="bottom"/>
            </w:pPr>
            <w:r>
              <w:rPr>
                <w:rFonts w:ascii="Arial" w:eastAsia="宋体" w:hAnsi="Arial" w:cs="Arial"/>
                <w:color w:val="000000"/>
                <w:sz w:val="18"/>
                <w:szCs w:val="18"/>
              </w:rPr>
              <w:t>(357)</w:t>
            </w:r>
          </w:p>
        </w:tc>
        <w:tc>
          <w:tcPr>
            <w:tcW w:w="0" w:type="auto"/>
            <w:shd w:val="clear" w:color="auto" w:fill="DBDBDB"/>
            <w:tcMar>
              <w:top w:w="40" w:type="dxa"/>
              <w:left w:w="0" w:type="dxa"/>
              <w:bottom w:w="40" w:type="dxa"/>
              <w:right w:w="20" w:type="dxa"/>
            </w:tcMar>
            <w:vAlign w:val="bottom"/>
          </w:tcPr>
          <w:p w14:paraId="22CFB4DA"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4DB"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4DC" w14:textId="77777777" w:rsidR="002661BA" w:rsidRDefault="00D972BC">
            <w:pPr>
              <w:jc w:val="right"/>
              <w:textAlignment w:val="bottom"/>
            </w:pPr>
            <w:r>
              <w:rPr>
                <w:rFonts w:ascii="Arial" w:eastAsia="宋体" w:hAnsi="Arial" w:cs="Arial"/>
                <w:color w:val="000000"/>
                <w:sz w:val="18"/>
                <w:szCs w:val="18"/>
              </w:rPr>
              <w:t>(770)</w:t>
            </w:r>
          </w:p>
        </w:tc>
        <w:tc>
          <w:tcPr>
            <w:tcW w:w="0" w:type="auto"/>
            <w:shd w:val="clear" w:color="auto" w:fill="DBDBDB"/>
            <w:tcMar>
              <w:top w:w="40" w:type="dxa"/>
              <w:left w:w="0" w:type="dxa"/>
              <w:bottom w:w="40" w:type="dxa"/>
              <w:right w:w="20" w:type="dxa"/>
            </w:tcMar>
            <w:vAlign w:val="bottom"/>
          </w:tcPr>
          <w:p w14:paraId="22CFB4DD"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4DE"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4DF" w14:textId="77777777" w:rsidR="002661BA" w:rsidRDefault="00D972BC">
            <w:pPr>
              <w:jc w:val="right"/>
              <w:textAlignment w:val="bottom"/>
            </w:pPr>
            <w:r>
              <w:rPr>
                <w:rFonts w:ascii="Arial" w:eastAsia="宋体" w:hAnsi="Arial" w:cs="Arial"/>
                <w:color w:val="000000"/>
                <w:sz w:val="18"/>
                <w:szCs w:val="18"/>
              </w:rPr>
              <w:t>(133)</w:t>
            </w:r>
          </w:p>
        </w:tc>
        <w:tc>
          <w:tcPr>
            <w:tcW w:w="0" w:type="auto"/>
            <w:shd w:val="clear" w:color="auto" w:fill="DBDBDB"/>
            <w:tcMar>
              <w:top w:w="40" w:type="dxa"/>
              <w:left w:w="0" w:type="dxa"/>
              <w:bottom w:w="40" w:type="dxa"/>
              <w:right w:w="20" w:type="dxa"/>
            </w:tcMar>
            <w:vAlign w:val="bottom"/>
          </w:tcPr>
          <w:p w14:paraId="22CFB4E0" w14:textId="77777777" w:rsidR="002661BA" w:rsidRDefault="002661BA">
            <w:pPr>
              <w:jc w:val="right"/>
              <w:rPr>
                <w:rFonts w:ascii="宋体"/>
              </w:rPr>
            </w:pPr>
          </w:p>
        </w:tc>
      </w:tr>
      <w:tr w:rsidR="002661BA" w14:paraId="22CFB4E8" w14:textId="77777777">
        <w:trPr>
          <w:jc w:val="center"/>
          <w:hidden/>
        </w:trPr>
        <w:tc>
          <w:tcPr>
            <w:tcW w:w="0" w:type="auto"/>
            <w:gridSpan w:val="3"/>
            <w:shd w:val="clear" w:color="auto" w:fill="auto"/>
            <w:vAlign w:val="bottom"/>
          </w:tcPr>
          <w:p w14:paraId="22CFB4E2" w14:textId="77777777" w:rsidR="002661BA" w:rsidRDefault="002661BA">
            <w:pPr>
              <w:rPr>
                <w:rFonts w:ascii="宋体"/>
                <w:vanish/>
              </w:rPr>
            </w:pPr>
          </w:p>
        </w:tc>
        <w:tc>
          <w:tcPr>
            <w:tcW w:w="0" w:type="auto"/>
            <w:gridSpan w:val="3"/>
            <w:shd w:val="clear" w:color="auto" w:fill="auto"/>
            <w:vAlign w:val="bottom"/>
          </w:tcPr>
          <w:p w14:paraId="22CFB4E3" w14:textId="77777777" w:rsidR="002661BA" w:rsidRDefault="002661BA">
            <w:pPr>
              <w:rPr>
                <w:rFonts w:ascii="宋体"/>
                <w:vanish/>
              </w:rPr>
            </w:pPr>
          </w:p>
        </w:tc>
        <w:tc>
          <w:tcPr>
            <w:tcW w:w="0" w:type="auto"/>
            <w:gridSpan w:val="3"/>
            <w:shd w:val="clear" w:color="auto" w:fill="auto"/>
            <w:vAlign w:val="bottom"/>
          </w:tcPr>
          <w:p w14:paraId="22CFB4E4" w14:textId="77777777" w:rsidR="002661BA" w:rsidRDefault="002661BA">
            <w:pPr>
              <w:rPr>
                <w:rFonts w:ascii="宋体"/>
                <w:vanish/>
              </w:rPr>
            </w:pPr>
          </w:p>
        </w:tc>
        <w:tc>
          <w:tcPr>
            <w:tcW w:w="0" w:type="auto"/>
            <w:gridSpan w:val="3"/>
            <w:shd w:val="clear" w:color="auto" w:fill="auto"/>
            <w:vAlign w:val="bottom"/>
          </w:tcPr>
          <w:p w14:paraId="22CFB4E5" w14:textId="77777777" w:rsidR="002661BA" w:rsidRDefault="002661BA">
            <w:pPr>
              <w:rPr>
                <w:rFonts w:ascii="宋体"/>
                <w:vanish/>
              </w:rPr>
            </w:pPr>
          </w:p>
        </w:tc>
        <w:tc>
          <w:tcPr>
            <w:tcW w:w="0" w:type="auto"/>
            <w:gridSpan w:val="3"/>
            <w:shd w:val="clear" w:color="auto" w:fill="auto"/>
            <w:vAlign w:val="bottom"/>
          </w:tcPr>
          <w:p w14:paraId="22CFB4E6" w14:textId="77777777" w:rsidR="002661BA" w:rsidRDefault="002661BA">
            <w:pPr>
              <w:rPr>
                <w:rFonts w:ascii="宋体"/>
                <w:vanish/>
              </w:rPr>
            </w:pPr>
          </w:p>
        </w:tc>
        <w:tc>
          <w:tcPr>
            <w:tcW w:w="0" w:type="auto"/>
            <w:gridSpan w:val="3"/>
            <w:shd w:val="clear" w:color="auto" w:fill="auto"/>
            <w:vAlign w:val="bottom"/>
          </w:tcPr>
          <w:p w14:paraId="22CFB4E7" w14:textId="77777777" w:rsidR="002661BA" w:rsidRDefault="002661BA">
            <w:pPr>
              <w:rPr>
                <w:rFonts w:ascii="宋体"/>
                <w:vanish/>
              </w:rPr>
            </w:pPr>
          </w:p>
        </w:tc>
      </w:tr>
      <w:tr w:rsidR="002661BA" w14:paraId="22CFB4F2" w14:textId="77777777">
        <w:trPr>
          <w:jc w:val="center"/>
        </w:trPr>
        <w:tc>
          <w:tcPr>
            <w:tcW w:w="0" w:type="auto"/>
            <w:gridSpan w:val="3"/>
            <w:shd w:val="clear" w:color="auto" w:fill="FFFFFF"/>
            <w:tcMar>
              <w:top w:w="40" w:type="dxa"/>
              <w:left w:w="515" w:type="dxa"/>
              <w:bottom w:w="40" w:type="dxa"/>
              <w:right w:w="20" w:type="dxa"/>
            </w:tcMar>
            <w:vAlign w:val="bottom"/>
          </w:tcPr>
          <w:p w14:paraId="22CFB4E9" w14:textId="77777777" w:rsidR="002661BA" w:rsidRDefault="00D972BC">
            <w:pPr>
              <w:textAlignment w:val="bottom"/>
            </w:pPr>
            <w:r>
              <w:rPr>
                <w:rFonts w:ascii="Arial" w:eastAsia="宋体" w:hAnsi="Arial" w:cs="Arial"/>
                <w:color w:val="000000"/>
                <w:sz w:val="18"/>
                <w:szCs w:val="18"/>
              </w:rPr>
              <w:t>Change in fair value of equity investment in Adevinta</w:t>
            </w:r>
          </w:p>
        </w:tc>
        <w:tc>
          <w:tcPr>
            <w:tcW w:w="0" w:type="auto"/>
            <w:gridSpan w:val="2"/>
            <w:shd w:val="clear" w:color="auto" w:fill="FFFFFF"/>
            <w:tcMar>
              <w:top w:w="40" w:type="dxa"/>
              <w:left w:w="20" w:type="dxa"/>
              <w:bottom w:w="40" w:type="dxa"/>
              <w:right w:w="0" w:type="dxa"/>
            </w:tcMar>
            <w:vAlign w:val="bottom"/>
          </w:tcPr>
          <w:p w14:paraId="22CFB4EA" w14:textId="77777777" w:rsidR="002661BA" w:rsidRDefault="00D972BC">
            <w:pPr>
              <w:jc w:val="right"/>
              <w:textAlignment w:val="bottom"/>
            </w:pPr>
            <w:r>
              <w:rPr>
                <w:rFonts w:ascii="Arial" w:eastAsia="宋体" w:hAnsi="Arial" w:cs="Arial"/>
                <w:color w:val="000000"/>
                <w:sz w:val="18"/>
                <w:szCs w:val="18"/>
              </w:rPr>
              <w:t>3,070 </w:t>
            </w:r>
          </w:p>
        </w:tc>
        <w:tc>
          <w:tcPr>
            <w:tcW w:w="0" w:type="auto"/>
            <w:shd w:val="clear" w:color="auto" w:fill="FFFFFF"/>
            <w:tcMar>
              <w:top w:w="40" w:type="dxa"/>
              <w:left w:w="0" w:type="dxa"/>
              <w:bottom w:w="40" w:type="dxa"/>
              <w:right w:w="20" w:type="dxa"/>
            </w:tcMar>
            <w:vAlign w:val="bottom"/>
          </w:tcPr>
          <w:p w14:paraId="22CFB4E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4E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4ED"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4E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4EF"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4F0"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4F1" w14:textId="77777777" w:rsidR="002661BA" w:rsidRDefault="002661BA">
            <w:pPr>
              <w:jc w:val="right"/>
              <w:rPr>
                <w:rFonts w:ascii="宋体"/>
              </w:rPr>
            </w:pPr>
          </w:p>
        </w:tc>
      </w:tr>
      <w:tr w:rsidR="002661BA" w14:paraId="22CFB4FC" w14:textId="77777777">
        <w:trPr>
          <w:jc w:val="center"/>
        </w:trPr>
        <w:tc>
          <w:tcPr>
            <w:tcW w:w="0" w:type="auto"/>
            <w:gridSpan w:val="3"/>
            <w:shd w:val="clear" w:color="auto" w:fill="DBDBDB"/>
            <w:tcMar>
              <w:top w:w="40" w:type="dxa"/>
              <w:left w:w="515" w:type="dxa"/>
              <w:bottom w:w="40" w:type="dxa"/>
              <w:right w:w="20" w:type="dxa"/>
            </w:tcMar>
            <w:vAlign w:val="bottom"/>
          </w:tcPr>
          <w:p w14:paraId="22CFB4F3" w14:textId="77777777" w:rsidR="002661BA" w:rsidRDefault="00D972BC">
            <w:pPr>
              <w:textAlignment w:val="bottom"/>
            </w:pPr>
            <w:r>
              <w:rPr>
                <w:rFonts w:ascii="Arial" w:eastAsia="宋体" w:hAnsi="Arial" w:cs="Arial"/>
                <w:color w:val="000000"/>
                <w:sz w:val="18"/>
                <w:szCs w:val="18"/>
              </w:rPr>
              <w:t>Gain on equity investment in KakaoBank</w:t>
            </w:r>
          </w:p>
        </w:tc>
        <w:tc>
          <w:tcPr>
            <w:tcW w:w="0" w:type="auto"/>
            <w:gridSpan w:val="2"/>
            <w:shd w:val="clear" w:color="auto" w:fill="DBDBDB"/>
            <w:tcMar>
              <w:top w:w="40" w:type="dxa"/>
              <w:left w:w="20" w:type="dxa"/>
              <w:bottom w:w="40" w:type="dxa"/>
              <w:right w:w="0" w:type="dxa"/>
            </w:tcMar>
            <w:vAlign w:val="bottom"/>
          </w:tcPr>
          <w:p w14:paraId="22CFB4F4" w14:textId="77777777" w:rsidR="002661BA" w:rsidRDefault="00D972BC">
            <w:pPr>
              <w:jc w:val="right"/>
              <w:textAlignment w:val="bottom"/>
            </w:pPr>
            <w:r>
              <w:rPr>
                <w:rFonts w:ascii="Arial" w:eastAsia="宋体" w:hAnsi="Arial" w:cs="Arial"/>
                <w:color w:val="000000"/>
                <w:sz w:val="18"/>
                <w:szCs w:val="18"/>
              </w:rPr>
              <w:t>(486)</w:t>
            </w:r>
          </w:p>
        </w:tc>
        <w:tc>
          <w:tcPr>
            <w:tcW w:w="0" w:type="auto"/>
            <w:shd w:val="clear" w:color="auto" w:fill="DBDBDB"/>
            <w:tcMar>
              <w:top w:w="40" w:type="dxa"/>
              <w:left w:w="0" w:type="dxa"/>
              <w:bottom w:w="40" w:type="dxa"/>
              <w:right w:w="20" w:type="dxa"/>
            </w:tcMar>
            <w:vAlign w:val="bottom"/>
          </w:tcPr>
          <w:p w14:paraId="22CFB4F5"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4F6"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4F7" w14:textId="77777777" w:rsidR="002661BA" w:rsidRDefault="00D972BC">
            <w:pPr>
              <w:jc w:val="right"/>
              <w:textAlignment w:val="bottom"/>
            </w:pPr>
            <w:r>
              <w:rPr>
                <w:rFonts w:ascii="Arial" w:eastAsia="宋体" w:hAnsi="Arial" w:cs="Arial"/>
                <w:color w:val="000000"/>
                <w:sz w:val="18"/>
                <w:szCs w:val="18"/>
              </w:rPr>
              <w:t>(239)</w:t>
            </w:r>
          </w:p>
        </w:tc>
        <w:tc>
          <w:tcPr>
            <w:tcW w:w="0" w:type="auto"/>
            <w:shd w:val="clear" w:color="auto" w:fill="DBDBDB"/>
            <w:tcMar>
              <w:top w:w="40" w:type="dxa"/>
              <w:left w:w="0" w:type="dxa"/>
              <w:bottom w:w="40" w:type="dxa"/>
              <w:right w:w="20" w:type="dxa"/>
            </w:tcMar>
            <w:vAlign w:val="bottom"/>
          </w:tcPr>
          <w:p w14:paraId="22CFB4F8"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4F9"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4FA"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B4FB" w14:textId="77777777" w:rsidR="002661BA" w:rsidRDefault="002661BA">
            <w:pPr>
              <w:jc w:val="right"/>
              <w:rPr>
                <w:rFonts w:ascii="宋体"/>
              </w:rPr>
            </w:pPr>
          </w:p>
        </w:tc>
      </w:tr>
      <w:tr w:rsidR="002661BA" w14:paraId="22CFB506" w14:textId="77777777">
        <w:trPr>
          <w:jc w:val="center"/>
        </w:trPr>
        <w:tc>
          <w:tcPr>
            <w:tcW w:w="0" w:type="auto"/>
            <w:gridSpan w:val="3"/>
            <w:shd w:val="clear" w:color="auto" w:fill="FFFFFF"/>
            <w:tcMar>
              <w:top w:w="40" w:type="dxa"/>
              <w:left w:w="515" w:type="dxa"/>
              <w:bottom w:w="40" w:type="dxa"/>
              <w:right w:w="20" w:type="dxa"/>
            </w:tcMar>
            <w:vAlign w:val="bottom"/>
          </w:tcPr>
          <w:p w14:paraId="22CFB4FD" w14:textId="77777777" w:rsidR="002661BA" w:rsidRDefault="00D972BC">
            <w:pPr>
              <w:textAlignment w:val="bottom"/>
            </w:pPr>
            <w:r>
              <w:rPr>
                <w:rFonts w:ascii="Arial" w:eastAsia="宋体" w:hAnsi="Arial" w:cs="Arial"/>
                <w:color w:val="000000"/>
                <w:sz w:val="18"/>
                <w:szCs w:val="18"/>
              </w:rPr>
              <w:t>Loss on impairment of equity investment in Paytm Mall</w:t>
            </w:r>
          </w:p>
        </w:tc>
        <w:tc>
          <w:tcPr>
            <w:tcW w:w="0" w:type="auto"/>
            <w:gridSpan w:val="2"/>
            <w:shd w:val="clear" w:color="auto" w:fill="FFFFFF"/>
            <w:tcMar>
              <w:top w:w="40" w:type="dxa"/>
              <w:left w:w="20" w:type="dxa"/>
              <w:bottom w:w="40" w:type="dxa"/>
              <w:right w:w="0" w:type="dxa"/>
            </w:tcMar>
            <w:vAlign w:val="bottom"/>
          </w:tcPr>
          <w:p w14:paraId="22CFB4FE" w14:textId="77777777" w:rsidR="002661BA" w:rsidRDefault="00D972BC">
            <w:pPr>
              <w:jc w:val="right"/>
              <w:textAlignment w:val="bottom"/>
            </w:pPr>
            <w:r>
              <w:rPr>
                <w:rFonts w:ascii="Arial" w:eastAsia="宋体" w:hAnsi="Arial" w:cs="Arial"/>
                <w:color w:val="000000"/>
                <w:sz w:val="18"/>
                <w:szCs w:val="18"/>
              </w:rPr>
              <w:t>160 </w:t>
            </w:r>
          </w:p>
        </w:tc>
        <w:tc>
          <w:tcPr>
            <w:tcW w:w="0" w:type="auto"/>
            <w:shd w:val="clear" w:color="auto" w:fill="FFFFFF"/>
            <w:tcMar>
              <w:top w:w="40" w:type="dxa"/>
              <w:left w:w="0" w:type="dxa"/>
              <w:bottom w:w="40" w:type="dxa"/>
              <w:right w:w="20" w:type="dxa"/>
            </w:tcMar>
            <w:vAlign w:val="bottom"/>
          </w:tcPr>
          <w:p w14:paraId="22CFB4F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0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501"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50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03"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504"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505" w14:textId="77777777" w:rsidR="002661BA" w:rsidRDefault="002661BA">
            <w:pPr>
              <w:jc w:val="right"/>
              <w:rPr>
                <w:rFonts w:ascii="宋体"/>
              </w:rPr>
            </w:pPr>
          </w:p>
        </w:tc>
      </w:tr>
      <w:tr w:rsidR="002661BA" w14:paraId="22CFB510" w14:textId="77777777">
        <w:trPr>
          <w:jc w:val="center"/>
        </w:trPr>
        <w:tc>
          <w:tcPr>
            <w:tcW w:w="0" w:type="auto"/>
            <w:gridSpan w:val="3"/>
            <w:shd w:val="clear" w:color="auto" w:fill="DBDBDB"/>
            <w:tcMar>
              <w:top w:w="40" w:type="dxa"/>
              <w:left w:w="515" w:type="dxa"/>
              <w:bottom w:w="40" w:type="dxa"/>
              <w:right w:w="20" w:type="dxa"/>
            </w:tcMar>
            <w:vAlign w:val="bottom"/>
          </w:tcPr>
          <w:p w14:paraId="22CFB507" w14:textId="77777777" w:rsidR="002661BA" w:rsidRDefault="00D972BC">
            <w:pPr>
              <w:textAlignment w:val="bottom"/>
            </w:pPr>
            <w:r>
              <w:rPr>
                <w:rFonts w:ascii="Arial" w:eastAsia="宋体" w:hAnsi="Arial" w:cs="Arial"/>
                <w:color w:val="000000"/>
                <w:sz w:val="18"/>
                <w:szCs w:val="18"/>
              </w:rPr>
              <w:t>(Gain) loss on extinguishment of debt</w:t>
            </w:r>
          </w:p>
        </w:tc>
        <w:tc>
          <w:tcPr>
            <w:tcW w:w="0" w:type="auto"/>
            <w:gridSpan w:val="2"/>
            <w:shd w:val="clear" w:color="auto" w:fill="DBDBDB"/>
            <w:tcMar>
              <w:top w:w="40" w:type="dxa"/>
              <w:left w:w="20" w:type="dxa"/>
              <w:bottom w:w="40" w:type="dxa"/>
              <w:right w:w="0" w:type="dxa"/>
            </w:tcMar>
            <w:vAlign w:val="bottom"/>
          </w:tcPr>
          <w:p w14:paraId="22CFB508" w14:textId="77777777" w:rsidR="002661BA" w:rsidRDefault="00D972BC">
            <w:pPr>
              <w:jc w:val="right"/>
              <w:textAlignment w:val="bottom"/>
            </w:pPr>
            <w:r>
              <w:rPr>
                <w:rFonts w:ascii="Arial" w:eastAsia="宋体" w:hAnsi="Arial" w:cs="Arial"/>
                <w:color w:val="000000"/>
                <w:sz w:val="18"/>
                <w:szCs w:val="18"/>
              </w:rPr>
              <w:t>10 </w:t>
            </w:r>
          </w:p>
        </w:tc>
        <w:tc>
          <w:tcPr>
            <w:tcW w:w="0" w:type="auto"/>
            <w:shd w:val="clear" w:color="auto" w:fill="DBDBDB"/>
            <w:tcMar>
              <w:top w:w="40" w:type="dxa"/>
              <w:left w:w="0" w:type="dxa"/>
              <w:bottom w:w="40" w:type="dxa"/>
              <w:right w:w="20" w:type="dxa"/>
            </w:tcMar>
            <w:vAlign w:val="bottom"/>
          </w:tcPr>
          <w:p w14:paraId="22CFB509"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0A"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50B"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B50C"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0D"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50E"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B50F" w14:textId="77777777" w:rsidR="002661BA" w:rsidRDefault="002661BA">
            <w:pPr>
              <w:jc w:val="right"/>
              <w:rPr>
                <w:rFonts w:ascii="宋体"/>
              </w:rPr>
            </w:pPr>
          </w:p>
        </w:tc>
      </w:tr>
      <w:tr w:rsidR="002661BA" w14:paraId="22CFB517" w14:textId="77777777">
        <w:trPr>
          <w:jc w:val="center"/>
          <w:hidden/>
        </w:trPr>
        <w:tc>
          <w:tcPr>
            <w:tcW w:w="0" w:type="auto"/>
            <w:gridSpan w:val="3"/>
            <w:shd w:val="clear" w:color="auto" w:fill="auto"/>
            <w:vAlign w:val="bottom"/>
          </w:tcPr>
          <w:p w14:paraId="22CFB511" w14:textId="77777777" w:rsidR="002661BA" w:rsidRDefault="002661BA">
            <w:pPr>
              <w:rPr>
                <w:rFonts w:ascii="宋体"/>
                <w:vanish/>
              </w:rPr>
            </w:pPr>
          </w:p>
        </w:tc>
        <w:tc>
          <w:tcPr>
            <w:tcW w:w="0" w:type="auto"/>
            <w:gridSpan w:val="3"/>
            <w:shd w:val="clear" w:color="auto" w:fill="auto"/>
            <w:vAlign w:val="bottom"/>
          </w:tcPr>
          <w:p w14:paraId="22CFB512" w14:textId="77777777" w:rsidR="002661BA" w:rsidRDefault="002661BA">
            <w:pPr>
              <w:rPr>
                <w:rFonts w:ascii="宋体"/>
                <w:vanish/>
              </w:rPr>
            </w:pPr>
          </w:p>
        </w:tc>
        <w:tc>
          <w:tcPr>
            <w:tcW w:w="0" w:type="auto"/>
            <w:gridSpan w:val="3"/>
            <w:shd w:val="clear" w:color="auto" w:fill="auto"/>
            <w:vAlign w:val="bottom"/>
          </w:tcPr>
          <w:p w14:paraId="22CFB513" w14:textId="77777777" w:rsidR="002661BA" w:rsidRDefault="002661BA">
            <w:pPr>
              <w:rPr>
                <w:rFonts w:ascii="宋体"/>
                <w:vanish/>
              </w:rPr>
            </w:pPr>
          </w:p>
        </w:tc>
        <w:tc>
          <w:tcPr>
            <w:tcW w:w="0" w:type="auto"/>
            <w:gridSpan w:val="3"/>
            <w:shd w:val="clear" w:color="auto" w:fill="auto"/>
            <w:vAlign w:val="bottom"/>
          </w:tcPr>
          <w:p w14:paraId="22CFB514" w14:textId="77777777" w:rsidR="002661BA" w:rsidRDefault="002661BA">
            <w:pPr>
              <w:rPr>
                <w:rFonts w:ascii="宋体"/>
                <w:vanish/>
              </w:rPr>
            </w:pPr>
          </w:p>
        </w:tc>
        <w:tc>
          <w:tcPr>
            <w:tcW w:w="0" w:type="auto"/>
            <w:gridSpan w:val="3"/>
            <w:shd w:val="clear" w:color="auto" w:fill="auto"/>
            <w:vAlign w:val="bottom"/>
          </w:tcPr>
          <w:p w14:paraId="22CFB515" w14:textId="77777777" w:rsidR="002661BA" w:rsidRDefault="002661BA">
            <w:pPr>
              <w:rPr>
                <w:rFonts w:ascii="宋体"/>
                <w:vanish/>
              </w:rPr>
            </w:pPr>
          </w:p>
        </w:tc>
        <w:tc>
          <w:tcPr>
            <w:tcW w:w="0" w:type="auto"/>
            <w:gridSpan w:val="3"/>
            <w:shd w:val="clear" w:color="auto" w:fill="auto"/>
            <w:vAlign w:val="bottom"/>
          </w:tcPr>
          <w:p w14:paraId="22CFB516" w14:textId="77777777" w:rsidR="002661BA" w:rsidRDefault="002661BA">
            <w:pPr>
              <w:rPr>
                <w:rFonts w:ascii="宋体"/>
                <w:vanish/>
              </w:rPr>
            </w:pPr>
          </w:p>
        </w:tc>
      </w:tr>
      <w:tr w:rsidR="002661BA" w14:paraId="22CFB51E" w14:textId="77777777">
        <w:trPr>
          <w:jc w:val="center"/>
        </w:trPr>
        <w:tc>
          <w:tcPr>
            <w:tcW w:w="0" w:type="auto"/>
            <w:gridSpan w:val="3"/>
            <w:shd w:val="clear" w:color="auto" w:fill="FFFFFF"/>
            <w:tcMar>
              <w:top w:w="40" w:type="dxa"/>
              <w:left w:w="515" w:type="dxa"/>
              <w:bottom w:w="40" w:type="dxa"/>
              <w:right w:w="20" w:type="dxa"/>
            </w:tcMar>
            <w:vAlign w:val="bottom"/>
          </w:tcPr>
          <w:p w14:paraId="22CFB518" w14:textId="77777777" w:rsidR="002661BA" w:rsidRDefault="00D972BC">
            <w:pPr>
              <w:textAlignment w:val="bottom"/>
            </w:pPr>
            <w:r>
              <w:rPr>
                <w:rFonts w:ascii="Arial" w:eastAsia="宋体" w:hAnsi="Arial" w:cs="Arial"/>
                <w:color w:val="000000"/>
                <w:sz w:val="18"/>
                <w:szCs w:val="18"/>
              </w:rPr>
              <w:t>Changes in assets and liabilities, net of acquisition effects</w:t>
            </w:r>
          </w:p>
        </w:tc>
        <w:tc>
          <w:tcPr>
            <w:tcW w:w="0" w:type="auto"/>
            <w:gridSpan w:val="3"/>
            <w:shd w:val="clear" w:color="auto" w:fill="FFFFFF"/>
            <w:tcMar>
              <w:top w:w="0" w:type="dxa"/>
              <w:left w:w="20" w:type="dxa"/>
              <w:bottom w:w="0" w:type="dxa"/>
              <w:right w:w="20" w:type="dxa"/>
            </w:tcMar>
            <w:vAlign w:val="bottom"/>
          </w:tcPr>
          <w:p w14:paraId="22CFB519"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51A"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51B"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51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51D" w14:textId="77777777" w:rsidR="002661BA" w:rsidRDefault="002661BA">
            <w:pPr>
              <w:rPr>
                <w:rFonts w:ascii="宋体"/>
              </w:rPr>
            </w:pPr>
          </w:p>
        </w:tc>
      </w:tr>
      <w:tr w:rsidR="002661BA" w14:paraId="22CFB528" w14:textId="77777777">
        <w:trPr>
          <w:jc w:val="center"/>
        </w:trPr>
        <w:tc>
          <w:tcPr>
            <w:tcW w:w="0" w:type="auto"/>
            <w:gridSpan w:val="3"/>
            <w:shd w:val="clear" w:color="auto" w:fill="DBDBDB"/>
            <w:tcMar>
              <w:top w:w="40" w:type="dxa"/>
              <w:left w:w="740" w:type="dxa"/>
              <w:bottom w:w="40" w:type="dxa"/>
              <w:right w:w="20" w:type="dxa"/>
            </w:tcMar>
            <w:vAlign w:val="bottom"/>
          </w:tcPr>
          <w:p w14:paraId="22CFB51F" w14:textId="77777777" w:rsidR="002661BA" w:rsidRDefault="00D972BC">
            <w:pPr>
              <w:textAlignment w:val="bottom"/>
            </w:pPr>
            <w:r>
              <w:rPr>
                <w:rFonts w:ascii="Arial" w:eastAsia="宋体" w:hAnsi="Arial" w:cs="Arial"/>
                <w:color w:val="000000"/>
                <w:sz w:val="18"/>
                <w:szCs w:val="18"/>
              </w:rPr>
              <w:t>Accounts receivable</w:t>
            </w:r>
          </w:p>
        </w:tc>
        <w:tc>
          <w:tcPr>
            <w:tcW w:w="0" w:type="auto"/>
            <w:gridSpan w:val="2"/>
            <w:shd w:val="clear" w:color="auto" w:fill="DBDBDB"/>
            <w:tcMar>
              <w:top w:w="40" w:type="dxa"/>
              <w:left w:w="20" w:type="dxa"/>
              <w:bottom w:w="40" w:type="dxa"/>
              <w:right w:w="0" w:type="dxa"/>
            </w:tcMar>
            <w:vAlign w:val="bottom"/>
          </w:tcPr>
          <w:p w14:paraId="22CFB520" w14:textId="77777777" w:rsidR="002661BA" w:rsidRDefault="00D972BC">
            <w:pPr>
              <w:jc w:val="right"/>
              <w:textAlignment w:val="bottom"/>
            </w:pPr>
            <w:r>
              <w:rPr>
                <w:rFonts w:ascii="Arial" w:eastAsia="宋体" w:hAnsi="Arial" w:cs="Arial"/>
                <w:color w:val="000000"/>
                <w:sz w:val="18"/>
                <w:szCs w:val="18"/>
              </w:rPr>
              <w:t>195 </w:t>
            </w:r>
          </w:p>
        </w:tc>
        <w:tc>
          <w:tcPr>
            <w:tcW w:w="0" w:type="auto"/>
            <w:shd w:val="clear" w:color="auto" w:fill="DBDBDB"/>
            <w:tcMar>
              <w:top w:w="40" w:type="dxa"/>
              <w:left w:w="0" w:type="dxa"/>
              <w:bottom w:w="40" w:type="dxa"/>
              <w:right w:w="20" w:type="dxa"/>
            </w:tcMar>
            <w:vAlign w:val="bottom"/>
          </w:tcPr>
          <w:p w14:paraId="22CFB521"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22"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523" w14:textId="77777777" w:rsidR="002661BA" w:rsidRDefault="00D972BC">
            <w:pPr>
              <w:jc w:val="right"/>
              <w:textAlignment w:val="bottom"/>
            </w:pPr>
            <w:r>
              <w:rPr>
                <w:rFonts w:ascii="Arial" w:eastAsia="宋体" w:hAnsi="Arial" w:cs="Arial"/>
                <w:color w:val="000000"/>
                <w:sz w:val="18"/>
                <w:szCs w:val="18"/>
              </w:rPr>
              <w:t>31 </w:t>
            </w:r>
          </w:p>
        </w:tc>
        <w:tc>
          <w:tcPr>
            <w:tcW w:w="0" w:type="auto"/>
            <w:shd w:val="clear" w:color="auto" w:fill="DBDBDB"/>
            <w:tcMar>
              <w:top w:w="40" w:type="dxa"/>
              <w:left w:w="0" w:type="dxa"/>
              <w:bottom w:w="40" w:type="dxa"/>
              <w:right w:w="20" w:type="dxa"/>
            </w:tcMar>
            <w:vAlign w:val="bottom"/>
          </w:tcPr>
          <w:p w14:paraId="22CFB524"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25"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526" w14:textId="77777777" w:rsidR="002661BA" w:rsidRDefault="00D972BC">
            <w:pPr>
              <w:jc w:val="right"/>
              <w:textAlignment w:val="bottom"/>
            </w:pPr>
            <w:r>
              <w:rPr>
                <w:rFonts w:ascii="Arial" w:eastAsia="宋体" w:hAnsi="Arial" w:cs="Arial"/>
                <w:color w:val="000000"/>
                <w:sz w:val="18"/>
                <w:szCs w:val="18"/>
              </w:rPr>
              <w:t>(93)</w:t>
            </w:r>
          </w:p>
        </w:tc>
        <w:tc>
          <w:tcPr>
            <w:tcW w:w="0" w:type="auto"/>
            <w:shd w:val="clear" w:color="auto" w:fill="DBDBDB"/>
            <w:tcMar>
              <w:top w:w="40" w:type="dxa"/>
              <w:left w:w="0" w:type="dxa"/>
              <w:bottom w:w="40" w:type="dxa"/>
              <w:right w:w="20" w:type="dxa"/>
            </w:tcMar>
            <w:vAlign w:val="bottom"/>
          </w:tcPr>
          <w:p w14:paraId="22CFB527" w14:textId="77777777" w:rsidR="002661BA" w:rsidRDefault="002661BA">
            <w:pPr>
              <w:jc w:val="right"/>
              <w:rPr>
                <w:rFonts w:ascii="宋体"/>
              </w:rPr>
            </w:pPr>
          </w:p>
        </w:tc>
      </w:tr>
      <w:tr w:rsidR="002661BA" w14:paraId="22CFB532" w14:textId="77777777">
        <w:trPr>
          <w:jc w:val="center"/>
        </w:trPr>
        <w:tc>
          <w:tcPr>
            <w:tcW w:w="0" w:type="auto"/>
            <w:gridSpan w:val="3"/>
            <w:shd w:val="clear" w:color="auto" w:fill="FFFFFF"/>
            <w:tcMar>
              <w:top w:w="40" w:type="dxa"/>
              <w:left w:w="740" w:type="dxa"/>
              <w:bottom w:w="40" w:type="dxa"/>
              <w:right w:w="20" w:type="dxa"/>
            </w:tcMar>
            <w:vAlign w:val="bottom"/>
          </w:tcPr>
          <w:p w14:paraId="22CFB529" w14:textId="77777777" w:rsidR="002661BA" w:rsidRDefault="00D972BC">
            <w:pPr>
              <w:textAlignment w:val="bottom"/>
            </w:pPr>
            <w:r>
              <w:rPr>
                <w:rFonts w:ascii="Arial" w:eastAsia="宋体" w:hAnsi="Arial" w:cs="Arial"/>
                <w:color w:val="000000"/>
                <w:sz w:val="18"/>
                <w:szCs w:val="18"/>
              </w:rPr>
              <w:t>Other current assets</w:t>
            </w:r>
          </w:p>
        </w:tc>
        <w:tc>
          <w:tcPr>
            <w:tcW w:w="0" w:type="auto"/>
            <w:gridSpan w:val="2"/>
            <w:shd w:val="clear" w:color="auto" w:fill="FFFFFF"/>
            <w:tcMar>
              <w:top w:w="40" w:type="dxa"/>
              <w:left w:w="20" w:type="dxa"/>
              <w:bottom w:w="40" w:type="dxa"/>
              <w:right w:w="0" w:type="dxa"/>
            </w:tcMar>
            <w:vAlign w:val="bottom"/>
          </w:tcPr>
          <w:p w14:paraId="22CFB52A" w14:textId="77777777" w:rsidR="002661BA" w:rsidRDefault="00D972BC">
            <w:pPr>
              <w:jc w:val="right"/>
              <w:textAlignment w:val="bottom"/>
            </w:pPr>
            <w:r>
              <w:rPr>
                <w:rFonts w:ascii="Arial" w:eastAsia="宋体" w:hAnsi="Arial" w:cs="Arial"/>
                <w:color w:val="000000"/>
                <w:sz w:val="18"/>
                <w:szCs w:val="18"/>
              </w:rPr>
              <w:t>41 </w:t>
            </w:r>
          </w:p>
        </w:tc>
        <w:tc>
          <w:tcPr>
            <w:tcW w:w="0" w:type="auto"/>
            <w:shd w:val="clear" w:color="auto" w:fill="FFFFFF"/>
            <w:tcMar>
              <w:top w:w="40" w:type="dxa"/>
              <w:left w:w="0" w:type="dxa"/>
              <w:bottom w:w="40" w:type="dxa"/>
              <w:right w:w="20" w:type="dxa"/>
            </w:tcMar>
            <w:vAlign w:val="bottom"/>
          </w:tcPr>
          <w:p w14:paraId="22CFB52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2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52D" w14:textId="77777777" w:rsidR="002661BA" w:rsidRDefault="00D972BC">
            <w:pPr>
              <w:jc w:val="right"/>
              <w:textAlignment w:val="bottom"/>
            </w:pPr>
            <w:r>
              <w:rPr>
                <w:rFonts w:ascii="Arial" w:eastAsia="宋体" w:hAnsi="Arial" w:cs="Arial"/>
                <w:color w:val="000000"/>
                <w:sz w:val="18"/>
                <w:szCs w:val="18"/>
              </w:rPr>
              <w:t>(677)</w:t>
            </w:r>
          </w:p>
        </w:tc>
        <w:tc>
          <w:tcPr>
            <w:tcW w:w="0" w:type="auto"/>
            <w:shd w:val="clear" w:color="auto" w:fill="FFFFFF"/>
            <w:tcMar>
              <w:top w:w="40" w:type="dxa"/>
              <w:left w:w="0" w:type="dxa"/>
              <w:bottom w:w="40" w:type="dxa"/>
              <w:right w:w="20" w:type="dxa"/>
            </w:tcMar>
            <w:vAlign w:val="bottom"/>
          </w:tcPr>
          <w:p w14:paraId="22CFB52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2F"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530" w14:textId="77777777" w:rsidR="002661BA" w:rsidRDefault="00D972BC">
            <w:pPr>
              <w:jc w:val="right"/>
              <w:textAlignment w:val="bottom"/>
            </w:pPr>
            <w:r>
              <w:rPr>
                <w:rFonts w:ascii="Arial" w:eastAsia="宋体" w:hAnsi="Arial" w:cs="Arial"/>
                <w:color w:val="000000"/>
                <w:sz w:val="18"/>
                <w:szCs w:val="18"/>
              </w:rPr>
              <w:t>91 </w:t>
            </w:r>
          </w:p>
        </w:tc>
        <w:tc>
          <w:tcPr>
            <w:tcW w:w="0" w:type="auto"/>
            <w:shd w:val="clear" w:color="auto" w:fill="FFFFFF"/>
            <w:tcMar>
              <w:top w:w="40" w:type="dxa"/>
              <w:left w:w="0" w:type="dxa"/>
              <w:bottom w:w="40" w:type="dxa"/>
              <w:right w:w="20" w:type="dxa"/>
            </w:tcMar>
            <w:vAlign w:val="bottom"/>
          </w:tcPr>
          <w:p w14:paraId="22CFB531" w14:textId="77777777" w:rsidR="002661BA" w:rsidRDefault="002661BA">
            <w:pPr>
              <w:jc w:val="right"/>
              <w:rPr>
                <w:rFonts w:ascii="宋体"/>
              </w:rPr>
            </w:pPr>
          </w:p>
        </w:tc>
      </w:tr>
      <w:tr w:rsidR="002661BA" w14:paraId="22CFB53C" w14:textId="77777777">
        <w:trPr>
          <w:jc w:val="center"/>
        </w:trPr>
        <w:tc>
          <w:tcPr>
            <w:tcW w:w="0" w:type="auto"/>
            <w:gridSpan w:val="3"/>
            <w:shd w:val="clear" w:color="auto" w:fill="DBDBDB"/>
            <w:tcMar>
              <w:top w:w="40" w:type="dxa"/>
              <w:left w:w="740" w:type="dxa"/>
              <w:bottom w:w="40" w:type="dxa"/>
              <w:right w:w="20" w:type="dxa"/>
            </w:tcMar>
            <w:vAlign w:val="bottom"/>
          </w:tcPr>
          <w:p w14:paraId="22CFB533" w14:textId="77777777" w:rsidR="002661BA" w:rsidRDefault="00D972BC">
            <w:pPr>
              <w:textAlignment w:val="bottom"/>
            </w:pPr>
            <w:r>
              <w:rPr>
                <w:rFonts w:ascii="Arial" w:eastAsia="宋体" w:hAnsi="Arial" w:cs="Arial"/>
                <w:color w:val="000000"/>
                <w:sz w:val="18"/>
                <w:szCs w:val="18"/>
              </w:rPr>
              <w:t>Other non-current assets</w:t>
            </w:r>
          </w:p>
        </w:tc>
        <w:tc>
          <w:tcPr>
            <w:tcW w:w="0" w:type="auto"/>
            <w:gridSpan w:val="2"/>
            <w:shd w:val="clear" w:color="auto" w:fill="DBDBDB"/>
            <w:tcMar>
              <w:top w:w="40" w:type="dxa"/>
              <w:left w:w="20" w:type="dxa"/>
              <w:bottom w:w="40" w:type="dxa"/>
              <w:right w:w="0" w:type="dxa"/>
            </w:tcMar>
            <w:vAlign w:val="bottom"/>
          </w:tcPr>
          <w:p w14:paraId="22CFB534" w14:textId="77777777" w:rsidR="002661BA" w:rsidRDefault="00D972BC">
            <w:pPr>
              <w:jc w:val="right"/>
              <w:textAlignment w:val="bottom"/>
            </w:pPr>
            <w:r>
              <w:rPr>
                <w:rFonts w:ascii="Arial" w:eastAsia="宋体" w:hAnsi="Arial" w:cs="Arial"/>
                <w:color w:val="000000"/>
                <w:sz w:val="18"/>
                <w:szCs w:val="18"/>
              </w:rPr>
              <w:t>188 </w:t>
            </w:r>
          </w:p>
        </w:tc>
        <w:tc>
          <w:tcPr>
            <w:tcW w:w="0" w:type="auto"/>
            <w:shd w:val="clear" w:color="auto" w:fill="DBDBDB"/>
            <w:tcMar>
              <w:top w:w="40" w:type="dxa"/>
              <w:left w:w="0" w:type="dxa"/>
              <w:bottom w:w="40" w:type="dxa"/>
              <w:right w:w="20" w:type="dxa"/>
            </w:tcMar>
            <w:vAlign w:val="bottom"/>
          </w:tcPr>
          <w:p w14:paraId="22CFB535"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36"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537" w14:textId="77777777" w:rsidR="002661BA" w:rsidRDefault="00D972BC">
            <w:pPr>
              <w:jc w:val="right"/>
              <w:textAlignment w:val="bottom"/>
            </w:pPr>
            <w:r>
              <w:rPr>
                <w:rFonts w:ascii="Arial" w:eastAsia="宋体" w:hAnsi="Arial" w:cs="Arial"/>
                <w:color w:val="000000"/>
                <w:sz w:val="18"/>
                <w:szCs w:val="18"/>
              </w:rPr>
              <w:t>141 </w:t>
            </w:r>
          </w:p>
        </w:tc>
        <w:tc>
          <w:tcPr>
            <w:tcW w:w="0" w:type="auto"/>
            <w:shd w:val="clear" w:color="auto" w:fill="DBDBDB"/>
            <w:tcMar>
              <w:top w:w="40" w:type="dxa"/>
              <w:left w:w="0" w:type="dxa"/>
              <w:bottom w:w="40" w:type="dxa"/>
              <w:right w:w="20" w:type="dxa"/>
            </w:tcMar>
            <w:vAlign w:val="bottom"/>
          </w:tcPr>
          <w:p w14:paraId="22CFB538"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39"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53A" w14:textId="77777777" w:rsidR="002661BA" w:rsidRDefault="00D972BC">
            <w:pPr>
              <w:jc w:val="right"/>
              <w:textAlignment w:val="bottom"/>
            </w:pPr>
            <w:r>
              <w:rPr>
                <w:rFonts w:ascii="Arial" w:eastAsia="宋体" w:hAnsi="Arial" w:cs="Arial"/>
                <w:color w:val="000000"/>
                <w:sz w:val="18"/>
                <w:szCs w:val="18"/>
              </w:rPr>
              <w:t>190 </w:t>
            </w:r>
          </w:p>
        </w:tc>
        <w:tc>
          <w:tcPr>
            <w:tcW w:w="0" w:type="auto"/>
            <w:shd w:val="clear" w:color="auto" w:fill="DBDBDB"/>
            <w:tcMar>
              <w:top w:w="40" w:type="dxa"/>
              <w:left w:w="0" w:type="dxa"/>
              <w:bottom w:w="40" w:type="dxa"/>
              <w:right w:w="20" w:type="dxa"/>
            </w:tcMar>
            <w:vAlign w:val="bottom"/>
          </w:tcPr>
          <w:p w14:paraId="22CFB53B" w14:textId="77777777" w:rsidR="002661BA" w:rsidRDefault="002661BA">
            <w:pPr>
              <w:jc w:val="right"/>
              <w:rPr>
                <w:rFonts w:ascii="宋体"/>
              </w:rPr>
            </w:pPr>
          </w:p>
        </w:tc>
      </w:tr>
      <w:tr w:rsidR="002661BA" w14:paraId="22CFB546" w14:textId="77777777">
        <w:trPr>
          <w:jc w:val="center"/>
        </w:trPr>
        <w:tc>
          <w:tcPr>
            <w:tcW w:w="0" w:type="auto"/>
            <w:gridSpan w:val="3"/>
            <w:shd w:val="clear" w:color="auto" w:fill="FFFFFF"/>
            <w:tcMar>
              <w:top w:w="40" w:type="dxa"/>
              <w:left w:w="740" w:type="dxa"/>
              <w:bottom w:w="40" w:type="dxa"/>
              <w:right w:w="20" w:type="dxa"/>
            </w:tcMar>
            <w:vAlign w:val="bottom"/>
          </w:tcPr>
          <w:p w14:paraId="22CFB53D" w14:textId="77777777" w:rsidR="002661BA" w:rsidRDefault="00D972BC">
            <w:pPr>
              <w:textAlignment w:val="bottom"/>
            </w:pPr>
            <w:r>
              <w:rPr>
                <w:rFonts w:ascii="Arial" w:eastAsia="宋体" w:hAnsi="Arial" w:cs="Arial"/>
                <w:color w:val="000000"/>
                <w:sz w:val="18"/>
                <w:szCs w:val="18"/>
              </w:rPr>
              <w:t>Accounts payable</w:t>
            </w:r>
          </w:p>
        </w:tc>
        <w:tc>
          <w:tcPr>
            <w:tcW w:w="0" w:type="auto"/>
            <w:gridSpan w:val="2"/>
            <w:shd w:val="clear" w:color="auto" w:fill="FFFFFF"/>
            <w:tcMar>
              <w:top w:w="40" w:type="dxa"/>
              <w:left w:w="20" w:type="dxa"/>
              <w:bottom w:w="40" w:type="dxa"/>
              <w:right w:w="0" w:type="dxa"/>
            </w:tcMar>
            <w:vAlign w:val="bottom"/>
          </w:tcPr>
          <w:p w14:paraId="22CFB53E" w14:textId="77777777" w:rsidR="002661BA" w:rsidRDefault="00D972BC">
            <w:pPr>
              <w:jc w:val="right"/>
              <w:textAlignment w:val="bottom"/>
            </w:pPr>
            <w:r>
              <w:rPr>
                <w:rFonts w:ascii="Arial" w:eastAsia="宋体" w:hAnsi="Arial" w:cs="Arial"/>
                <w:color w:val="000000"/>
                <w:sz w:val="18"/>
                <w:szCs w:val="18"/>
              </w:rPr>
              <w:t>9 </w:t>
            </w:r>
          </w:p>
        </w:tc>
        <w:tc>
          <w:tcPr>
            <w:tcW w:w="0" w:type="auto"/>
            <w:shd w:val="clear" w:color="auto" w:fill="FFFFFF"/>
            <w:tcMar>
              <w:top w:w="40" w:type="dxa"/>
              <w:left w:w="0" w:type="dxa"/>
              <w:bottom w:w="40" w:type="dxa"/>
              <w:right w:w="20" w:type="dxa"/>
            </w:tcMar>
            <w:vAlign w:val="bottom"/>
          </w:tcPr>
          <w:p w14:paraId="22CFB53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4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541" w14:textId="77777777" w:rsidR="002661BA" w:rsidRDefault="00D972BC">
            <w:pPr>
              <w:jc w:val="right"/>
              <w:textAlignment w:val="bottom"/>
            </w:pPr>
            <w:r>
              <w:rPr>
                <w:rFonts w:ascii="Arial" w:eastAsia="宋体" w:hAnsi="Arial" w:cs="Arial"/>
                <w:color w:val="000000"/>
                <w:sz w:val="18"/>
                <w:szCs w:val="18"/>
              </w:rPr>
              <w:t>69 </w:t>
            </w:r>
          </w:p>
        </w:tc>
        <w:tc>
          <w:tcPr>
            <w:tcW w:w="0" w:type="auto"/>
            <w:shd w:val="clear" w:color="auto" w:fill="FFFFFF"/>
            <w:tcMar>
              <w:top w:w="40" w:type="dxa"/>
              <w:left w:w="0" w:type="dxa"/>
              <w:bottom w:w="40" w:type="dxa"/>
              <w:right w:w="20" w:type="dxa"/>
            </w:tcMar>
            <w:vAlign w:val="bottom"/>
          </w:tcPr>
          <w:p w14:paraId="22CFB54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43"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544" w14:textId="77777777" w:rsidR="002661BA" w:rsidRDefault="00D972BC">
            <w:pPr>
              <w:jc w:val="right"/>
              <w:textAlignment w:val="bottom"/>
            </w:pPr>
            <w:r>
              <w:rPr>
                <w:rFonts w:ascii="Arial" w:eastAsia="宋体" w:hAnsi="Arial" w:cs="Arial"/>
                <w:color w:val="000000"/>
                <w:sz w:val="18"/>
                <w:szCs w:val="18"/>
              </w:rPr>
              <w:t>(11)</w:t>
            </w:r>
          </w:p>
        </w:tc>
        <w:tc>
          <w:tcPr>
            <w:tcW w:w="0" w:type="auto"/>
            <w:shd w:val="clear" w:color="auto" w:fill="FFFFFF"/>
            <w:tcMar>
              <w:top w:w="40" w:type="dxa"/>
              <w:left w:w="0" w:type="dxa"/>
              <w:bottom w:w="40" w:type="dxa"/>
              <w:right w:w="20" w:type="dxa"/>
            </w:tcMar>
            <w:vAlign w:val="bottom"/>
          </w:tcPr>
          <w:p w14:paraId="22CFB545" w14:textId="77777777" w:rsidR="002661BA" w:rsidRDefault="002661BA">
            <w:pPr>
              <w:jc w:val="right"/>
              <w:rPr>
                <w:rFonts w:ascii="宋体"/>
              </w:rPr>
            </w:pPr>
          </w:p>
        </w:tc>
      </w:tr>
      <w:tr w:rsidR="002661BA" w14:paraId="22CFB550" w14:textId="77777777">
        <w:trPr>
          <w:jc w:val="center"/>
        </w:trPr>
        <w:tc>
          <w:tcPr>
            <w:tcW w:w="0" w:type="auto"/>
            <w:gridSpan w:val="3"/>
            <w:shd w:val="clear" w:color="auto" w:fill="DBDBDB"/>
            <w:tcMar>
              <w:top w:w="40" w:type="dxa"/>
              <w:left w:w="740" w:type="dxa"/>
              <w:bottom w:w="40" w:type="dxa"/>
              <w:right w:w="20" w:type="dxa"/>
            </w:tcMar>
            <w:vAlign w:val="bottom"/>
          </w:tcPr>
          <w:p w14:paraId="22CFB547" w14:textId="77777777" w:rsidR="002661BA" w:rsidRDefault="00D972BC">
            <w:pPr>
              <w:textAlignment w:val="bottom"/>
            </w:pPr>
            <w:r>
              <w:rPr>
                <w:rFonts w:ascii="Arial" w:eastAsia="宋体" w:hAnsi="Arial" w:cs="Arial"/>
                <w:color w:val="000000"/>
                <w:sz w:val="18"/>
                <w:szCs w:val="18"/>
              </w:rPr>
              <w:t xml:space="preserve">Accrued </w:t>
            </w:r>
            <w:r>
              <w:rPr>
                <w:rFonts w:ascii="Arial" w:eastAsia="宋体" w:hAnsi="Arial" w:cs="Arial"/>
                <w:color w:val="000000"/>
                <w:sz w:val="18"/>
                <w:szCs w:val="18"/>
              </w:rPr>
              <w:t>expenses and other liabilities</w:t>
            </w:r>
          </w:p>
        </w:tc>
        <w:tc>
          <w:tcPr>
            <w:tcW w:w="0" w:type="auto"/>
            <w:gridSpan w:val="2"/>
            <w:shd w:val="clear" w:color="auto" w:fill="DBDBDB"/>
            <w:tcMar>
              <w:top w:w="40" w:type="dxa"/>
              <w:left w:w="20" w:type="dxa"/>
              <w:bottom w:w="40" w:type="dxa"/>
              <w:right w:w="0" w:type="dxa"/>
            </w:tcMar>
            <w:vAlign w:val="bottom"/>
          </w:tcPr>
          <w:p w14:paraId="22CFB548" w14:textId="77777777" w:rsidR="002661BA" w:rsidRDefault="00D972BC">
            <w:pPr>
              <w:jc w:val="right"/>
              <w:textAlignment w:val="bottom"/>
            </w:pPr>
            <w:r>
              <w:rPr>
                <w:rFonts w:ascii="Arial" w:eastAsia="宋体" w:hAnsi="Arial" w:cs="Arial"/>
                <w:color w:val="000000"/>
                <w:sz w:val="18"/>
                <w:szCs w:val="18"/>
              </w:rPr>
              <w:t>(535)</w:t>
            </w:r>
          </w:p>
        </w:tc>
        <w:tc>
          <w:tcPr>
            <w:tcW w:w="0" w:type="auto"/>
            <w:shd w:val="clear" w:color="auto" w:fill="DBDBDB"/>
            <w:tcMar>
              <w:top w:w="40" w:type="dxa"/>
              <w:left w:w="0" w:type="dxa"/>
              <w:bottom w:w="40" w:type="dxa"/>
              <w:right w:w="20" w:type="dxa"/>
            </w:tcMar>
            <w:vAlign w:val="bottom"/>
          </w:tcPr>
          <w:p w14:paraId="22CFB549"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4A"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54B" w14:textId="77777777" w:rsidR="002661BA" w:rsidRDefault="00D972BC">
            <w:pPr>
              <w:jc w:val="right"/>
              <w:textAlignment w:val="bottom"/>
            </w:pPr>
            <w:r>
              <w:rPr>
                <w:rFonts w:ascii="Arial" w:eastAsia="宋体" w:hAnsi="Arial" w:cs="Arial"/>
                <w:color w:val="000000"/>
                <w:sz w:val="18"/>
                <w:szCs w:val="18"/>
              </w:rPr>
              <w:t>209 </w:t>
            </w:r>
          </w:p>
        </w:tc>
        <w:tc>
          <w:tcPr>
            <w:tcW w:w="0" w:type="auto"/>
            <w:shd w:val="clear" w:color="auto" w:fill="DBDBDB"/>
            <w:tcMar>
              <w:top w:w="40" w:type="dxa"/>
              <w:left w:w="0" w:type="dxa"/>
              <w:bottom w:w="40" w:type="dxa"/>
              <w:right w:w="20" w:type="dxa"/>
            </w:tcMar>
            <w:vAlign w:val="bottom"/>
          </w:tcPr>
          <w:p w14:paraId="22CFB54C"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4D"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54E" w14:textId="77777777" w:rsidR="002661BA" w:rsidRDefault="00D972BC">
            <w:pPr>
              <w:jc w:val="right"/>
              <w:textAlignment w:val="bottom"/>
            </w:pPr>
            <w:r>
              <w:rPr>
                <w:rFonts w:ascii="Arial" w:eastAsia="宋体" w:hAnsi="Arial" w:cs="Arial"/>
                <w:color w:val="000000"/>
                <w:sz w:val="18"/>
                <w:szCs w:val="18"/>
              </w:rPr>
              <w:t>(306)</w:t>
            </w:r>
          </w:p>
        </w:tc>
        <w:tc>
          <w:tcPr>
            <w:tcW w:w="0" w:type="auto"/>
            <w:shd w:val="clear" w:color="auto" w:fill="DBDBDB"/>
            <w:tcMar>
              <w:top w:w="40" w:type="dxa"/>
              <w:left w:w="0" w:type="dxa"/>
              <w:bottom w:w="40" w:type="dxa"/>
              <w:right w:w="20" w:type="dxa"/>
            </w:tcMar>
            <w:vAlign w:val="bottom"/>
          </w:tcPr>
          <w:p w14:paraId="22CFB54F" w14:textId="77777777" w:rsidR="002661BA" w:rsidRDefault="002661BA">
            <w:pPr>
              <w:jc w:val="right"/>
              <w:rPr>
                <w:rFonts w:ascii="宋体"/>
              </w:rPr>
            </w:pPr>
          </w:p>
        </w:tc>
      </w:tr>
      <w:tr w:rsidR="002661BA" w14:paraId="22CFB55A" w14:textId="77777777">
        <w:trPr>
          <w:jc w:val="center"/>
        </w:trPr>
        <w:tc>
          <w:tcPr>
            <w:tcW w:w="0" w:type="auto"/>
            <w:gridSpan w:val="3"/>
            <w:shd w:val="clear" w:color="auto" w:fill="FFFFFF"/>
            <w:tcMar>
              <w:top w:w="40" w:type="dxa"/>
              <w:left w:w="740" w:type="dxa"/>
              <w:bottom w:w="40" w:type="dxa"/>
              <w:right w:w="20" w:type="dxa"/>
            </w:tcMar>
            <w:vAlign w:val="bottom"/>
          </w:tcPr>
          <w:p w14:paraId="22CFB551" w14:textId="77777777" w:rsidR="002661BA" w:rsidRDefault="00D972BC">
            <w:pPr>
              <w:textAlignment w:val="bottom"/>
            </w:pPr>
            <w:r>
              <w:rPr>
                <w:rFonts w:ascii="Arial" w:eastAsia="宋体" w:hAnsi="Arial" w:cs="Arial"/>
                <w:color w:val="000000"/>
                <w:sz w:val="18"/>
                <w:szCs w:val="18"/>
              </w:rPr>
              <w:t>Deferred revenue</w:t>
            </w:r>
          </w:p>
        </w:tc>
        <w:tc>
          <w:tcPr>
            <w:tcW w:w="0" w:type="auto"/>
            <w:gridSpan w:val="2"/>
            <w:shd w:val="clear" w:color="auto" w:fill="FFFFFF"/>
            <w:tcMar>
              <w:top w:w="40" w:type="dxa"/>
              <w:left w:w="20" w:type="dxa"/>
              <w:bottom w:w="40" w:type="dxa"/>
              <w:right w:w="0" w:type="dxa"/>
            </w:tcMar>
            <w:vAlign w:val="bottom"/>
          </w:tcPr>
          <w:p w14:paraId="22CFB552" w14:textId="77777777" w:rsidR="002661BA" w:rsidRDefault="00D972BC">
            <w:pPr>
              <w:jc w:val="right"/>
              <w:textAlignment w:val="bottom"/>
            </w:pPr>
            <w:r>
              <w:rPr>
                <w:rFonts w:ascii="Arial" w:eastAsia="宋体" w:hAnsi="Arial" w:cs="Arial"/>
                <w:color w:val="000000"/>
                <w:sz w:val="18"/>
                <w:szCs w:val="18"/>
              </w:rPr>
              <w:t>(17)</w:t>
            </w:r>
          </w:p>
        </w:tc>
        <w:tc>
          <w:tcPr>
            <w:tcW w:w="0" w:type="auto"/>
            <w:shd w:val="clear" w:color="auto" w:fill="FFFFFF"/>
            <w:tcMar>
              <w:top w:w="40" w:type="dxa"/>
              <w:left w:w="0" w:type="dxa"/>
              <w:bottom w:w="40" w:type="dxa"/>
              <w:right w:w="20" w:type="dxa"/>
            </w:tcMar>
            <w:vAlign w:val="bottom"/>
          </w:tcPr>
          <w:p w14:paraId="22CFB55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54"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555" w14:textId="77777777" w:rsidR="002661BA" w:rsidRDefault="00D972BC">
            <w:pPr>
              <w:jc w:val="right"/>
              <w:textAlignment w:val="bottom"/>
            </w:pPr>
            <w:r>
              <w:rPr>
                <w:rFonts w:ascii="Arial" w:eastAsia="宋体" w:hAnsi="Arial" w:cs="Arial"/>
                <w:color w:val="000000"/>
                <w:sz w:val="18"/>
                <w:szCs w:val="18"/>
              </w:rPr>
              <w:t>(20)</w:t>
            </w:r>
          </w:p>
        </w:tc>
        <w:tc>
          <w:tcPr>
            <w:tcW w:w="0" w:type="auto"/>
            <w:shd w:val="clear" w:color="auto" w:fill="FFFFFF"/>
            <w:tcMar>
              <w:top w:w="40" w:type="dxa"/>
              <w:left w:w="0" w:type="dxa"/>
              <w:bottom w:w="40" w:type="dxa"/>
              <w:right w:w="20" w:type="dxa"/>
            </w:tcMar>
            <w:vAlign w:val="bottom"/>
          </w:tcPr>
          <w:p w14:paraId="22CFB55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57"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558" w14:textId="77777777" w:rsidR="002661BA" w:rsidRDefault="00D972BC">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22CFB559" w14:textId="77777777" w:rsidR="002661BA" w:rsidRDefault="002661BA">
            <w:pPr>
              <w:jc w:val="right"/>
              <w:rPr>
                <w:rFonts w:ascii="宋体"/>
              </w:rPr>
            </w:pPr>
          </w:p>
        </w:tc>
      </w:tr>
      <w:tr w:rsidR="002661BA" w14:paraId="22CFB564" w14:textId="77777777">
        <w:trPr>
          <w:jc w:val="center"/>
        </w:trPr>
        <w:tc>
          <w:tcPr>
            <w:tcW w:w="0" w:type="auto"/>
            <w:gridSpan w:val="3"/>
            <w:shd w:val="clear" w:color="auto" w:fill="DBDBDB"/>
            <w:tcMar>
              <w:top w:w="40" w:type="dxa"/>
              <w:left w:w="740" w:type="dxa"/>
              <w:bottom w:w="40" w:type="dxa"/>
              <w:right w:w="20" w:type="dxa"/>
            </w:tcMar>
            <w:vAlign w:val="bottom"/>
          </w:tcPr>
          <w:p w14:paraId="22CFB55B" w14:textId="77777777" w:rsidR="002661BA" w:rsidRDefault="00D972BC">
            <w:pPr>
              <w:textAlignment w:val="bottom"/>
            </w:pPr>
            <w:r>
              <w:rPr>
                <w:rFonts w:ascii="Arial" w:eastAsia="宋体" w:hAnsi="Arial" w:cs="Arial"/>
                <w:color w:val="000000"/>
                <w:sz w:val="18"/>
                <w:szCs w:val="18"/>
              </w:rPr>
              <w:t>Income taxes payable and other tax liabilities</w:t>
            </w:r>
          </w:p>
        </w:tc>
        <w:tc>
          <w:tcPr>
            <w:tcW w:w="0" w:type="auto"/>
            <w:gridSpan w:val="2"/>
            <w:shd w:val="clear" w:color="auto" w:fill="DBDBDB"/>
            <w:tcMar>
              <w:top w:w="40" w:type="dxa"/>
              <w:left w:w="20" w:type="dxa"/>
              <w:bottom w:w="40" w:type="dxa"/>
              <w:right w:w="0" w:type="dxa"/>
            </w:tcMar>
            <w:vAlign w:val="bottom"/>
          </w:tcPr>
          <w:p w14:paraId="22CFB55C" w14:textId="77777777" w:rsidR="002661BA" w:rsidRDefault="00D972BC">
            <w:pPr>
              <w:jc w:val="right"/>
              <w:textAlignment w:val="bottom"/>
            </w:pPr>
            <w:r>
              <w:rPr>
                <w:rFonts w:ascii="Arial" w:eastAsia="宋体" w:hAnsi="Arial" w:cs="Arial"/>
                <w:color w:val="000000"/>
                <w:sz w:val="18"/>
                <w:szCs w:val="18"/>
              </w:rPr>
              <w:t>(15)</w:t>
            </w:r>
          </w:p>
        </w:tc>
        <w:tc>
          <w:tcPr>
            <w:tcW w:w="0" w:type="auto"/>
            <w:shd w:val="clear" w:color="auto" w:fill="DBDBDB"/>
            <w:tcMar>
              <w:top w:w="40" w:type="dxa"/>
              <w:left w:w="0" w:type="dxa"/>
              <w:bottom w:w="40" w:type="dxa"/>
              <w:right w:w="20" w:type="dxa"/>
            </w:tcMar>
            <w:vAlign w:val="bottom"/>
          </w:tcPr>
          <w:p w14:paraId="22CFB55D"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5E"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55F" w14:textId="77777777" w:rsidR="002661BA" w:rsidRDefault="00D972BC">
            <w:pPr>
              <w:jc w:val="right"/>
              <w:textAlignment w:val="bottom"/>
            </w:pPr>
            <w:r>
              <w:rPr>
                <w:rFonts w:ascii="Arial" w:eastAsia="宋体" w:hAnsi="Arial" w:cs="Arial"/>
                <w:color w:val="000000"/>
                <w:sz w:val="18"/>
                <w:szCs w:val="18"/>
              </w:rPr>
              <w:t>27 </w:t>
            </w:r>
          </w:p>
        </w:tc>
        <w:tc>
          <w:tcPr>
            <w:tcW w:w="0" w:type="auto"/>
            <w:shd w:val="clear" w:color="auto" w:fill="DBDBDB"/>
            <w:tcMar>
              <w:top w:w="40" w:type="dxa"/>
              <w:left w:w="0" w:type="dxa"/>
              <w:bottom w:w="40" w:type="dxa"/>
              <w:right w:w="20" w:type="dxa"/>
            </w:tcMar>
            <w:vAlign w:val="bottom"/>
          </w:tcPr>
          <w:p w14:paraId="22CFB560"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61"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562" w14:textId="77777777" w:rsidR="002661BA" w:rsidRDefault="00D972BC">
            <w:pPr>
              <w:jc w:val="right"/>
              <w:textAlignment w:val="bottom"/>
            </w:pPr>
            <w:r>
              <w:rPr>
                <w:rFonts w:ascii="Arial" w:eastAsia="宋体" w:hAnsi="Arial" w:cs="Arial"/>
                <w:color w:val="000000"/>
                <w:sz w:val="18"/>
                <w:szCs w:val="18"/>
              </w:rPr>
              <w:t>(90)</w:t>
            </w:r>
          </w:p>
        </w:tc>
        <w:tc>
          <w:tcPr>
            <w:tcW w:w="0" w:type="auto"/>
            <w:shd w:val="clear" w:color="auto" w:fill="DBDBDB"/>
            <w:tcMar>
              <w:top w:w="40" w:type="dxa"/>
              <w:left w:w="0" w:type="dxa"/>
              <w:bottom w:w="40" w:type="dxa"/>
              <w:right w:w="20" w:type="dxa"/>
            </w:tcMar>
            <w:vAlign w:val="bottom"/>
          </w:tcPr>
          <w:p w14:paraId="22CFB563" w14:textId="77777777" w:rsidR="002661BA" w:rsidRDefault="002661BA">
            <w:pPr>
              <w:jc w:val="right"/>
              <w:rPr>
                <w:rFonts w:ascii="宋体"/>
              </w:rPr>
            </w:pPr>
          </w:p>
        </w:tc>
      </w:tr>
      <w:tr w:rsidR="002661BA" w14:paraId="22CFB56E" w14:textId="77777777">
        <w:trPr>
          <w:jc w:val="center"/>
        </w:trPr>
        <w:tc>
          <w:tcPr>
            <w:tcW w:w="0" w:type="auto"/>
            <w:gridSpan w:val="3"/>
            <w:shd w:val="clear" w:color="auto" w:fill="FFFFFF"/>
            <w:tcMar>
              <w:top w:w="40" w:type="dxa"/>
              <w:left w:w="20" w:type="dxa"/>
              <w:bottom w:w="40" w:type="dxa"/>
              <w:right w:w="20" w:type="dxa"/>
            </w:tcMar>
            <w:vAlign w:val="bottom"/>
          </w:tcPr>
          <w:p w14:paraId="22CFB565" w14:textId="77777777" w:rsidR="002661BA" w:rsidRDefault="00D972BC">
            <w:pPr>
              <w:textAlignment w:val="bottom"/>
            </w:pPr>
            <w:r>
              <w:rPr>
                <w:rFonts w:ascii="Arial" w:eastAsia="宋体" w:hAnsi="Arial" w:cs="Arial"/>
                <w:color w:val="000000"/>
                <w:sz w:val="18"/>
                <w:szCs w:val="18"/>
              </w:rPr>
              <w:t>Net cash provided by continuing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566" w14:textId="77777777" w:rsidR="002661BA" w:rsidRDefault="00D972BC">
            <w:pPr>
              <w:jc w:val="right"/>
              <w:textAlignment w:val="bottom"/>
            </w:pPr>
            <w:r>
              <w:rPr>
                <w:rFonts w:ascii="Arial" w:eastAsia="宋体" w:hAnsi="Arial" w:cs="Arial"/>
                <w:color w:val="000000"/>
                <w:sz w:val="18"/>
                <w:szCs w:val="18"/>
              </w:rPr>
              <w:t>3,093 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56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68"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569" w14:textId="77777777" w:rsidR="002661BA" w:rsidRDefault="00D972BC">
            <w:pPr>
              <w:jc w:val="right"/>
              <w:textAlignment w:val="bottom"/>
            </w:pPr>
            <w:r>
              <w:rPr>
                <w:rFonts w:ascii="Arial" w:eastAsia="宋体" w:hAnsi="Arial" w:cs="Arial"/>
                <w:color w:val="000000"/>
                <w:sz w:val="18"/>
                <w:szCs w:val="18"/>
              </w:rPr>
              <w:t>3,004 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56A"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6B"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56C" w14:textId="77777777" w:rsidR="002661BA" w:rsidRDefault="00D972BC">
            <w:pPr>
              <w:jc w:val="right"/>
              <w:textAlignment w:val="bottom"/>
            </w:pPr>
            <w:r>
              <w:rPr>
                <w:rFonts w:ascii="Arial" w:eastAsia="宋体" w:hAnsi="Arial" w:cs="Arial"/>
                <w:color w:val="000000"/>
                <w:sz w:val="18"/>
                <w:szCs w:val="18"/>
              </w:rPr>
              <w:t>2,416 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56D" w14:textId="77777777" w:rsidR="002661BA" w:rsidRDefault="002661BA">
            <w:pPr>
              <w:jc w:val="right"/>
              <w:rPr>
                <w:rFonts w:ascii="宋体"/>
              </w:rPr>
            </w:pPr>
          </w:p>
        </w:tc>
      </w:tr>
      <w:tr w:rsidR="002661BA" w14:paraId="22CFB578" w14:textId="77777777">
        <w:trPr>
          <w:jc w:val="center"/>
        </w:trPr>
        <w:tc>
          <w:tcPr>
            <w:tcW w:w="0" w:type="auto"/>
            <w:gridSpan w:val="3"/>
            <w:shd w:val="clear" w:color="auto" w:fill="DBDBDB"/>
            <w:tcMar>
              <w:top w:w="40" w:type="dxa"/>
              <w:left w:w="20" w:type="dxa"/>
              <w:bottom w:w="40" w:type="dxa"/>
              <w:right w:w="20" w:type="dxa"/>
            </w:tcMar>
            <w:vAlign w:val="bottom"/>
          </w:tcPr>
          <w:p w14:paraId="22CFB56F" w14:textId="77777777" w:rsidR="002661BA" w:rsidRDefault="00D972BC">
            <w:pPr>
              <w:textAlignment w:val="bottom"/>
            </w:pPr>
            <w:r>
              <w:rPr>
                <w:rFonts w:ascii="Arial" w:eastAsia="宋体" w:hAnsi="Arial" w:cs="Arial"/>
                <w:color w:val="000000"/>
                <w:sz w:val="18"/>
                <w:szCs w:val="18"/>
              </w:rPr>
              <w:t xml:space="preserve">Net cash </w:t>
            </w:r>
            <w:r>
              <w:rPr>
                <w:rFonts w:ascii="Arial" w:eastAsia="宋体" w:hAnsi="Arial" w:cs="Arial"/>
                <w:color w:val="000000"/>
                <w:sz w:val="18"/>
                <w:szCs w:val="18"/>
              </w:rPr>
              <w:t>provided by (used in) discontinued operating activities</w:t>
            </w: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570" w14:textId="77777777" w:rsidR="002661BA" w:rsidRDefault="00D972BC">
            <w:pPr>
              <w:jc w:val="right"/>
              <w:textAlignment w:val="bottom"/>
            </w:pPr>
            <w:r>
              <w:rPr>
                <w:rFonts w:ascii="Arial" w:eastAsia="宋体" w:hAnsi="Arial" w:cs="Arial"/>
                <w:color w:val="000000"/>
                <w:sz w:val="18"/>
                <w:szCs w:val="18"/>
              </w:rPr>
              <w:t>(436)</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571"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72"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573" w14:textId="77777777" w:rsidR="002661BA" w:rsidRDefault="00D972BC">
            <w:pPr>
              <w:jc w:val="right"/>
              <w:textAlignment w:val="bottom"/>
            </w:pPr>
            <w:r>
              <w:rPr>
                <w:rFonts w:ascii="Arial" w:eastAsia="宋体" w:hAnsi="Arial" w:cs="Arial"/>
                <w:color w:val="000000"/>
                <w:sz w:val="18"/>
                <w:szCs w:val="18"/>
              </w:rPr>
              <w:t>(585)</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574"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75"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576" w14:textId="77777777" w:rsidR="002661BA" w:rsidRDefault="00D972BC">
            <w:pPr>
              <w:jc w:val="right"/>
              <w:textAlignment w:val="bottom"/>
            </w:pPr>
            <w:r>
              <w:rPr>
                <w:rFonts w:ascii="Arial" w:eastAsia="宋体" w:hAnsi="Arial" w:cs="Arial"/>
                <w:color w:val="000000"/>
                <w:sz w:val="18"/>
                <w:szCs w:val="18"/>
              </w:rPr>
              <w:t>698 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577" w14:textId="77777777" w:rsidR="002661BA" w:rsidRDefault="002661BA">
            <w:pPr>
              <w:jc w:val="right"/>
              <w:rPr>
                <w:rFonts w:ascii="宋体"/>
              </w:rPr>
            </w:pPr>
          </w:p>
        </w:tc>
      </w:tr>
      <w:tr w:rsidR="002661BA" w14:paraId="22CFB582" w14:textId="77777777">
        <w:trPr>
          <w:jc w:val="center"/>
        </w:trPr>
        <w:tc>
          <w:tcPr>
            <w:tcW w:w="0" w:type="auto"/>
            <w:gridSpan w:val="3"/>
            <w:shd w:val="clear" w:color="auto" w:fill="FFFFFF"/>
            <w:tcMar>
              <w:top w:w="40" w:type="dxa"/>
              <w:left w:w="20" w:type="dxa"/>
              <w:bottom w:w="40" w:type="dxa"/>
              <w:right w:w="20" w:type="dxa"/>
            </w:tcMar>
            <w:vAlign w:val="bottom"/>
          </w:tcPr>
          <w:p w14:paraId="22CFB579" w14:textId="77777777" w:rsidR="002661BA" w:rsidRDefault="00D972BC">
            <w:pPr>
              <w:textAlignment w:val="bottom"/>
            </w:pPr>
            <w:r>
              <w:rPr>
                <w:rFonts w:ascii="Arial" w:eastAsia="宋体" w:hAnsi="Arial" w:cs="Arial"/>
                <w:color w:val="000000"/>
                <w:sz w:val="18"/>
                <w:szCs w:val="18"/>
              </w:rPr>
              <w:t>Net cash provided by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57A" w14:textId="77777777" w:rsidR="002661BA" w:rsidRDefault="00D972BC">
            <w:pPr>
              <w:jc w:val="right"/>
              <w:textAlignment w:val="bottom"/>
            </w:pPr>
            <w:r>
              <w:rPr>
                <w:rFonts w:ascii="Arial" w:eastAsia="宋体" w:hAnsi="Arial" w:cs="Arial"/>
                <w:color w:val="000000"/>
                <w:sz w:val="18"/>
                <w:szCs w:val="18"/>
              </w:rPr>
              <w:t>2,657 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57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7C"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57D" w14:textId="77777777" w:rsidR="002661BA" w:rsidRDefault="00D972BC">
            <w:pPr>
              <w:jc w:val="right"/>
              <w:textAlignment w:val="bottom"/>
            </w:pPr>
            <w:r>
              <w:rPr>
                <w:rFonts w:ascii="Arial" w:eastAsia="宋体" w:hAnsi="Arial" w:cs="Arial"/>
                <w:color w:val="000000"/>
                <w:sz w:val="18"/>
                <w:szCs w:val="18"/>
              </w:rPr>
              <w:t>2,419 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57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7F"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580" w14:textId="77777777" w:rsidR="002661BA" w:rsidRDefault="00D972BC">
            <w:pPr>
              <w:jc w:val="right"/>
              <w:textAlignment w:val="bottom"/>
            </w:pPr>
            <w:r>
              <w:rPr>
                <w:rFonts w:ascii="Arial" w:eastAsia="宋体" w:hAnsi="Arial" w:cs="Arial"/>
                <w:color w:val="000000"/>
                <w:sz w:val="18"/>
                <w:szCs w:val="18"/>
              </w:rPr>
              <w:t>3,114 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581" w14:textId="77777777" w:rsidR="002661BA" w:rsidRDefault="002661BA">
            <w:pPr>
              <w:jc w:val="right"/>
              <w:rPr>
                <w:rFonts w:ascii="宋体"/>
              </w:rPr>
            </w:pPr>
          </w:p>
        </w:tc>
      </w:tr>
      <w:tr w:rsidR="002661BA" w14:paraId="22CFB589" w14:textId="77777777">
        <w:trPr>
          <w:jc w:val="center"/>
        </w:trPr>
        <w:tc>
          <w:tcPr>
            <w:tcW w:w="0" w:type="auto"/>
            <w:gridSpan w:val="3"/>
            <w:shd w:val="clear" w:color="auto" w:fill="DBDBDB"/>
            <w:tcMar>
              <w:top w:w="40" w:type="dxa"/>
              <w:left w:w="20" w:type="dxa"/>
              <w:bottom w:w="40" w:type="dxa"/>
              <w:right w:w="20" w:type="dxa"/>
            </w:tcMar>
            <w:vAlign w:val="bottom"/>
          </w:tcPr>
          <w:p w14:paraId="22CFB583" w14:textId="77777777" w:rsidR="002661BA" w:rsidRDefault="00D972BC">
            <w:pPr>
              <w:textAlignment w:val="bottom"/>
            </w:pPr>
            <w:r>
              <w:rPr>
                <w:rFonts w:ascii="Arial" w:eastAsia="宋体" w:hAnsi="Arial" w:cs="Arial"/>
                <w:color w:val="000000"/>
                <w:sz w:val="18"/>
                <w:szCs w:val="18"/>
              </w:rPr>
              <w:t>Cash flows from investing activities:</w:t>
            </w:r>
          </w:p>
        </w:tc>
        <w:tc>
          <w:tcPr>
            <w:tcW w:w="0" w:type="auto"/>
            <w:gridSpan w:val="3"/>
            <w:tcBorders>
              <w:top w:val="single" w:sz="8" w:space="0" w:color="000000"/>
            </w:tcBorders>
            <w:shd w:val="clear" w:color="auto" w:fill="DBDBDB"/>
            <w:tcMar>
              <w:top w:w="40" w:type="dxa"/>
              <w:left w:w="20" w:type="dxa"/>
              <w:bottom w:w="40" w:type="dxa"/>
              <w:right w:w="20" w:type="dxa"/>
            </w:tcMar>
            <w:vAlign w:val="bottom"/>
          </w:tcPr>
          <w:p w14:paraId="22CFB584" w14:textId="77777777" w:rsidR="002661BA" w:rsidRDefault="00D972BC">
            <w:pPr>
              <w:jc w:val="right"/>
              <w:textAlignment w:val="bottom"/>
            </w:pPr>
            <w:r>
              <w:rPr>
                <w:rFonts w:ascii="Arial" w:eastAsia="宋体" w:hAnsi="Arial" w:cs="Arial"/>
                <w:color w:val="000000"/>
                <w:sz w:val="18"/>
                <w:szCs w:val="18"/>
              </w:rPr>
              <w:t> </w:t>
            </w:r>
          </w:p>
        </w:tc>
        <w:tc>
          <w:tcPr>
            <w:tcW w:w="0" w:type="auto"/>
            <w:gridSpan w:val="3"/>
            <w:shd w:val="clear" w:color="auto" w:fill="DBDBDB"/>
            <w:tcMar>
              <w:top w:w="0" w:type="dxa"/>
              <w:left w:w="20" w:type="dxa"/>
              <w:bottom w:w="0" w:type="dxa"/>
              <w:right w:w="20" w:type="dxa"/>
            </w:tcMar>
            <w:vAlign w:val="bottom"/>
          </w:tcPr>
          <w:p w14:paraId="22CFB585" w14:textId="77777777" w:rsidR="002661BA" w:rsidRDefault="002661BA">
            <w:pPr>
              <w:rPr>
                <w:rFonts w:ascii="宋体"/>
              </w:rPr>
            </w:pPr>
          </w:p>
        </w:tc>
        <w:tc>
          <w:tcPr>
            <w:tcW w:w="0" w:type="auto"/>
            <w:gridSpan w:val="3"/>
            <w:tcBorders>
              <w:top w:val="single" w:sz="8" w:space="0" w:color="000000"/>
            </w:tcBorders>
            <w:shd w:val="clear" w:color="auto" w:fill="DBDBDB"/>
            <w:tcMar>
              <w:top w:w="40" w:type="dxa"/>
              <w:left w:w="20" w:type="dxa"/>
              <w:bottom w:w="40" w:type="dxa"/>
              <w:right w:w="20" w:type="dxa"/>
            </w:tcMar>
            <w:vAlign w:val="bottom"/>
          </w:tcPr>
          <w:p w14:paraId="22CFB586" w14:textId="77777777" w:rsidR="002661BA" w:rsidRDefault="00D972BC">
            <w:pPr>
              <w:jc w:val="right"/>
              <w:textAlignment w:val="bottom"/>
            </w:pPr>
            <w:r>
              <w:rPr>
                <w:rFonts w:ascii="Arial" w:eastAsia="宋体" w:hAnsi="Arial" w:cs="Arial"/>
                <w:color w:val="000000"/>
                <w:sz w:val="18"/>
                <w:szCs w:val="18"/>
              </w:rPr>
              <w:t> </w:t>
            </w:r>
          </w:p>
        </w:tc>
        <w:tc>
          <w:tcPr>
            <w:tcW w:w="0" w:type="auto"/>
            <w:gridSpan w:val="3"/>
            <w:shd w:val="clear" w:color="auto" w:fill="DBDBDB"/>
            <w:tcMar>
              <w:top w:w="0" w:type="dxa"/>
              <w:left w:w="20" w:type="dxa"/>
              <w:bottom w:w="0" w:type="dxa"/>
              <w:right w:w="20" w:type="dxa"/>
            </w:tcMar>
            <w:vAlign w:val="bottom"/>
          </w:tcPr>
          <w:p w14:paraId="22CFB587" w14:textId="77777777" w:rsidR="002661BA" w:rsidRDefault="002661BA">
            <w:pPr>
              <w:rPr>
                <w:rFonts w:ascii="宋体"/>
              </w:rPr>
            </w:pPr>
          </w:p>
        </w:tc>
        <w:tc>
          <w:tcPr>
            <w:tcW w:w="0" w:type="auto"/>
            <w:gridSpan w:val="3"/>
            <w:tcBorders>
              <w:top w:val="single" w:sz="8" w:space="0" w:color="000000"/>
            </w:tcBorders>
            <w:shd w:val="clear" w:color="auto" w:fill="DBDBDB"/>
            <w:tcMar>
              <w:top w:w="40" w:type="dxa"/>
              <w:left w:w="20" w:type="dxa"/>
              <w:bottom w:w="40" w:type="dxa"/>
              <w:right w:w="20" w:type="dxa"/>
            </w:tcMar>
            <w:vAlign w:val="bottom"/>
          </w:tcPr>
          <w:p w14:paraId="22CFB588" w14:textId="77777777" w:rsidR="002661BA" w:rsidRDefault="00D972BC">
            <w:pPr>
              <w:jc w:val="right"/>
              <w:textAlignment w:val="bottom"/>
            </w:pPr>
            <w:r>
              <w:rPr>
                <w:rFonts w:ascii="Arial" w:eastAsia="宋体" w:hAnsi="Arial" w:cs="Arial"/>
                <w:color w:val="000000"/>
                <w:sz w:val="18"/>
                <w:szCs w:val="18"/>
              </w:rPr>
              <w:t> </w:t>
            </w:r>
          </w:p>
        </w:tc>
      </w:tr>
      <w:tr w:rsidR="002661BA" w14:paraId="22CFB593" w14:textId="77777777">
        <w:trPr>
          <w:jc w:val="center"/>
        </w:trPr>
        <w:tc>
          <w:tcPr>
            <w:tcW w:w="0" w:type="auto"/>
            <w:gridSpan w:val="3"/>
            <w:shd w:val="clear" w:color="auto" w:fill="FFFFFF"/>
            <w:tcMar>
              <w:top w:w="40" w:type="dxa"/>
              <w:left w:w="245" w:type="dxa"/>
              <w:bottom w:w="40" w:type="dxa"/>
              <w:right w:w="20" w:type="dxa"/>
            </w:tcMar>
            <w:vAlign w:val="bottom"/>
          </w:tcPr>
          <w:p w14:paraId="22CFB58A" w14:textId="77777777" w:rsidR="002661BA" w:rsidRDefault="00D972BC">
            <w:pPr>
              <w:textAlignment w:val="bottom"/>
            </w:pPr>
            <w:r>
              <w:rPr>
                <w:rFonts w:ascii="Arial" w:eastAsia="宋体" w:hAnsi="Arial" w:cs="Arial"/>
                <w:color w:val="000000"/>
                <w:sz w:val="18"/>
                <w:szCs w:val="18"/>
              </w:rPr>
              <w:t>Purchases of property and equipment</w:t>
            </w:r>
          </w:p>
        </w:tc>
        <w:tc>
          <w:tcPr>
            <w:tcW w:w="0" w:type="auto"/>
            <w:gridSpan w:val="2"/>
            <w:shd w:val="clear" w:color="auto" w:fill="FFFFFF"/>
            <w:tcMar>
              <w:top w:w="40" w:type="dxa"/>
              <w:left w:w="20" w:type="dxa"/>
              <w:bottom w:w="40" w:type="dxa"/>
              <w:right w:w="0" w:type="dxa"/>
            </w:tcMar>
            <w:vAlign w:val="bottom"/>
          </w:tcPr>
          <w:p w14:paraId="22CFB58B" w14:textId="77777777" w:rsidR="002661BA" w:rsidRDefault="00D972BC">
            <w:pPr>
              <w:jc w:val="right"/>
              <w:textAlignment w:val="bottom"/>
            </w:pPr>
            <w:r>
              <w:rPr>
                <w:rFonts w:ascii="Arial" w:eastAsia="宋体" w:hAnsi="Arial" w:cs="Arial"/>
                <w:color w:val="000000"/>
                <w:sz w:val="18"/>
                <w:szCs w:val="18"/>
              </w:rPr>
              <w:t>(444)</w:t>
            </w:r>
          </w:p>
        </w:tc>
        <w:tc>
          <w:tcPr>
            <w:tcW w:w="0" w:type="auto"/>
            <w:shd w:val="clear" w:color="auto" w:fill="FFFFFF"/>
            <w:tcMar>
              <w:top w:w="40" w:type="dxa"/>
              <w:left w:w="0" w:type="dxa"/>
              <w:bottom w:w="40" w:type="dxa"/>
              <w:right w:w="20" w:type="dxa"/>
            </w:tcMar>
            <w:vAlign w:val="bottom"/>
          </w:tcPr>
          <w:p w14:paraId="22CFB58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8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58E" w14:textId="77777777" w:rsidR="002661BA" w:rsidRDefault="00D972BC">
            <w:pPr>
              <w:jc w:val="right"/>
              <w:textAlignment w:val="bottom"/>
            </w:pPr>
            <w:r>
              <w:rPr>
                <w:rFonts w:ascii="Arial" w:eastAsia="宋体" w:hAnsi="Arial" w:cs="Arial"/>
                <w:color w:val="000000"/>
                <w:sz w:val="18"/>
                <w:szCs w:val="18"/>
              </w:rPr>
              <w:t>(463)</w:t>
            </w:r>
          </w:p>
        </w:tc>
        <w:tc>
          <w:tcPr>
            <w:tcW w:w="0" w:type="auto"/>
            <w:shd w:val="clear" w:color="auto" w:fill="FFFFFF"/>
            <w:tcMar>
              <w:top w:w="40" w:type="dxa"/>
              <w:left w:w="0" w:type="dxa"/>
              <w:bottom w:w="40" w:type="dxa"/>
              <w:right w:w="20" w:type="dxa"/>
            </w:tcMar>
            <w:vAlign w:val="bottom"/>
          </w:tcPr>
          <w:p w14:paraId="22CFB58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9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591" w14:textId="77777777" w:rsidR="002661BA" w:rsidRDefault="00D972BC">
            <w:pPr>
              <w:jc w:val="right"/>
              <w:textAlignment w:val="bottom"/>
            </w:pPr>
            <w:r>
              <w:rPr>
                <w:rFonts w:ascii="Arial" w:eastAsia="宋体" w:hAnsi="Arial" w:cs="Arial"/>
                <w:color w:val="000000"/>
                <w:sz w:val="18"/>
                <w:szCs w:val="18"/>
              </w:rPr>
              <w:t>(508)</w:t>
            </w:r>
          </w:p>
        </w:tc>
        <w:tc>
          <w:tcPr>
            <w:tcW w:w="0" w:type="auto"/>
            <w:shd w:val="clear" w:color="auto" w:fill="FFFFFF"/>
            <w:tcMar>
              <w:top w:w="40" w:type="dxa"/>
              <w:left w:w="0" w:type="dxa"/>
              <w:bottom w:w="40" w:type="dxa"/>
              <w:right w:w="20" w:type="dxa"/>
            </w:tcMar>
            <w:vAlign w:val="bottom"/>
          </w:tcPr>
          <w:p w14:paraId="22CFB592" w14:textId="77777777" w:rsidR="002661BA" w:rsidRDefault="002661BA">
            <w:pPr>
              <w:jc w:val="right"/>
              <w:rPr>
                <w:rFonts w:ascii="宋体"/>
              </w:rPr>
            </w:pPr>
          </w:p>
        </w:tc>
      </w:tr>
      <w:tr w:rsidR="002661BA" w14:paraId="22CFB59D" w14:textId="77777777">
        <w:trPr>
          <w:jc w:val="center"/>
        </w:trPr>
        <w:tc>
          <w:tcPr>
            <w:tcW w:w="0" w:type="auto"/>
            <w:gridSpan w:val="3"/>
            <w:shd w:val="clear" w:color="auto" w:fill="DBDBDB"/>
            <w:tcMar>
              <w:top w:w="40" w:type="dxa"/>
              <w:left w:w="245" w:type="dxa"/>
              <w:bottom w:w="40" w:type="dxa"/>
              <w:right w:w="20" w:type="dxa"/>
            </w:tcMar>
            <w:vAlign w:val="bottom"/>
          </w:tcPr>
          <w:p w14:paraId="22CFB594" w14:textId="77777777" w:rsidR="002661BA" w:rsidRDefault="00D972BC">
            <w:pPr>
              <w:textAlignment w:val="bottom"/>
            </w:pPr>
            <w:r>
              <w:rPr>
                <w:rFonts w:ascii="Arial" w:eastAsia="宋体" w:hAnsi="Arial" w:cs="Arial"/>
                <w:color w:val="000000"/>
                <w:sz w:val="18"/>
                <w:szCs w:val="18"/>
              </w:rPr>
              <w:t>Purchases of investments</w:t>
            </w:r>
          </w:p>
        </w:tc>
        <w:tc>
          <w:tcPr>
            <w:tcW w:w="0" w:type="auto"/>
            <w:gridSpan w:val="2"/>
            <w:shd w:val="clear" w:color="auto" w:fill="DBDBDB"/>
            <w:tcMar>
              <w:top w:w="40" w:type="dxa"/>
              <w:left w:w="20" w:type="dxa"/>
              <w:bottom w:w="40" w:type="dxa"/>
              <w:right w:w="0" w:type="dxa"/>
            </w:tcMar>
            <w:vAlign w:val="bottom"/>
          </w:tcPr>
          <w:p w14:paraId="22CFB595" w14:textId="77777777" w:rsidR="002661BA" w:rsidRDefault="00D972BC">
            <w:pPr>
              <w:jc w:val="right"/>
              <w:textAlignment w:val="bottom"/>
            </w:pPr>
            <w:r>
              <w:rPr>
                <w:rFonts w:ascii="Arial" w:eastAsia="宋体" w:hAnsi="Arial" w:cs="Arial"/>
                <w:color w:val="000000"/>
                <w:sz w:val="18"/>
                <w:szCs w:val="18"/>
              </w:rPr>
              <w:t>(22,161)</w:t>
            </w:r>
          </w:p>
        </w:tc>
        <w:tc>
          <w:tcPr>
            <w:tcW w:w="0" w:type="auto"/>
            <w:shd w:val="clear" w:color="auto" w:fill="DBDBDB"/>
            <w:tcMar>
              <w:top w:w="40" w:type="dxa"/>
              <w:left w:w="0" w:type="dxa"/>
              <w:bottom w:w="40" w:type="dxa"/>
              <w:right w:w="20" w:type="dxa"/>
            </w:tcMar>
            <w:vAlign w:val="bottom"/>
          </w:tcPr>
          <w:p w14:paraId="22CFB596"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97"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598" w14:textId="77777777" w:rsidR="002661BA" w:rsidRDefault="00D972BC">
            <w:pPr>
              <w:jc w:val="right"/>
              <w:textAlignment w:val="bottom"/>
            </w:pPr>
            <w:r>
              <w:rPr>
                <w:rFonts w:ascii="Arial" w:eastAsia="宋体" w:hAnsi="Arial" w:cs="Arial"/>
                <w:color w:val="000000"/>
                <w:sz w:val="18"/>
                <w:szCs w:val="18"/>
              </w:rPr>
              <w:t>(32,887)</w:t>
            </w:r>
          </w:p>
        </w:tc>
        <w:tc>
          <w:tcPr>
            <w:tcW w:w="0" w:type="auto"/>
            <w:shd w:val="clear" w:color="auto" w:fill="DBDBDB"/>
            <w:tcMar>
              <w:top w:w="40" w:type="dxa"/>
              <w:left w:w="0" w:type="dxa"/>
              <w:bottom w:w="40" w:type="dxa"/>
              <w:right w:w="20" w:type="dxa"/>
            </w:tcMar>
            <w:vAlign w:val="bottom"/>
          </w:tcPr>
          <w:p w14:paraId="22CFB599"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9A"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59B" w14:textId="77777777" w:rsidR="002661BA" w:rsidRDefault="00D972BC">
            <w:pPr>
              <w:jc w:val="right"/>
              <w:textAlignment w:val="bottom"/>
            </w:pPr>
            <w:r>
              <w:rPr>
                <w:rFonts w:ascii="Arial" w:eastAsia="宋体" w:hAnsi="Arial" w:cs="Arial"/>
                <w:color w:val="000000"/>
                <w:sz w:val="18"/>
                <w:szCs w:val="18"/>
              </w:rPr>
              <w:t>(46,966)</w:t>
            </w:r>
          </w:p>
        </w:tc>
        <w:tc>
          <w:tcPr>
            <w:tcW w:w="0" w:type="auto"/>
            <w:shd w:val="clear" w:color="auto" w:fill="DBDBDB"/>
            <w:tcMar>
              <w:top w:w="40" w:type="dxa"/>
              <w:left w:w="0" w:type="dxa"/>
              <w:bottom w:w="40" w:type="dxa"/>
              <w:right w:w="20" w:type="dxa"/>
            </w:tcMar>
            <w:vAlign w:val="bottom"/>
          </w:tcPr>
          <w:p w14:paraId="22CFB59C" w14:textId="77777777" w:rsidR="002661BA" w:rsidRDefault="002661BA">
            <w:pPr>
              <w:jc w:val="right"/>
              <w:rPr>
                <w:rFonts w:ascii="宋体"/>
              </w:rPr>
            </w:pPr>
          </w:p>
        </w:tc>
      </w:tr>
      <w:tr w:rsidR="002661BA" w14:paraId="22CFB5A7" w14:textId="77777777">
        <w:trPr>
          <w:jc w:val="center"/>
        </w:trPr>
        <w:tc>
          <w:tcPr>
            <w:tcW w:w="0" w:type="auto"/>
            <w:gridSpan w:val="3"/>
            <w:shd w:val="clear" w:color="auto" w:fill="FFFFFF"/>
            <w:tcMar>
              <w:top w:w="40" w:type="dxa"/>
              <w:left w:w="245" w:type="dxa"/>
              <w:bottom w:w="40" w:type="dxa"/>
              <w:right w:w="20" w:type="dxa"/>
            </w:tcMar>
            <w:vAlign w:val="bottom"/>
          </w:tcPr>
          <w:p w14:paraId="22CFB59E" w14:textId="77777777" w:rsidR="002661BA" w:rsidRDefault="00D972BC">
            <w:pPr>
              <w:textAlignment w:val="bottom"/>
            </w:pPr>
            <w:r>
              <w:rPr>
                <w:rFonts w:ascii="Arial" w:eastAsia="宋体" w:hAnsi="Arial" w:cs="Arial"/>
                <w:color w:val="000000"/>
                <w:sz w:val="18"/>
                <w:szCs w:val="18"/>
              </w:rPr>
              <w:t>Maturities and sales of investments</w:t>
            </w:r>
          </w:p>
        </w:tc>
        <w:tc>
          <w:tcPr>
            <w:tcW w:w="0" w:type="auto"/>
            <w:gridSpan w:val="2"/>
            <w:shd w:val="clear" w:color="auto" w:fill="FFFFFF"/>
            <w:tcMar>
              <w:top w:w="40" w:type="dxa"/>
              <w:left w:w="20" w:type="dxa"/>
              <w:bottom w:w="40" w:type="dxa"/>
              <w:right w:w="0" w:type="dxa"/>
            </w:tcMar>
            <w:vAlign w:val="bottom"/>
          </w:tcPr>
          <w:p w14:paraId="22CFB59F" w14:textId="77777777" w:rsidR="002661BA" w:rsidRDefault="00D972BC">
            <w:pPr>
              <w:jc w:val="right"/>
              <w:textAlignment w:val="bottom"/>
            </w:pPr>
            <w:r>
              <w:rPr>
                <w:rFonts w:ascii="Arial" w:eastAsia="宋体" w:hAnsi="Arial" w:cs="Arial"/>
                <w:color w:val="000000"/>
                <w:sz w:val="18"/>
                <w:szCs w:val="18"/>
              </w:rPr>
              <w:t>18,884 </w:t>
            </w:r>
          </w:p>
        </w:tc>
        <w:tc>
          <w:tcPr>
            <w:tcW w:w="0" w:type="auto"/>
            <w:shd w:val="clear" w:color="auto" w:fill="FFFFFF"/>
            <w:tcMar>
              <w:top w:w="40" w:type="dxa"/>
              <w:left w:w="0" w:type="dxa"/>
              <w:bottom w:w="40" w:type="dxa"/>
              <w:right w:w="20" w:type="dxa"/>
            </w:tcMar>
            <w:vAlign w:val="bottom"/>
          </w:tcPr>
          <w:p w14:paraId="22CFB5A0"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A1"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5A2" w14:textId="77777777" w:rsidR="002661BA" w:rsidRDefault="00D972BC">
            <w:pPr>
              <w:jc w:val="right"/>
              <w:textAlignment w:val="bottom"/>
            </w:pPr>
            <w:r>
              <w:rPr>
                <w:rFonts w:ascii="Arial" w:eastAsia="宋体" w:hAnsi="Arial" w:cs="Arial"/>
                <w:color w:val="000000"/>
                <w:sz w:val="18"/>
                <w:szCs w:val="18"/>
              </w:rPr>
              <w:t>33,129 </w:t>
            </w:r>
          </w:p>
        </w:tc>
        <w:tc>
          <w:tcPr>
            <w:tcW w:w="0" w:type="auto"/>
            <w:shd w:val="clear" w:color="auto" w:fill="FFFFFF"/>
            <w:tcMar>
              <w:top w:w="40" w:type="dxa"/>
              <w:left w:w="0" w:type="dxa"/>
              <w:bottom w:w="40" w:type="dxa"/>
              <w:right w:w="20" w:type="dxa"/>
            </w:tcMar>
            <w:vAlign w:val="bottom"/>
          </w:tcPr>
          <w:p w14:paraId="22CFB5A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A4"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5A5" w14:textId="77777777" w:rsidR="002661BA" w:rsidRDefault="00D972BC">
            <w:pPr>
              <w:jc w:val="right"/>
              <w:textAlignment w:val="bottom"/>
            </w:pPr>
            <w:r>
              <w:rPr>
                <w:rFonts w:ascii="Arial" w:eastAsia="宋体" w:hAnsi="Arial" w:cs="Arial"/>
                <w:color w:val="000000"/>
                <w:sz w:val="18"/>
                <w:szCs w:val="18"/>
              </w:rPr>
              <w:t>50,548 </w:t>
            </w:r>
          </w:p>
        </w:tc>
        <w:tc>
          <w:tcPr>
            <w:tcW w:w="0" w:type="auto"/>
            <w:shd w:val="clear" w:color="auto" w:fill="FFFFFF"/>
            <w:tcMar>
              <w:top w:w="40" w:type="dxa"/>
              <w:left w:w="0" w:type="dxa"/>
              <w:bottom w:w="40" w:type="dxa"/>
              <w:right w:w="20" w:type="dxa"/>
            </w:tcMar>
            <w:vAlign w:val="bottom"/>
          </w:tcPr>
          <w:p w14:paraId="22CFB5A6" w14:textId="77777777" w:rsidR="002661BA" w:rsidRDefault="002661BA">
            <w:pPr>
              <w:jc w:val="right"/>
              <w:rPr>
                <w:rFonts w:ascii="宋体"/>
              </w:rPr>
            </w:pPr>
          </w:p>
        </w:tc>
      </w:tr>
      <w:tr w:rsidR="002661BA" w14:paraId="22CFB5AE" w14:textId="77777777">
        <w:trPr>
          <w:jc w:val="center"/>
          <w:hidden/>
        </w:trPr>
        <w:tc>
          <w:tcPr>
            <w:tcW w:w="0" w:type="auto"/>
            <w:gridSpan w:val="3"/>
            <w:shd w:val="clear" w:color="auto" w:fill="auto"/>
            <w:vAlign w:val="bottom"/>
          </w:tcPr>
          <w:p w14:paraId="22CFB5A8" w14:textId="77777777" w:rsidR="002661BA" w:rsidRDefault="002661BA">
            <w:pPr>
              <w:rPr>
                <w:rFonts w:ascii="宋体"/>
                <w:vanish/>
              </w:rPr>
            </w:pPr>
          </w:p>
        </w:tc>
        <w:tc>
          <w:tcPr>
            <w:tcW w:w="0" w:type="auto"/>
            <w:gridSpan w:val="3"/>
            <w:shd w:val="clear" w:color="auto" w:fill="auto"/>
            <w:vAlign w:val="bottom"/>
          </w:tcPr>
          <w:p w14:paraId="22CFB5A9" w14:textId="77777777" w:rsidR="002661BA" w:rsidRDefault="002661BA">
            <w:pPr>
              <w:rPr>
                <w:rFonts w:ascii="宋体"/>
                <w:vanish/>
              </w:rPr>
            </w:pPr>
          </w:p>
        </w:tc>
        <w:tc>
          <w:tcPr>
            <w:tcW w:w="0" w:type="auto"/>
            <w:gridSpan w:val="3"/>
            <w:shd w:val="clear" w:color="auto" w:fill="auto"/>
            <w:vAlign w:val="bottom"/>
          </w:tcPr>
          <w:p w14:paraId="22CFB5AA" w14:textId="77777777" w:rsidR="002661BA" w:rsidRDefault="002661BA">
            <w:pPr>
              <w:rPr>
                <w:rFonts w:ascii="宋体"/>
                <w:vanish/>
              </w:rPr>
            </w:pPr>
          </w:p>
        </w:tc>
        <w:tc>
          <w:tcPr>
            <w:tcW w:w="0" w:type="auto"/>
            <w:gridSpan w:val="3"/>
            <w:shd w:val="clear" w:color="auto" w:fill="auto"/>
            <w:vAlign w:val="bottom"/>
          </w:tcPr>
          <w:p w14:paraId="22CFB5AB" w14:textId="77777777" w:rsidR="002661BA" w:rsidRDefault="002661BA">
            <w:pPr>
              <w:rPr>
                <w:rFonts w:ascii="宋体"/>
                <w:vanish/>
              </w:rPr>
            </w:pPr>
          </w:p>
        </w:tc>
        <w:tc>
          <w:tcPr>
            <w:tcW w:w="0" w:type="auto"/>
            <w:gridSpan w:val="3"/>
            <w:shd w:val="clear" w:color="auto" w:fill="auto"/>
            <w:vAlign w:val="bottom"/>
          </w:tcPr>
          <w:p w14:paraId="22CFB5AC" w14:textId="77777777" w:rsidR="002661BA" w:rsidRDefault="002661BA">
            <w:pPr>
              <w:rPr>
                <w:rFonts w:ascii="宋体"/>
                <w:vanish/>
              </w:rPr>
            </w:pPr>
          </w:p>
        </w:tc>
        <w:tc>
          <w:tcPr>
            <w:tcW w:w="0" w:type="auto"/>
            <w:gridSpan w:val="3"/>
            <w:shd w:val="clear" w:color="auto" w:fill="auto"/>
            <w:vAlign w:val="bottom"/>
          </w:tcPr>
          <w:p w14:paraId="22CFB5AD" w14:textId="77777777" w:rsidR="002661BA" w:rsidRDefault="002661BA">
            <w:pPr>
              <w:rPr>
                <w:rFonts w:ascii="宋体"/>
                <w:vanish/>
              </w:rPr>
            </w:pPr>
          </w:p>
        </w:tc>
      </w:tr>
      <w:tr w:rsidR="002661BA" w14:paraId="22CFB5B5" w14:textId="77777777">
        <w:trPr>
          <w:jc w:val="center"/>
          <w:hidden/>
        </w:trPr>
        <w:tc>
          <w:tcPr>
            <w:tcW w:w="0" w:type="auto"/>
            <w:gridSpan w:val="3"/>
            <w:shd w:val="clear" w:color="auto" w:fill="auto"/>
            <w:vAlign w:val="bottom"/>
          </w:tcPr>
          <w:p w14:paraId="22CFB5AF" w14:textId="77777777" w:rsidR="002661BA" w:rsidRDefault="002661BA">
            <w:pPr>
              <w:rPr>
                <w:rFonts w:ascii="宋体"/>
                <w:vanish/>
              </w:rPr>
            </w:pPr>
          </w:p>
        </w:tc>
        <w:tc>
          <w:tcPr>
            <w:tcW w:w="0" w:type="auto"/>
            <w:gridSpan w:val="3"/>
            <w:shd w:val="clear" w:color="auto" w:fill="auto"/>
            <w:vAlign w:val="bottom"/>
          </w:tcPr>
          <w:p w14:paraId="22CFB5B0" w14:textId="77777777" w:rsidR="002661BA" w:rsidRDefault="002661BA">
            <w:pPr>
              <w:rPr>
                <w:rFonts w:ascii="宋体"/>
                <w:vanish/>
              </w:rPr>
            </w:pPr>
          </w:p>
        </w:tc>
        <w:tc>
          <w:tcPr>
            <w:tcW w:w="0" w:type="auto"/>
            <w:gridSpan w:val="3"/>
            <w:shd w:val="clear" w:color="auto" w:fill="auto"/>
            <w:vAlign w:val="bottom"/>
          </w:tcPr>
          <w:p w14:paraId="22CFB5B1" w14:textId="77777777" w:rsidR="002661BA" w:rsidRDefault="002661BA">
            <w:pPr>
              <w:rPr>
                <w:rFonts w:ascii="宋体"/>
                <w:vanish/>
              </w:rPr>
            </w:pPr>
          </w:p>
        </w:tc>
        <w:tc>
          <w:tcPr>
            <w:tcW w:w="0" w:type="auto"/>
            <w:gridSpan w:val="3"/>
            <w:shd w:val="clear" w:color="auto" w:fill="auto"/>
            <w:vAlign w:val="bottom"/>
          </w:tcPr>
          <w:p w14:paraId="22CFB5B2" w14:textId="77777777" w:rsidR="002661BA" w:rsidRDefault="002661BA">
            <w:pPr>
              <w:rPr>
                <w:rFonts w:ascii="宋体"/>
                <w:vanish/>
              </w:rPr>
            </w:pPr>
          </w:p>
        </w:tc>
        <w:tc>
          <w:tcPr>
            <w:tcW w:w="0" w:type="auto"/>
            <w:gridSpan w:val="3"/>
            <w:shd w:val="clear" w:color="auto" w:fill="auto"/>
            <w:vAlign w:val="bottom"/>
          </w:tcPr>
          <w:p w14:paraId="22CFB5B3" w14:textId="77777777" w:rsidR="002661BA" w:rsidRDefault="002661BA">
            <w:pPr>
              <w:rPr>
                <w:rFonts w:ascii="宋体"/>
                <w:vanish/>
              </w:rPr>
            </w:pPr>
          </w:p>
        </w:tc>
        <w:tc>
          <w:tcPr>
            <w:tcW w:w="0" w:type="auto"/>
            <w:gridSpan w:val="3"/>
            <w:shd w:val="clear" w:color="auto" w:fill="auto"/>
            <w:vAlign w:val="bottom"/>
          </w:tcPr>
          <w:p w14:paraId="22CFB5B4" w14:textId="77777777" w:rsidR="002661BA" w:rsidRDefault="002661BA">
            <w:pPr>
              <w:rPr>
                <w:rFonts w:ascii="宋体"/>
                <w:vanish/>
              </w:rPr>
            </w:pPr>
          </w:p>
        </w:tc>
      </w:tr>
      <w:tr w:rsidR="002661BA" w14:paraId="22CFB5BF" w14:textId="77777777">
        <w:trPr>
          <w:jc w:val="center"/>
        </w:trPr>
        <w:tc>
          <w:tcPr>
            <w:tcW w:w="0" w:type="auto"/>
            <w:gridSpan w:val="3"/>
            <w:shd w:val="clear" w:color="auto" w:fill="DBDBDB"/>
            <w:tcMar>
              <w:top w:w="40" w:type="dxa"/>
              <w:left w:w="245" w:type="dxa"/>
              <w:bottom w:w="40" w:type="dxa"/>
              <w:right w:w="20" w:type="dxa"/>
            </w:tcMar>
            <w:vAlign w:val="bottom"/>
          </w:tcPr>
          <w:p w14:paraId="22CFB5B6" w14:textId="77777777" w:rsidR="002661BA" w:rsidRDefault="00D972BC">
            <w:pPr>
              <w:textAlignment w:val="bottom"/>
            </w:pPr>
            <w:r>
              <w:rPr>
                <w:rFonts w:ascii="Arial" w:eastAsia="宋体" w:hAnsi="Arial" w:cs="Arial"/>
                <w:color w:val="000000"/>
                <w:sz w:val="18"/>
                <w:szCs w:val="18"/>
              </w:rPr>
              <w:t>Proceeds from sale of shares in Adevinta</w:t>
            </w:r>
          </w:p>
        </w:tc>
        <w:tc>
          <w:tcPr>
            <w:tcW w:w="0" w:type="auto"/>
            <w:gridSpan w:val="2"/>
            <w:shd w:val="clear" w:color="auto" w:fill="DBDBDB"/>
            <w:tcMar>
              <w:top w:w="40" w:type="dxa"/>
              <w:left w:w="20" w:type="dxa"/>
              <w:bottom w:w="40" w:type="dxa"/>
              <w:right w:w="0" w:type="dxa"/>
            </w:tcMar>
            <w:vAlign w:val="bottom"/>
          </w:tcPr>
          <w:p w14:paraId="22CFB5B7" w14:textId="77777777" w:rsidR="002661BA" w:rsidRDefault="00D972BC">
            <w:pPr>
              <w:jc w:val="right"/>
              <w:textAlignment w:val="bottom"/>
            </w:pPr>
            <w:r>
              <w:rPr>
                <w:rFonts w:ascii="Arial" w:eastAsia="宋体" w:hAnsi="Arial" w:cs="Arial"/>
                <w:color w:val="000000"/>
                <w:sz w:val="18"/>
                <w:szCs w:val="18"/>
              </w:rPr>
              <w:t>2,325 </w:t>
            </w:r>
          </w:p>
        </w:tc>
        <w:tc>
          <w:tcPr>
            <w:tcW w:w="0" w:type="auto"/>
            <w:shd w:val="clear" w:color="auto" w:fill="DBDBDB"/>
            <w:tcMar>
              <w:top w:w="40" w:type="dxa"/>
              <w:left w:w="0" w:type="dxa"/>
              <w:bottom w:w="40" w:type="dxa"/>
              <w:right w:w="20" w:type="dxa"/>
            </w:tcMar>
            <w:vAlign w:val="bottom"/>
          </w:tcPr>
          <w:p w14:paraId="22CFB5B8"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B9"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5BA"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B5BB"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BC"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5BD"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B5BE" w14:textId="77777777" w:rsidR="002661BA" w:rsidRDefault="002661BA">
            <w:pPr>
              <w:jc w:val="right"/>
              <w:rPr>
                <w:rFonts w:ascii="宋体"/>
              </w:rPr>
            </w:pPr>
          </w:p>
        </w:tc>
      </w:tr>
      <w:tr w:rsidR="002661BA" w14:paraId="22CFB5C6" w14:textId="77777777">
        <w:trPr>
          <w:jc w:val="center"/>
          <w:hidden/>
        </w:trPr>
        <w:tc>
          <w:tcPr>
            <w:tcW w:w="0" w:type="auto"/>
            <w:gridSpan w:val="3"/>
            <w:shd w:val="clear" w:color="auto" w:fill="auto"/>
            <w:vAlign w:val="bottom"/>
          </w:tcPr>
          <w:p w14:paraId="22CFB5C0" w14:textId="77777777" w:rsidR="002661BA" w:rsidRDefault="002661BA">
            <w:pPr>
              <w:rPr>
                <w:rFonts w:ascii="宋体"/>
                <w:vanish/>
              </w:rPr>
            </w:pPr>
          </w:p>
        </w:tc>
        <w:tc>
          <w:tcPr>
            <w:tcW w:w="0" w:type="auto"/>
            <w:gridSpan w:val="3"/>
            <w:shd w:val="clear" w:color="auto" w:fill="auto"/>
            <w:vAlign w:val="bottom"/>
          </w:tcPr>
          <w:p w14:paraId="22CFB5C1" w14:textId="77777777" w:rsidR="002661BA" w:rsidRDefault="002661BA">
            <w:pPr>
              <w:rPr>
                <w:rFonts w:ascii="宋体"/>
                <w:vanish/>
              </w:rPr>
            </w:pPr>
          </w:p>
        </w:tc>
        <w:tc>
          <w:tcPr>
            <w:tcW w:w="0" w:type="auto"/>
            <w:gridSpan w:val="3"/>
            <w:shd w:val="clear" w:color="auto" w:fill="auto"/>
            <w:vAlign w:val="bottom"/>
          </w:tcPr>
          <w:p w14:paraId="22CFB5C2" w14:textId="77777777" w:rsidR="002661BA" w:rsidRDefault="002661BA">
            <w:pPr>
              <w:rPr>
                <w:rFonts w:ascii="宋体"/>
                <w:vanish/>
              </w:rPr>
            </w:pPr>
          </w:p>
        </w:tc>
        <w:tc>
          <w:tcPr>
            <w:tcW w:w="0" w:type="auto"/>
            <w:gridSpan w:val="3"/>
            <w:shd w:val="clear" w:color="auto" w:fill="auto"/>
            <w:vAlign w:val="bottom"/>
          </w:tcPr>
          <w:p w14:paraId="22CFB5C3" w14:textId="77777777" w:rsidR="002661BA" w:rsidRDefault="002661BA">
            <w:pPr>
              <w:rPr>
                <w:rFonts w:ascii="宋体"/>
                <w:vanish/>
              </w:rPr>
            </w:pPr>
          </w:p>
        </w:tc>
        <w:tc>
          <w:tcPr>
            <w:tcW w:w="0" w:type="auto"/>
            <w:gridSpan w:val="3"/>
            <w:shd w:val="clear" w:color="auto" w:fill="auto"/>
            <w:vAlign w:val="bottom"/>
          </w:tcPr>
          <w:p w14:paraId="22CFB5C4" w14:textId="77777777" w:rsidR="002661BA" w:rsidRDefault="002661BA">
            <w:pPr>
              <w:rPr>
                <w:rFonts w:ascii="宋体"/>
                <w:vanish/>
              </w:rPr>
            </w:pPr>
          </w:p>
        </w:tc>
        <w:tc>
          <w:tcPr>
            <w:tcW w:w="0" w:type="auto"/>
            <w:gridSpan w:val="3"/>
            <w:shd w:val="clear" w:color="auto" w:fill="auto"/>
            <w:vAlign w:val="bottom"/>
          </w:tcPr>
          <w:p w14:paraId="22CFB5C5" w14:textId="77777777" w:rsidR="002661BA" w:rsidRDefault="002661BA">
            <w:pPr>
              <w:rPr>
                <w:rFonts w:ascii="宋体"/>
                <w:vanish/>
              </w:rPr>
            </w:pPr>
          </w:p>
        </w:tc>
      </w:tr>
      <w:tr w:rsidR="002661BA" w14:paraId="22CFB5D0" w14:textId="77777777">
        <w:trPr>
          <w:jc w:val="center"/>
        </w:trPr>
        <w:tc>
          <w:tcPr>
            <w:tcW w:w="0" w:type="auto"/>
            <w:gridSpan w:val="3"/>
            <w:shd w:val="clear" w:color="auto" w:fill="FFFFFF"/>
            <w:tcMar>
              <w:top w:w="40" w:type="dxa"/>
              <w:left w:w="245" w:type="dxa"/>
              <w:bottom w:w="40" w:type="dxa"/>
              <w:right w:w="20" w:type="dxa"/>
            </w:tcMar>
            <w:vAlign w:val="bottom"/>
          </w:tcPr>
          <w:p w14:paraId="22CFB5C7" w14:textId="77777777" w:rsidR="002661BA" w:rsidRDefault="00D972BC">
            <w:pPr>
              <w:textAlignment w:val="bottom"/>
            </w:pPr>
            <w:r>
              <w:rPr>
                <w:rFonts w:ascii="Arial" w:eastAsia="宋体" w:hAnsi="Arial" w:cs="Arial"/>
                <w:color w:val="000000"/>
                <w:sz w:val="18"/>
                <w:szCs w:val="18"/>
              </w:rPr>
              <w:t xml:space="preserve">Settlement of foreign exchange </w:t>
            </w:r>
            <w:r>
              <w:rPr>
                <w:rFonts w:ascii="Arial" w:eastAsia="宋体" w:hAnsi="Arial" w:cs="Arial"/>
                <w:color w:val="000000"/>
                <w:sz w:val="18"/>
                <w:szCs w:val="18"/>
              </w:rPr>
              <w:t>derivative instruments in equity investments</w:t>
            </w:r>
          </w:p>
        </w:tc>
        <w:tc>
          <w:tcPr>
            <w:tcW w:w="0" w:type="auto"/>
            <w:gridSpan w:val="2"/>
            <w:shd w:val="clear" w:color="auto" w:fill="FFFFFF"/>
            <w:tcMar>
              <w:top w:w="40" w:type="dxa"/>
              <w:left w:w="20" w:type="dxa"/>
              <w:bottom w:w="40" w:type="dxa"/>
              <w:right w:w="0" w:type="dxa"/>
            </w:tcMar>
            <w:vAlign w:val="bottom"/>
          </w:tcPr>
          <w:p w14:paraId="22CFB5C8" w14:textId="77777777" w:rsidR="002661BA" w:rsidRDefault="00D972BC">
            <w:pPr>
              <w:jc w:val="right"/>
              <w:textAlignment w:val="bottom"/>
            </w:pPr>
            <w:r>
              <w:rPr>
                <w:rFonts w:ascii="Arial" w:eastAsia="宋体" w:hAnsi="Arial" w:cs="Arial"/>
                <w:color w:val="000000"/>
                <w:sz w:val="18"/>
                <w:szCs w:val="18"/>
              </w:rPr>
              <w:t>85 </w:t>
            </w:r>
          </w:p>
        </w:tc>
        <w:tc>
          <w:tcPr>
            <w:tcW w:w="0" w:type="auto"/>
            <w:shd w:val="clear" w:color="auto" w:fill="FFFFFF"/>
            <w:tcMar>
              <w:top w:w="40" w:type="dxa"/>
              <w:left w:w="0" w:type="dxa"/>
              <w:bottom w:w="40" w:type="dxa"/>
              <w:right w:w="20" w:type="dxa"/>
            </w:tcMar>
            <w:vAlign w:val="bottom"/>
          </w:tcPr>
          <w:p w14:paraId="22CFB5C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C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5CB"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5C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C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5CE"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5CF" w14:textId="77777777" w:rsidR="002661BA" w:rsidRDefault="002661BA">
            <w:pPr>
              <w:jc w:val="right"/>
              <w:rPr>
                <w:rFonts w:ascii="宋体"/>
              </w:rPr>
            </w:pPr>
          </w:p>
        </w:tc>
      </w:tr>
      <w:tr w:rsidR="002661BA" w14:paraId="22CFB5DA" w14:textId="77777777">
        <w:trPr>
          <w:jc w:val="center"/>
        </w:trPr>
        <w:tc>
          <w:tcPr>
            <w:tcW w:w="0" w:type="auto"/>
            <w:gridSpan w:val="3"/>
            <w:shd w:val="clear" w:color="auto" w:fill="DBDBDB"/>
            <w:tcMar>
              <w:top w:w="40" w:type="dxa"/>
              <w:left w:w="245" w:type="dxa"/>
              <w:bottom w:w="40" w:type="dxa"/>
              <w:right w:w="20" w:type="dxa"/>
            </w:tcMar>
            <w:vAlign w:val="bottom"/>
          </w:tcPr>
          <w:p w14:paraId="22CFB5D1" w14:textId="77777777" w:rsidR="002661BA" w:rsidRDefault="00D972BC">
            <w:pPr>
              <w:textAlignment w:val="bottom"/>
            </w:pPr>
            <w:r>
              <w:rPr>
                <w:rFonts w:ascii="Arial" w:eastAsia="宋体" w:hAnsi="Arial" w:cs="Arial"/>
                <w:color w:val="000000"/>
                <w:sz w:val="18"/>
                <w:szCs w:val="18"/>
              </w:rPr>
              <w:t>Exercise of options under warrant</w:t>
            </w:r>
          </w:p>
        </w:tc>
        <w:tc>
          <w:tcPr>
            <w:tcW w:w="0" w:type="auto"/>
            <w:gridSpan w:val="2"/>
            <w:shd w:val="clear" w:color="auto" w:fill="DBDBDB"/>
            <w:tcMar>
              <w:top w:w="40" w:type="dxa"/>
              <w:left w:w="20" w:type="dxa"/>
              <w:bottom w:w="40" w:type="dxa"/>
              <w:right w:w="0" w:type="dxa"/>
            </w:tcMar>
            <w:vAlign w:val="bottom"/>
          </w:tcPr>
          <w:p w14:paraId="22CFB5D2" w14:textId="77777777" w:rsidR="002661BA" w:rsidRDefault="00D972BC">
            <w:pPr>
              <w:jc w:val="right"/>
              <w:textAlignment w:val="bottom"/>
            </w:pPr>
            <w:r>
              <w:rPr>
                <w:rFonts w:ascii="Arial" w:eastAsia="宋体" w:hAnsi="Arial" w:cs="Arial"/>
                <w:color w:val="000000"/>
                <w:sz w:val="18"/>
                <w:szCs w:val="18"/>
              </w:rPr>
              <w:t>(110)</w:t>
            </w:r>
          </w:p>
        </w:tc>
        <w:tc>
          <w:tcPr>
            <w:tcW w:w="0" w:type="auto"/>
            <w:shd w:val="clear" w:color="auto" w:fill="DBDBDB"/>
            <w:tcMar>
              <w:top w:w="40" w:type="dxa"/>
              <w:left w:w="0" w:type="dxa"/>
              <w:bottom w:w="40" w:type="dxa"/>
              <w:right w:w="20" w:type="dxa"/>
            </w:tcMar>
            <w:vAlign w:val="bottom"/>
          </w:tcPr>
          <w:p w14:paraId="22CFB5D3"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D4"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5D5"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B5D6"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D7"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5D8"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B5D9" w14:textId="77777777" w:rsidR="002661BA" w:rsidRDefault="002661BA">
            <w:pPr>
              <w:jc w:val="right"/>
              <w:rPr>
                <w:rFonts w:ascii="宋体"/>
              </w:rPr>
            </w:pPr>
          </w:p>
        </w:tc>
      </w:tr>
      <w:tr w:rsidR="002661BA" w14:paraId="22CFB5E4" w14:textId="77777777">
        <w:trPr>
          <w:jc w:val="center"/>
        </w:trPr>
        <w:tc>
          <w:tcPr>
            <w:tcW w:w="0" w:type="auto"/>
            <w:gridSpan w:val="3"/>
            <w:shd w:val="clear" w:color="auto" w:fill="FFFFFF"/>
            <w:tcMar>
              <w:top w:w="40" w:type="dxa"/>
              <w:left w:w="245" w:type="dxa"/>
              <w:bottom w:w="40" w:type="dxa"/>
              <w:right w:w="20" w:type="dxa"/>
            </w:tcMar>
            <w:vAlign w:val="bottom"/>
          </w:tcPr>
          <w:p w14:paraId="22CFB5DB" w14:textId="77777777" w:rsidR="002661BA" w:rsidRDefault="00D972BC">
            <w:pPr>
              <w:textAlignment w:val="bottom"/>
            </w:pPr>
            <w:r>
              <w:rPr>
                <w:rFonts w:ascii="Arial" w:eastAsia="宋体" w:hAnsi="Arial" w:cs="Arial"/>
                <w:color w:val="000000"/>
                <w:sz w:val="18"/>
                <w:szCs w:val="18"/>
              </w:rPr>
              <w:t>Equity investment in Paytm Mall</w:t>
            </w:r>
          </w:p>
        </w:tc>
        <w:tc>
          <w:tcPr>
            <w:tcW w:w="0" w:type="auto"/>
            <w:gridSpan w:val="2"/>
            <w:shd w:val="clear" w:color="auto" w:fill="FFFFFF"/>
            <w:tcMar>
              <w:top w:w="40" w:type="dxa"/>
              <w:left w:w="20" w:type="dxa"/>
              <w:bottom w:w="40" w:type="dxa"/>
              <w:right w:w="0" w:type="dxa"/>
            </w:tcMar>
            <w:vAlign w:val="bottom"/>
          </w:tcPr>
          <w:p w14:paraId="22CFB5DC"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5D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DE"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5DF"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5E0"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E1"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5E2" w14:textId="77777777" w:rsidR="002661BA" w:rsidRDefault="00D972BC">
            <w:pPr>
              <w:jc w:val="right"/>
              <w:textAlignment w:val="bottom"/>
            </w:pPr>
            <w:r>
              <w:rPr>
                <w:rFonts w:ascii="Arial" w:eastAsia="宋体" w:hAnsi="Arial" w:cs="Arial"/>
                <w:color w:val="000000"/>
                <w:sz w:val="18"/>
                <w:szCs w:val="18"/>
              </w:rPr>
              <w:t>(160)</w:t>
            </w:r>
          </w:p>
        </w:tc>
        <w:tc>
          <w:tcPr>
            <w:tcW w:w="0" w:type="auto"/>
            <w:shd w:val="clear" w:color="auto" w:fill="FFFFFF"/>
            <w:tcMar>
              <w:top w:w="40" w:type="dxa"/>
              <w:left w:w="0" w:type="dxa"/>
              <w:bottom w:w="40" w:type="dxa"/>
              <w:right w:w="20" w:type="dxa"/>
            </w:tcMar>
            <w:vAlign w:val="bottom"/>
          </w:tcPr>
          <w:p w14:paraId="22CFB5E3" w14:textId="77777777" w:rsidR="002661BA" w:rsidRDefault="002661BA">
            <w:pPr>
              <w:jc w:val="right"/>
              <w:rPr>
                <w:rFonts w:ascii="宋体"/>
              </w:rPr>
            </w:pPr>
          </w:p>
        </w:tc>
      </w:tr>
      <w:tr w:rsidR="002661BA" w14:paraId="22CFB5EE" w14:textId="77777777">
        <w:trPr>
          <w:jc w:val="center"/>
        </w:trPr>
        <w:tc>
          <w:tcPr>
            <w:tcW w:w="0" w:type="auto"/>
            <w:gridSpan w:val="3"/>
            <w:shd w:val="clear" w:color="auto" w:fill="DBDBDB"/>
            <w:tcMar>
              <w:top w:w="40" w:type="dxa"/>
              <w:left w:w="245" w:type="dxa"/>
              <w:bottom w:w="40" w:type="dxa"/>
              <w:right w:w="20" w:type="dxa"/>
            </w:tcMar>
            <w:vAlign w:val="bottom"/>
          </w:tcPr>
          <w:p w14:paraId="22CFB5E5" w14:textId="77777777" w:rsidR="002661BA" w:rsidRDefault="00D972BC">
            <w:pPr>
              <w:textAlignment w:val="bottom"/>
            </w:pPr>
            <w:r>
              <w:rPr>
                <w:rFonts w:ascii="Arial" w:eastAsia="宋体" w:hAnsi="Arial" w:cs="Arial"/>
                <w:color w:val="000000"/>
                <w:sz w:val="18"/>
                <w:szCs w:val="18"/>
              </w:rPr>
              <w:t>Other</w:t>
            </w:r>
          </w:p>
        </w:tc>
        <w:tc>
          <w:tcPr>
            <w:tcW w:w="0" w:type="auto"/>
            <w:gridSpan w:val="2"/>
            <w:shd w:val="clear" w:color="auto" w:fill="DBDBDB"/>
            <w:tcMar>
              <w:top w:w="40" w:type="dxa"/>
              <w:left w:w="20" w:type="dxa"/>
              <w:bottom w:w="40" w:type="dxa"/>
              <w:right w:w="0" w:type="dxa"/>
            </w:tcMar>
            <w:vAlign w:val="bottom"/>
          </w:tcPr>
          <w:p w14:paraId="22CFB5E6" w14:textId="77777777" w:rsidR="002661BA" w:rsidRDefault="00D972BC">
            <w:pPr>
              <w:jc w:val="right"/>
              <w:textAlignment w:val="bottom"/>
            </w:pPr>
            <w:r>
              <w:rPr>
                <w:rFonts w:ascii="Arial" w:eastAsia="宋体" w:hAnsi="Arial" w:cs="Arial"/>
                <w:color w:val="000000"/>
                <w:sz w:val="18"/>
                <w:szCs w:val="18"/>
              </w:rPr>
              <w:t>4 </w:t>
            </w:r>
          </w:p>
        </w:tc>
        <w:tc>
          <w:tcPr>
            <w:tcW w:w="0" w:type="auto"/>
            <w:shd w:val="clear" w:color="auto" w:fill="DBDBDB"/>
            <w:tcMar>
              <w:top w:w="40" w:type="dxa"/>
              <w:left w:w="0" w:type="dxa"/>
              <w:bottom w:w="40" w:type="dxa"/>
              <w:right w:w="20" w:type="dxa"/>
            </w:tcMar>
            <w:vAlign w:val="bottom"/>
          </w:tcPr>
          <w:p w14:paraId="22CFB5E7"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E8"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5E9" w14:textId="77777777" w:rsidR="002661BA" w:rsidRDefault="00D972BC">
            <w:pPr>
              <w:jc w:val="right"/>
              <w:textAlignment w:val="bottom"/>
            </w:pPr>
            <w:r>
              <w:rPr>
                <w:rFonts w:ascii="Arial" w:eastAsia="宋体" w:hAnsi="Arial" w:cs="Arial"/>
                <w:color w:val="000000"/>
                <w:sz w:val="18"/>
                <w:szCs w:val="18"/>
              </w:rPr>
              <w:t>42 </w:t>
            </w:r>
          </w:p>
        </w:tc>
        <w:tc>
          <w:tcPr>
            <w:tcW w:w="0" w:type="auto"/>
            <w:shd w:val="clear" w:color="auto" w:fill="DBDBDB"/>
            <w:tcMar>
              <w:top w:w="40" w:type="dxa"/>
              <w:left w:w="0" w:type="dxa"/>
              <w:bottom w:w="40" w:type="dxa"/>
              <w:right w:w="20" w:type="dxa"/>
            </w:tcMar>
            <w:vAlign w:val="bottom"/>
          </w:tcPr>
          <w:p w14:paraId="22CFB5EA"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EB"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5EC" w14:textId="77777777" w:rsidR="002661BA" w:rsidRDefault="00D972BC">
            <w:pPr>
              <w:jc w:val="right"/>
              <w:textAlignment w:val="bottom"/>
            </w:pPr>
            <w:r>
              <w:rPr>
                <w:rFonts w:ascii="Arial" w:eastAsia="宋体" w:hAnsi="Arial" w:cs="Arial"/>
                <w:color w:val="000000"/>
                <w:sz w:val="18"/>
                <w:szCs w:val="18"/>
              </w:rPr>
              <w:t>(14)</w:t>
            </w:r>
          </w:p>
        </w:tc>
        <w:tc>
          <w:tcPr>
            <w:tcW w:w="0" w:type="auto"/>
            <w:shd w:val="clear" w:color="auto" w:fill="DBDBDB"/>
            <w:tcMar>
              <w:top w:w="40" w:type="dxa"/>
              <w:left w:w="0" w:type="dxa"/>
              <w:bottom w:w="40" w:type="dxa"/>
              <w:right w:w="20" w:type="dxa"/>
            </w:tcMar>
            <w:vAlign w:val="bottom"/>
          </w:tcPr>
          <w:p w14:paraId="22CFB5ED" w14:textId="77777777" w:rsidR="002661BA" w:rsidRDefault="002661BA">
            <w:pPr>
              <w:jc w:val="right"/>
              <w:rPr>
                <w:rFonts w:ascii="宋体"/>
              </w:rPr>
            </w:pPr>
          </w:p>
        </w:tc>
      </w:tr>
      <w:tr w:rsidR="002661BA" w14:paraId="22CFB5F8" w14:textId="77777777">
        <w:trPr>
          <w:jc w:val="center"/>
        </w:trPr>
        <w:tc>
          <w:tcPr>
            <w:tcW w:w="0" w:type="auto"/>
            <w:gridSpan w:val="3"/>
            <w:shd w:val="clear" w:color="auto" w:fill="FFFFFF"/>
            <w:tcMar>
              <w:top w:w="40" w:type="dxa"/>
              <w:left w:w="20" w:type="dxa"/>
              <w:bottom w:w="40" w:type="dxa"/>
              <w:right w:w="20" w:type="dxa"/>
            </w:tcMar>
            <w:vAlign w:val="bottom"/>
          </w:tcPr>
          <w:p w14:paraId="22CFB5EF" w14:textId="77777777" w:rsidR="002661BA" w:rsidRDefault="00D972BC">
            <w:pPr>
              <w:textAlignment w:val="bottom"/>
            </w:pPr>
            <w:r>
              <w:rPr>
                <w:rFonts w:ascii="Arial" w:eastAsia="宋体" w:hAnsi="Arial" w:cs="Arial"/>
                <w:color w:val="000000"/>
                <w:sz w:val="18"/>
                <w:szCs w:val="18"/>
              </w:rPr>
              <w:t xml:space="preserve">Net cash provided by (used in) continuing investing </w:t>
            </w:r>
            <w:r>
              <w:rPr>
                <w:rFonts w:ascii="Arial" w:eastAsia="宋体" w:hAnsi="Arial" w:cs="Arial"/>
                <w:color w:val="000000"/>
                <w:sz w:val="18"/>
                <w:szCs w:val="18"/>
              </w:rPr>
              <w:t>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5F0" w14:textId="77777777" w:rsidR="002661BA" w:rsidRDefault="00D972BC">
            <w:pPr>
              <w:jc w:val="right"/>
              <w:textAlignment w:val="bottom"/>
            </w:pPr>
            <w:r>
              <w:rPr>
                <w:rFonts w:ascii="Arial" w:eastAsia="宋体" w:hAnsi="Arial" w:cs="Arial"/>
                <w:color w:val="000000"/>
                <w:sz w:val="18"/>
                <w:szCs w:val="18"/>
              </w:rPr>
              <w:t>(1,417)</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5F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F2"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5F3" w14:textId="77777777" w:rsidR="002661BA" w:rsidRDefault="00D972BC">
            <w:pPr>
              <w:jc w:val="right"/>
              <w:textAlignment w:val="bottom"/>
            </w:pPr>
            <w:r>
              <w:rPr>
                <w:rFonts w:ascii="Arial" w:eastAsia="宋体" w:hAnsi="Arial" w:cs="Arial"/>
                <w:color w:val="000000"/>
                <w:sz w:val="18"/>
                <w:szCs w:val="18"/>
              </w:rPr>
              <w:t>(179)</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5F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5F5"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5F6" w14:textId="77777777" w:rsidR="002661BA" w:rsidRDefault="00D972BC">
            <w:pPr>
              <w:jc w:val="right"/>
              <w:textAlignment w:val="bottom"/>
            </w:pPr>
            <w:r>
              <w:rPr>
                <w:rFonts w:ascii="Arial" w:eastAsia="宋体" w:hAnsi="Arial" w:cs="Arial"/>
                <w:color w:val="000000"/>
                <w:sz w:val="18"/>
                <w:szCs w:val="18"/>
              </w:rPr>
              <w:t>2,900 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5F7" w14:textId="77777777" w:rsidR="002661BA" w:rsidRDefault="002661BA">
            <w:pPr>
              <w:jc w:val="right"/>
              <w:rPr>
                <w:rFonts w:ascii="宋体"/>
              </w:rPr>
            </w:pPr>
          </w:p>
        </w:tc>
      </w:tr>
      <w:tr w:rsidR="002661BA" w14:paraId="22CFB602" w14:textId="77777777">
        <w:trPr>
          <w:jc w:val="center"/>
        </w:trPr>
        <w:tc>
          <w:tcPr>
            <w:tcW w:w="0" w:type="auto"/>
            <w:gridSpan w:val="3"/>
            <w:shd w:val="clear" w:color="auto" w:fill="DBDBDB"/>
            <w:tcMar>
              <w:top w:w="40" w:type="dxa"/>
              <w:left w:w="20" w:type="dxa"/>
              <w:bottom w:w="40" w:type="dxa"/>
              <w:right w:w="20" w:type="dxa"/>
            </w:tcMar>
            <w:vAlign w:val="bottom"/>
          </w:tcPr>
          <w:p w14:paraId="22CFB5F9" w14:textId="77777777" w:rsidR="002661BA" w:rsidRDefault="00D972BC">
            <w:pPr>
              <w:textAlignment w:val="bottom"/>
            </w:pPr>
            <w:r>
              <w:rPr>
                <w:rFonts w:ascii="Arial" w:eastAsia="宋体" w:hAnsi="Arial" w:cs="Arial"/>
                <w:color w:val="000000"/>
                <w:sz w:val="18"/>
                <w:szCs w:val="18"/>
              </w:rPr>
              <w:t>Net cash provided by (used in) discontinued investing activities</w:t>
            </w: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5FA" w14:textId="77777777" w:rsidR="002661BA" w:rsidRDefault="00D972BC">
            <w:pPr>
              <w:jc w:val="right"/>
              <w:textAlignment w:val="bottom"/>
            </w:pPr>
            <w:r>
              <w:rPr>
                <w:rFonts w:ascii="Arial" w:eastAsia="宋体" w:hAnsi="Arial" w:cs="Arial"/>
                <w:color w:val="000000"/>
                <w:sz w:val="18"/>
                <w:szCs w:val="18"/>
              </w:rPr>
              <w:t>5,080 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5FB"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FC"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5FD" w14:textId="77777777" w:rsidR="002661BA" w:rsidRDefault="00D972BC">
            <w:pPr>
              <w:jc w:val="right"/>
              <w:textAlignment w:val="bottom"/>
            </w:pPr>
            <w:r>
              <w:rPr>
                <w:rFonts w:ascii="Arial" w:eastAsia="宋体" w:hAnsi="Arial" w:cs="Arial"/>
                <w:color w:val="000000"/>
                <w:sz w:val="18"/>
                <w:szCs w:val="18"/>
              </w:rPr>
              <w:t>3,973 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5FE"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5FF"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600" w14:textId="77777777" w:rsidR="002661BA" w:rsidRDefault="00D972BC">
            <w:pPr>
              <w:jc w:val="right"/>
              <w:textAlignment w:val="bottom"/>
            </w:pPr>
            <w:r>
              <w:rPr>
                <w:rFonts w:ascii="Arial" w:eastAsia="宋体" w:hAnsi="Arial" w:cs="Arial"/>
                <w:color w:val="000000"/>
                <w:sz w:val="18"/>
                <w:szCs w:val="18"/>
              </w:rPr>
              <w:t>(113)</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601" w14:textId="77777777" w:rsidR="002661BA" w:rsidRDefault="002661BA">
            <w:pPr>
              <w:jc w:val="right"/>
              <w:rPr>
                <w:rFonts w:ascii="宋体"/>
              </w:rPr>
            </w:pPr>
          </w:p>
        </w:tc>
      </w:tr>
      <w:tr w:rsidR="002661BA" w14:paraId="22CFB60C" w14:textId="77777777">
        <w:trPr>
          <w:jc w:val="center"/>
        </w:trPr>
        <w:tc>
          <w:tcPr>
            <w:tcW w:w="0" w:type="auto"/>
            <w:gridSpan w:val="3"/>
            <w:shd w:val="clear" w:color="auto" w:fill="FFFFFF"/>
            <w:tcMar>
              <w:top w:w="40" w:type="dxa"/>
              <w:left w:w="20" w:type="dxa"/>
              <w:bottom w:w="40" w:type="dxa"/>
              <w:right w:w="20" w:type="dxa"/>
            </w:tcMar>
            <w:vAlign w:val="bottom"/>
          </w:tcPr>
          <w:p w14:paraId="22CFB603" w14:textId="77777777" w:rsidR="002661BA" w:rsidRDefault="00D972BC">
            <w:pPr>
              <w:textAlignment w:val="bottom"/>
            </w:pPr>
            <w:r>
              <w:rPr>
                <w:rFonts w:ascii="Arial" w:eastAsia="宋体" w:hAnsi="Arial" w:cs="Arial"/>
                <w:color w:val="000000"/>
                <w:sz w:val="18"/>
                <w:szCs w:val="18"/>
              </w:rPr>
              <w:t>Net cash provided by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604" w14:textId="77777777" w:rsidR="002661BA" w:rsidRDefault="00D972BC">
            <w:pPr>
              <w:jc w:val="right"/>
              <w:textAlignment w:val="bottom"/>
            </w:pPr>
            <w:r>
              <w:rPr>
                <w:rFonts w:ascii="Arial" w:eastAsia="宋体" w:hAnsi="Arial" w:cs="Arial"/>
                <w:color w:val="000000"/>
                <w:sz w:val="18"/>
                <w:szCs w:val="18"/>
              </w:rPr>
              <w:t>3,663 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60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606"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607" w14:textId="77777777" w:rsidR="002661BA" w:rsidRDefault="00D972BC">
            <w:pPr>
              <w:jc w:val="right"/>
              <w:textAlignment w:val="bottom"/>
            </w:pPr>
            <w:r>
              <w:rPr>
                <w:rFonts w:ascii="Arial" w:eastAsia="宋体" w:hAnsi="Arial" w:cs="Arial"/>
                <w:color w:val="000000"/>
                <w:sz w:val="18"/>
                <w:szCs w:val="18"/>
              </w:rPr>
              <w:t>3,794 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60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609"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60A" w14:textId="77777777" w:rsidR="002661BA" w:rsidRDefault="00D972BC">
            <w:pPr>
              <w:jc w:val="right"/>
              <w:textAlignment w:val="bottom"/>
            </w:pPr>
            <w:r>
              <w:rPr>
                <w:rFonts w:ascii="Arial" w:eastAsia="宋体" w:hAnsi="Arial" w:cs="Arial"/>
                <w:color w:val="000000"/>
                <w:sz w:val="18"/>
                <w:szCs w:val="18"/>
              </w:rPr>
              <w:t>2,787 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60B" w14:textId="77777777" w:rsidR="002661BA" w:rsidRDefault="002661BA">
            <w:pPr>
              <w:jc w:val="right"/>
              <w:rPr>
                <w:rFonts w:ascii="宋体"/>
              </w:rPr>
            </w:pPr>
          </w:p>
        </w:tc>
      </w:tr>
      <w:tr w:rsidR="002661BA" w14:paraId="22CFB613" w14:textId="77777777">
        <w:trPr>
          <w:jc w:val="center"/>
        </w:trPr>
        <w:tc>
          <w:tcPr>
            <w:tcW w:w="0" w:type="auto"/>
            <w:gridSpan w:val="3"/>
            <w:shd w:val="clear" w:color="auto" w:fill="DBDBDB"/>
            <w:tcMar>
              <w:top w:w="40" w:type="dxa"/>
              <w:left w:w="20" w:type="dxa"/>
              <w:bottom w:w="40" w:type="dxa"/>
              <w:right w:w="20" w:type="dxa"/>
            </w:tcMar>
            <w:vAlign w:val="bottom"/>
          </w:tcPr>
          <w:p w14:paraId="22CFB60D" w14:textId="77777777" w:rsidR="002661BA" w:rsidRDefault="00D972BC">
            <w:pPr>
              <w:textAlignment w:val="bottom"/>
            </w:pPr>
            <w:r>
              <w:rPr>
                <w:rFonts w:ascii="Arial" w:eastAsia="宋体" w:hAnsi="Arial" w:cs="Arial"/>
                <w:color w:val="000000"/>
                <w:sz w:val="18"/>
                <w:szCs w:val="18"/>
              </w:rPr>
              <w:t>Cash flows from financing activities:</w:t>
            </w:r>
          </w:p>
        </w:tc>
        <w:tc>
          <w:tcPr>
            <w:tcW w:w="0" w:type="auto"/>
            <w:gridSpan w:val="3"/>
            <w:tcBorders>
              <w:top w:val="single" w:sz="8" w:space="0" w:color="000000"/>
            </w:tcBorders>
            <w:shd w:val="clear" w:color="auto" w:fill="DBDBDB"/>
            <w:tcMar>
              <w:top w:w="40" w:type="dxa"/>
              <w:left w:w="20" w:type="dxa"/>
              <w:bottom w:w="40" w:type="dxa"/>
              <w:right w:w="20" w:type="dxa"/>
            </w:tcMar>
            <w:vAlign w:val="bottom"/>
          </w:tcPr>
          <w:p w14:paraId="22CFB60E" w14:textId="77777777" w:rsidR="002661BA" w:rsidRDefault="00D972BC">
            <w:pPr>
              <w:jc w:val="right"/>
              <w:textAlignment w:val="bottom"/>
            </w:pPr>
            <w:r>
              <w:rPr>
                <w:rFonts w:ascii="Arial" w:eastAsia="宋体" w:hAnsi="Arial" w:cs="Arial"/>
                <w:color w:val="000000"/>
                <w:sz w:val="18"/>
                <w:szCs w:val="18"/>
              </w:rPr>
              <w:t> </w:t>
            </w:r>
          </w:p>
        </w:tc>
        <w:tc>
          <w:tcPr>
            <w:tcW w:w="0" w:type="auto"/>
            <w:gridSpan w:val="3"/>
            <w:shd w:val="clear" w:color="auto" w:fill="DBDBDB"/>
            <w:tcMar>
              <w:top w:w="0" w:type="dxa"/>
              <w:left w:w="20" w:type="dxa"/>
              <w:bottom w:w="0" w:type="dxa"/>
              <w:right w:w="20" w:type="dxa"/>
            </w:tcMar>
            <w:vAlign w:val="bottom"/>
          </w:tcPr>
          <w:p w14:paraId="22CFB60F" w14:textId="77777777" w:rsidR="002661BA" w:rsidRDefault="002661BA">
            <w:pPr>
              <w:rPr>
                <w:rFonts w:ascii="宋体"/>
              </w:rPr>
            </w:pPr>
          </w:p>
        </w:tc>
        <w:tc>
          <w:tcPr>
            <w:tcW w:w="0" w:type="auto"/>
            <w:gridSpan w:val="3"/>
            <w:tcBorders>
              <w:top w:val="single" w:sz="8" w:space="0" w:color="000000"/>
            </w:tcBorders>
            <w:shd w:val="clear" w:color="auto" w:fill="DBDBDB"/>
            <w:tcMar>
              <w:top w:w="40" w:type="dxa"/>
              <w:left w:w="20" w:type="dxa"/>
              <w:bottom w:w="40" w:type="dxa"/>
              <w:right w:w="20" w:type="dxa"/>
            </w:tcMar>
            <w:vAlign w:val="bottom"/>
          </w:tcPr>
          <w:p w14:paraId="22CFB610" w14:textId="77777777" w:rsidR="002661BA" w:rsidRDefault="00D972BC">
            <w:pPr>
              <w:jc w:val="right"/>
              <w:textAlignment w:val="bottom"/>
            </w:pPr>
            <w:r>
              <w:rPr>
                <w:rFonts w:ascii="Arial" w:eastAsia="宋体" w:hAnsi="Arial" w:cs="Arial"/>
                <w:color w:val="000000"/>
                <w:sz w:val="18"/>
                <w:szCs w:val="18"/>
              </w:rPr>
              <w:t> </w:t>
            </w:r>
          </w:p>
        </w:tc>
        <w:tc>
          <w:tcPr>
            <w:tcW w:w="0" w:type="auto"/>
            <w:gridSpan w:val="3"/>
            <w:shd w:val="clear" w:color="auto" w:fill="DBDBDB"/>
            <w:tcMar>
              <w:top w:w="0" w:type="dxa"/>
              <w:left w:w="20" w:type="dxa"/>
              <w:bottom w:w="0" w:type="dxa"/>
              <w:right w:w="20" w:type="dxa"/>
            </w:tcMar>
            <w:vAlign w:val="bottom"/>
          </w:tcPr>
          <w:p w14:paraId="22CFB611" w14:textId="77777777" w:rsidR="002661BA" w:rsidRDefault="002661BA">
            <w:pPr>
              <w:rPr>
                <w:rFonts w:ascii="宋体"/>
              </w:rPr>
            </w:pPr>
          </w:p>
        </w:tc>
        <w:tc>
          <w:tcPr>
            <w:tcW w:w="0" w:type="auto"/>
            <w:gridSpan w:val="3"/>
            <w:tcBorders>
              <w:top w:val="single" w:sz="8" w:space="0" w:color="000000"/>
            </w:tcBorders>
            <w:shd w:val="clear" w:color="auto" w:fill="DBDBDB"/>
            <w:tcMar>
              <w:top w:w="40" w:type="dxa"/>
              <w:left w:w="20" w:type="dxa"/>
              <w:bottom w:w="40" w:type="dxa"/>
              <w:right w:w="20" w:type="dxa"/>
            </w:tcMar>
            <w:vAlign w:val="bottom"/>
          </w:tcPr>
          <w:p w14:paraId="22CFB612" w14:textId="77777777" w:rsidR="002661BA" w:rsidRDefault="00D972BC">
            <w:pPr>
              <w:jc w:val="right"/>
              <w:textAlignment w:val="bottom"/>
            </w:pPr>
            <w:r>
              <w:rPr>
                <w:rFonts w:ascii="Arial" w:eastAsia="宋体" w:hAnsi="Arial" w:cs="Arial"/>
                <w:color w:val="000000"/>
                <w:sz w:val="18"/>
                <w:szCs w:val="18"/>
              </w:rPr>
              <w:t> </w:t>
            </w:r>
          </w:p>
        </w:tc>
      </w:tr>
      <w:tr w:rsidR="002661BA" w14:paraId="22CFB61D" w14:textId="77777777">
        <w:trPr>
          <w:jc w:val="center"/>
        </w:trPr>
        <w:tc>
          <w:tcPr>
            <w:tcW w:w="0" w:type="auto"/>
            <w:gridSpan w:val="3"/>
            <w:shd w:val="clear" w:color="auto" w:fill="FFFFFF"/>
            <w:tcMar>
              <w:top w:w="40" w:type="dxa"/>
              <w:left w:w="245" w:type="dxa"/>
              <w:bottom w:w="40" w:type="dxa"/>
              <w:right w:w="20" w:type="dxa"/>
            </w:tcMar>
            <w:vAlign w:val="bottom"/>
          </w:tcPr>
          <w:p w14:paraId="22CFB614" w14:textId="77777777" w:rsidR="002661BA" w:rsidRDefault="00D972BC">
            <w:pPr>
              <w:textAlignment w:val="bottom"/>
            </w:pPr>
            <w:r>
              <w:rPr>
                <w:rFonts w:ascii="Arial" w:eastAsia="宋体" w:hAnsi="Arial" w:cs="Arial"/>
                <w:color w:val="000000"/>
                <w:sz w:val="18"/>
                <w:szCs w:val="18"/>
              </w:rPr>
              <w:t>Proceeds from issuance of common stock</w:t>
            </w:r>
          </w:p>
        </w:tc>
        <w:tc>
          <w:tcPr>
            <w:tcW w:w="0" w:type="auto"/>
            <w:gridSpan w:val="2"/>
            <w:shd w:val="clear" w:color="auto" w:fill="FFFFFF"/>
            <w:tcMar>
              <w:top w:w="40" w:type="dxa"/>
              <w:left w:w="20" w:type="dxa"/>
              <w:bottom w:w="40" w:type="dxa"/>
              <w:right w:w="0" w:type="dxa"/>
            </w:tcMar>
            <w:vAlign w:val="bottom"/>
          </w:tcPr>
          <w:p w14:paraId="22CFB615" w14:textId="77777777" w:rsidR="002661BA" w:rsidRDefault="00D972BC">
            <w:pPr>
              <w:jc w:val="right"/>
              <w:textAlignment w:val="bottom"/>
            </w:pPr>
            <w:r>
              <w:rPr>
                <w:rFonts w:ascii="Arial" w:eastAsia="宋体" w:hAnsi="Arial" w:cs="Arial"/>
                <w:color w:val="000000"/>
                <w:sz w:val="18"/>
                <w:szCs w:val="18"/>
              </w:rPr>
              <w:t>93 </w:t>
            </w:r>
          </w:p>
        </w:tc>
        <w:tc>
          <w:tcPr>
            <w:tcW w:w="0" w:type="auto"/>
            <w:shd w:val="clear" w:color="auto" w:fill="FFFFFF"/>
            <w:tcMar>
              <w:top w:w="40" w:type="dxa"/>
              <w:left w:w="0" w:type="dxa"/>
              <w:bottom w:w="40" w:type="dxa"/>
              <w:right w:w="20" w:type="dxa"/>
            </w:tcMar>
            <w:vAlign w:val="bottom"/>
          </w:tcPr>
          <w:p w14:paraId="22CFB61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617"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618" w14:textId="77777777" w:rsidR="002661BA" w:rsidRDefault="00D972BC">
            <w:pPr>
              <w:jc w:val="right"/>
              <w:textAlignment w:val="bottom"/>
            </w:pPr>
            <w:r>
              <w:rPr>
                <w:rFonts w:ascii="Arial" w:eastAsia="宋体" w:hAnsi="Arial" w:cs="Arial"/>
                <w:color w:val="000000"/>
                <w:sz w:val="18"/>
                <w:szCs w:val="18"/>
              </w:rPr>
              <w:t>90 </w:t>
            </w:r>
          </w:p>
        </w:tc>
        <w:tc>
          <w:tcPr>
            <w:tcW w:w="0" w:type="auto"/>
            <w:shd w:val="clear" w:color="auto" w:fill="FFFFFF"/>
            <w:tcMar>
              <w:top w:w="40" w:type="dxa"/>
              <w:left w:w="0" w:type="dxa"/>
              <w:bottom w:w="40" w:type="dxa"/>
              <w:right w:w="20" w:type="dxa"/>
            </w:tcMar>
            <w:vAlign w:val="bottom"/>
          </w:tcPr>
          <w:p w14:paraId="22CFB61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61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61B" w14:textId="77777777" w:rsidR="002661BA" w:rsidRDefault="00D972BC">
            <w:pPr>
              <w:jc w:val="right"/>
              <w:textAlignment w:val="bottom"/>
            </w:pPr>
            <w:r>
              <w:rPr>
                <w:rFonts w:ascii="Arial" w:eastAsia="宋体" w:hAnsi="Arial" w:cs="Arial"/>
                <w:color w:val="000000"/>
                <w:sz w:val="18"/>
                <w:szCs w:val="18"/>
              </w:rPr>
              <w:t>106 </w:t>
            </w:r>
          </w:p>
        </w:tc>
        <w:tc>
          <w:tcPr>
            <w:tcW w:w="0" w:type="auto"/>
            <w:shd w:val="clear" w:color="auto" w:fill="FFFFFF"/>
            <w:tcMar>
              <w:top w:w="40" w:type="dxa"/>
              <w:left w:w="0" w:type="dxa"/>
              <w:bottom w:w="40" w:type="dxa"/>
              <w:right w:w="20" w:type="dxa"/>
            </w:tcMar>
            <w:vAlign w:val="bottom"/>
          </w:tcPr>
          <w:p w14:paraId="22CFB61C" w14:textId="77777777" w:rsidR="002661BA" w:rsidRDefault="002661BA">
            <w:pPr>
              <w:jc w:val="right"/>
              <w:rPr>
                <w:rFonts w:ascii="宋体"/>
              </w:rPr>
            </w:pPr>
          </w:p>
        </w:tc>
      </w:tr>
      <w:tr w:rsidR="002661BA" w14:paraId="22CFB627" w14:textId="77777777">
        <w:trPr>
          <w:jc w:val="center"/>
        </w:trPr>
        <w:tc>
          <w:tcPr>
            <w:tcW w:w="0" w:type="auto"/>
            <w:gridSpan w:val="3"/>
            <w:shd w:val="clear" w:color="auto" w:fill="DBDBDB"/>
            <w:tcMar>
              <w:top w:w="40" w:type="dxa"/>
              <w:left w:w="245" w:type="dxa"/>
              <w:bottom w:w="40" w:type="dxa"/>
              <w:right w:w="20" w:type="dxa"/>
            </w:tcMar>
            <w:vAlign w:val="bottom"/>
          </w:tcPr>
          <w:p w14:paraId="22CFB61E" w14:textId="77777777" w:rsidR="002661BA" w:rsidRDefault="00D972BC">
            <w:pPr>
              <w:textAlignment w:val="bottom"/>
            </w:pPr>
            <w:r>
              <w:rPr>
                <w:rFonts w:ascii="Arial" w:eastAsia="宋体" w:hAnsi="Arial" w:cs="Arial"/>
                <w:color w:val="000000"/>
                <w:sz w:val="18"/>
                <w:szCs w:val="18"/>
              </w:rPr>
              <w:t>Repurchases of common stock</w:t>
            </w:r>
          </w:p>
        </w:tc>
        <w:tc>
          <w:tcPr>
            <w:tcW w:w="0" w:type="auto"/>
            <w:gridSpan w:val="2"/>
            <w:shd w:val="clear" w:color="auto" w:fill="DBDBDB"/>
            <w:tcMar>
              <w:top w:w="40" w:type="dxa"/>
              <w:left w:w="20" w:type="dxa"/>
              <w:bottom w:w="40" w:type="dxa"/>
              <w:right w:w="0" w:type="dxa"/>
            </w:tcMar>
            <w:vAlign w:val="bottom"/>
          </w:tcPr>
          <w:p w14:paraId="22CFB61F" w14:textId="77777777" w:rsidR="002661BA" w:rsidRDefault="00D972BC">
            <w:pPr>
              <w:jc w:val="right"/>
              <w:textAlignment w:val="bottom"/>
            </w:pPr>
            <w:r>
              <w:rPr>
                <w:rFonts w:ascii="Arial" w:eastAsia="宋体" w:hAnsi="Arial" w:cs="Arial"/>
                <w:color w:val="000000"/>
                <w:sz w:val="18"/>
                <w:szCs w:val="18"/>
              </w:rPr>
              <w:t>(7,055)</w:t>
            </w:r>
          </w:p>
        </w:tc>
        <w:tc>
          <w:tcPr>
            <w:tcW w:w="0" w:type="auto"/>
            <w:shd w:val="clear" w:color="auto" w:fill="DBDBDB"/>
            <w:tcMar>
              <w:top w:w="40" w:type="dxa"/>
              <w:left w:w="0" w:type="dxa"/>
              <w:bottom w:w="40" w:type="dxa"/>
              <w:right w:w="20" w:type="dxa"/>
            </w:tcMar>
            <w:vAlign w:val="bottom"/>
          </w:tcPr>
          <w:p w14:paraId="22CFB620"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621"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622" w14:textId="77777777" w:rsidR="002661BA" w:rsidRDefault="00D972BC">
            <w:pPr>
              <w:jc w:val="right"/>
              <w:textAlignment w:val="bottom"/>
            </w:pPr>
            <w:r>
              <w:rPr>
                <w:rFonts w:ascii="Arial" w:eastAsia="宋体" w:hAnsi="Arial" w:cs="Arial"/>
                <w:color w:val="000000"/>
                <w:sz w:val="18"/>
                <w:szCs w:val="18"/>
              </w:rPr>
              <w:t>(5,137)</w:t>
            </w:r>
          </w:p>
        </w:tc>
        <w:tc>
          <w:tcPr>
            <w:tcW w:w="0" w:type="auto"/>
            <w:shd w:val="clear" w:color="auto" w:fill="DBDBDB"/>
            <w:tcMar>
              <w:top w:w="40" w:type="dxa"/>
              <w:left w:w="0" w:type="dxa"/>
              <w:bottom w:w="40" w:type="dxa"/>
              <w:right w:w="20" w:type="dxa"/>
            </w:tcMar>
            <w:vAlign w:val="bottom"/>
          </w:tcPr>
          <w:p w14:paraId="22CFB623"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624"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625" w14:textId="77777777" w:rsidR="002661BA" w:rsidRDefault="00D972BC">
            <w:pPr>
              <w:jc w:val="right"/>
              <w:textAlignment w:val="bottom"/>
            </w:pPr>
            <w:r>
              <w:rPr>
                <w:rFonts w:ascii="Arial" w:eastAsia="宋体" w:hAnsi="Arial" w:cs="Arial"/>
                <w:color w:val="000000"/>
                <w:sz w:val="18"/>
                <w:szCs w:val="18"/>
              </w:rPr>
              <w:t>(4,973)</w:t>
            </w:r>
          </w:p>
        </w:tc>
        <w:tc>
          <w:tcPr>
            <w:tcW w:w="0" w:type="auto"/>
            <w:shd w:val="clear" w:color="auto" w:fill="DBDBDB"/>
            <w:tcMar>
              <w:top w:w="40" w:type="dxa"/>
              <w:left w:w="0" w:type="dxa"/>
              <w:bottom w:w="40" w:type="dxa"/>
              <w:right w:w="20" w:type="dxa"/>
            </w:tcMar>
            <w:vAlign w:val="bottom"/>
          </w:tcPr>
          <w:p w14:paraId="22CFB626" w14:textId="77777777" w:rsidR="002661BA" w:rsidRDefault="002661BA">
            <w:pPr>
              <w:jc w:val="right"/>
              <w:rPr>
                <w:rFonts w:ascii="宋体"/>
              </w:rPr>
            </w:pPr>
          </w:p>
        </w:tc>
      </w:tr>
      <w:tr w:rsidR="002661BA" w14:paraId="22CFB62E" w14:textId="77777777">
        <w:trPr>
          <w:jc w:val="center"/>
          <w:hidden/>
        </w:trPr>
        <w:tc>
          <w:tcPr>
            <w:tcW w:w="0" w:type="auto"/>
            <w:gridSpan w:val="3"/>
            <w:shd w:val="clear" w:color="auto" w:fill="auto"/>
            <w:vAlign w:val="bottom"/>
          </w:tcPr>
          <w:p w14:paraId="22CFB628" w14:textId="77777777" w:rsidR="002661BA" w:rsidRDefault="002661BA">
            <w:pPr>
              <w:rPr>
                <w:rFonts w:ascii="宋体"/>
                <w:vanish/>
              </w:rPr>
            </w:pPr>
          </w:p>
        </w:tc>
        <w:tc>
          <w:tcPr>
            <w:tcW w:w="0" w:type="auto"/>
            <w:gridSpan w:val="3"/>
            <w:shd w:val="clear" w:color="auto" w:fill="auto"/>
            <w:vAlign w:val="bottom"/>
          </w:tcPr>
          <w:p w14:paraId="22CFB629" w14:textId="77777777" w:rsidR="002661BA" w:rsidRDefault="002661BA">
            <w:pPr>
              <w:rPr>
                <w:rFonts w:ascii="宋体"/>
                <w:vanish/>
              </w:rPr>
            </w:pPr>
          </w:p>
        </w:tc>
        <w:tc>
          <w:tcPr>
            <w:tcW w:w="0" w:type="auto"/>
            <w:gridSpan w:val="3"/>
            <w:shd w:val="clear" w:color="auto" w:fill="auto"/>
            <w:vAlign w:val="bottom"/>
          </w:tcPr>
          <w:p w14:paraId="22CFB62A" w14:textId="77777777" w:rsidR="002661BA" w:rsidRDefault="002661BA">
            <w:pPr>
              <w:rPr>
                <w:rFonts w:ascii="宋体"/>
                <w:vanish/>
              </w:rPr>
            </w:pPr>
          </w:p>
        </w:tc>
        <w:tc>
          <w:tcPr>
            <w:tcW w:w="0" w:type="auto"/>
            <w:gridSpan w:val="3"/>
            <w:shd w:val="clear" w:color="auto" w:fill="auto"/>
            <w:vAlign w:val="bottom"/>
          </w:tcPr>
          <w:p w14:paraId="22CFB62B" w14:textId="77777777" w:rsidR="002661BA" w:rsidRDefault="002661BA">
            <w:pPr>
              <w:rPr>
                <w:rFonts w:ascii="宋体"/>
                <w:vanish/>
              </w:rPr>
            </w:pPr>
          </w:p>
        </w:tc>
        <w:tc>
          <w:tcPr>
            <w:tcW w:w="0" w:type="auto"/>
            <w:gridSpan w:val="3"/>
            <w:shd w:val="clear" w:color="auto" w:fill="auto"/>
            <w:vAlign w:val="bottom"/>
          </w:tcPr>
          <w:p w14:paraId="22CFB62C" w14:textId="77777777" w:rsidR="002661BA" w:rsidRDefault="002661BA">
            <w:pPr>
              <w:rPr>
                <w:rFonts w:ascii="宋体"/>
                <w:vanish/>
              </w:rPr>
            </w:pPr>
          </w:p>
        </w:tc>
        <w:tc>
          <w:tcPr>
            <w:tcW w:w="0" w:type="auto"/>
            <w:gridSpan w:val="3"/>
            <w:shd w:val="clear" w:color="auto" w:fill="auto"/>
            <w:vAlign w:val="bottom"/>
          </w:tcPr>
          <w:p w14:paraId="22CFB62D" w14:textId="77777777" w:rsidR="002661BA" w:rsidRDefault="002661BA">
            <w:pPr>
              <w:rPr>
                <w:rFonts w:ascii="宋体"/>
                <w:vanish/>
              </w:rPr>
            </w:pPr>
          </w:p>
        </w:tc>
      </w:tr>
      <w:tr w:rsidR="002661BA" w14:paraId="22CFB638" w14:textId="77777777">
        <w:trPr>
          <w:jc w:val="center"/>
        </w:trPr>
        <w:tc>
          <w:tcPr>
            <w:tcW w:w="0" w:type="auto"/>
            <w:gridSpan w:val="3"/>
            <w:shd w:val="clear" w:color="auto" w:fill="FFFFFF"/>
            <w:tcMar>
              <w:top w:w="40" w:type="dxa"/>
              <w:left w:w="245" w:type="dxa"/>
              <w:bottom w:w="40" w:type="dxa"/>
              <w:right w:w="20" w:type="dxa"/>
            </w:tcMar>
            <w:vAlign w:val="bottom"/>
          </w:tcPr>
          <w:p w14:paraId="22CFB62F" w14:textId="77777777" w:rsidR="002661BA" w:rsidRDefault="00D972BC">
            <w:pPr>
              <w:textAlignment w:val="bottom"/>
            </w:pPr>
            <w:r>
              <w:rPr>
                <w:rFonts w:ascii="Arial" w:eastAsia="宋体" w:hAnsi="Arial" w:cs="Arial"/>
                <w:color w:val="000000"/>
                <w:sz w:val="18"/>
                <w:szCs w:val="18"/>
              </w:rPr>
              <w:t>Payments for taxes related to net share settlements of restricted stock units and awards</w:t>
            </w:r>
          </w:p>
        </w:tc>
        <w:tc>
          <w:tcPr>
            <w:tcW w:w="0" w:type="auto"/>
            <w:gridSpan w:val="2"/>
            <w:shd w:val="clear" w:color="auto" w:fill="FFFFFF"/>
            <w:tcMar>
              <w:top w:w="40" w:type="dxa"/>
              <w:left w:w="20" w:type="dxa"/>
              <w:bottom w:w="40" w:type="dxa"/>
              <w:right w:w="0" w:type="dxa"/>
            </w:tcMar>
            <w:vAlign w:val="bottom"/>
          </w:tcPr>
          <w:p w14:paraId="22CFB630" w14:textId="77777777" w:rsidR="002661BA" w:rsidRDefault="00D972BC">
            <w:pPr>
              <w:jc w:val="right"/>
              <w:textAlignment w:val="bottom"/>
            </w:pPr>
            <w:r>
              <w:rPr>
                <w:rFonts w:ascii="Arial" w:eastAsia="宋体" w:hAnsi="Arial" w:cs="Arial"/>
                <w:color w:val="000000"/>
                <w:sz w:val="18"/>
                <w:szCs w:val="18"/>
              </w:rPr>
              <w:t>(236)</w:t>
            </w:r>
          </w:p>
        </w:tc>
        <w:tc>
          <w:tcPr>
            <w:tcW w:w="0" w:type="auto"/>
            <w:shd w:val="clear" w:color="auto" w:fill="FFFFFF"/>
            <w:tcMar>
              <w:top w:w="40" w:type="dxa"/>
              <w:left w:w="0" w:type="dxa"/>
              <w:bottom w:w="40" w:type="dxa"/>
              <w:right w:w="20" w:type="dxa"/>
            </w:tcMar>
            <w:vAlign w:val="bottom"/>
          </w:tcPr>
          <w:p w14:paraId="22CFB63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632"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633" w14:textId="77777777" w:rsidR="002661BA" w:rsidRDefault="00D972BC">
            <w:pPr>
              <w:jc w:val="right"/>
              <w:textAlignment w:val="bottom"/>
            </w:pPr>
            <w:r>
              <w:rPr>
                <w:rFonts w:ascii="Arial" w:eastAsia="宋体" w:hAnsi="Arial" w:cs="Arial"/>
                <w:color w:val="000000"/>
                <w:sz w:val="18"/>
                <w:szCs w:val="18"/>
              </w:rPr>
              <w:t>(175)</w:t>
            </w:r>
          </w:p>
        </w:tc>
        <w:tc>
          <w:tcPr>
            <w:tcW w:w="0" w:type="auto"/>
            <w:shd w:val="clear" w:color="auto" w:fill="FFFFFF"/>
            <w:tcMar>
              <w:top w:w="40" w:type="dxa"/>
              <w:left w:w="0" w:type="dxa"/>
              <w:bottom w:w="40" w:type="dxa"/>
              <w:right w:w="20" w:type="dxa"/>
            </w:tcMar>
            <w:vAlign w:val="bottom"/>
          </w:tcPr>
          <w:p w14:paraId="22CFB63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635"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636" w14:textId="77777777" w:rsidR="002661BA" w:rsidRDefault="00D972BC">
            <w:pPr>
              <w:jc w:val="right"/>
              <w:textAlignment w:val="bottom"/>
            </w:pPr>
            <w:r>
              <w:rPr>
                <w:rFonts w:ascii="Arial" w:eastAsia="宋体" w:hAnsi="Arial" w:cs="Arial"/>
                <w:color w:val="000000"/>
                <w:sz w:val="18"/>
                <w:szCs w:val="18"/>
              </w:rPr>
              <w:t>(202)</w:t>
            </w:r>
          </w:p>
        </w:tc>
        <w:tc>
          <w:tcPr>
            <w:tcW w:w="0" w:type="auto"/>
            <w:shd w:val="clear" w:color="auto" w:fill="FFFFFF"/>
            <w:tcMar>
              <w:top w:w="40" w:type="dxa"/>
              <w:left w:w="0" w:type="dxa"/>
              <w:bottom w:w="40" w:type="dxa"/>
              <w:right w:w="20" w:type="dxa"/>
            </w:tcMar>
            <w:vAlign w:val="bottom"/>
          </w:tcPr>
          <w:p w14:paraId="22CFB637" w14:textId="77777777" w:rsidR="002661BA" w:rsidRDefault="002661BA">
            <w:pPr>
              <w:jc w:val="right"/>
              <w:rPr>
                <w:rFonts w:ascii="宋体"/>
              </w:rPr>
            </w:pPr>
          </w:p>
        </w:tc>
      </w:tr>
      <w:tr w:rsidR="002661BA" w14:paraId="22CFB642" w14:textId="77777777">
        <w:trPr>
          <w:jc w:val="center"/>
        </w:trPr>
        <w:tc>
          <w:tcPr>
            <w:tcW w:w="0" w:type="auto"/>
            <w:gridSpan w:val="3"/>
            <w:shd w:val="clear" w:color="auto" w:fill="DBDBDB"/>
            <w:tcMar>
              <w:top w:w="40" w:type="dxa"/>
              <w:left w:w="245" w:type="dxa"/>
              <w:bottom w:w="40" w:type="dxa"/>
              <w:right w:w="20" w:type="dxa"/>
            </w:tcMar>
            <w:vAlign w:val="bottom"/>
          </w:tcPr>
          <w:p w14:paraId="22CFB639" w14:textId="77777777" w:rsidR="002661BA" w:rsidRDefault="00D972BC">
            <w:pPr>
              <w:textAlignment w:val="bottom"/>
            </w:pPr>
            <w:r>
              <w:rPr>
                <w:rFonts w:ascii="Arial" w:eastAsia="宋体" w:hAnsi="Arial" w:cs="Arial"/>
                <w:color w:val="000000"/>
                <w:sz w:val="18"/>
                <w:szCs w:val="18"/>
              </w:rPr>
              <w:t xml:space="preserve">Payments for </w:t>
            </w:r>
            <w:r>
              <w:rPr>
                <w:rFonts w:ascii="Arial" w:eastAsia="宋体" w:hAnsi="Arial" w:cs="Arial"/>
                <w:color w:val="000000"/>
                <w:sz w:val="18"/>
                <w:szCs w:val="18"/>
              </w:rPr>
              <w:t>dividends</w:t>
            </w:r>
          </w:p>
        </w:tc>
        <w:tc>
          <w:tcPr>
            <w:tcW w:w="0" w:type="auto"/>
            <w:gridSpan w:val="2"/>
            <w:shd w:val="clear" w:color="auto" w:fill="DBDBDB"/>
            <w:tcMar>
              <w:top w:w="40" w:type="dxa"/>
              <w:left w:w="20" w:type="dxa"/>
              <w:bottom w:w="40" w:type="dxa"/>
              <w:right w:w="0" w:type="dxa"/>
            </w:tcMar>
            <w:vAlign w:val="bottom"/>
          </w:tcPr>
          <w:p w14:paraId="22CFB63A" w14:textId="77777777" w:rsidR="002661BA" w:rsidRDefault="00D972BC">
            <w:pPr>
              <w:jc w:val="right"/>
              <w:textAlignment w:val="bottom"/>
            </w:pPr>
            <w:r>
              <w:rPr>
                <w:rFonts w:ascii="Arial" w:eastAsia="宋体" w:hAnsi="Arial" w:cs="Arial"/>
                <w:color w:val="000000"/>
                <w:sz w:val="18"/>
                <w:szCs w:val="18"/>
              </w:rPr>
              <w:t>(466)</w:t>
            </w:r>
          </w:p>
        </w:tc>
        <w:tc>
          <w:tcPr>
            <w:tcW w:w="0" w:type="auto"/>
            <w:shd w:val="clear" w:color="auto" w:fill="DBDBDB"/>
            <w:tcMar>
              <w:top w:w="40" w:type="dxa"/>
              <w:left w:w="0" w:type="dxa"/>
              <w:bottom w:w="40" w:type="dxa"/>
              <w:right w:w="20" w:type="dxa"/>
            </w:tcMar>
            <w:vAlign w:val="bottom"/>
          </w:tcPr>
          <w:p w14:paraId="22CFB63B"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63C"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63D" w14:textId="77777777" w:rsidR="002661BA" w:rsidRDefault="00D972BC">
            <w:pPr>
              <w:jc w:val="right"/>
              <w:textAlignment w:val="bottom"/>
            </w:pPr>
            <w:r>
              <w:rPr>
                <w:rFonts w:ascii="Arial" w:eastAsia="宋体" w:hAnsi="Arial" w:cs="Arial"/>
                <w:color w:val="000000"/>
                <w:sz w:val="18"/>
                <w:szCs w:val="18"/>
              </w:rPr>
              <w:t>(447)</w:t>
            </w:r>
          </w:p>
        </w:tc>
        <w:tc>
          <w:tcPr>
            <w:tcW w:w="0" w:type="auto"/>
            <w:shd w:val="clear" w:color="auto" w:fill="DBDBDB"/>
            <w:tcMar>
              <w:top w:w="40" w:type="dxa"/>
              <w:left w:w="0" w:type="dxa"/>
              <w:bottom w:w="40" w:type="dxa"/>
              <w:right w:w="20" w:type="dxa"/>
            </w:tcMar>
            <w:vAlign w:val="bottom"/>
          </w:tcPr>
          <w:p w14:paraId="22CFB63E"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63F"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640" w14:textId="77777777" w:rsidR="002661BA" w:rsidRDefault="00D972BC">
            <w:pPr>
              <w:jc w:val="right"/>
              <w:textAlignment w:val="bottom"/>
            </w:pPr>
            <w:r>
              <w:rPr>
                <w:rFonts w:ascii="Arial" w:eastAsia="宋体" w:hAnsi="Arial" w:cs="Arial"/>
                <w:color w:val="000000"/>
                <w:sz w:val="18"/>
                <w:szCs w:val="18"/>
              </w:rPr>
              <w:t>(473)</w:t>
            </w:r>
          </w:p>
        </w:tc>
        <w:tc>
          <w:tcPr>
            <w:tcW w:w="0" w:type="auto"/>
            <w:shd w:val="clear" w:color="auto" w:fill="DBDBDB"/>
            <w:tcMar>
              <w:top w:w="40" w:type="dxa"/>
              <w:left w:w="0" w:type="dxa"/>
              <w:bottom w:w="40" w:type="dxa"/>
              <w:right w:w="20" w:type="dxa"/>
            </w:tcMar>
            <w:vAlign w:val="bottom"/>
          </w:tcPr>
          <w:p w14:paraId="22CFB641" w14:textId="77777777" w:rsidR="002661BA" w:rsidRDefault="002661BA">
            <w:pPr>
              <w:jc w:val="right"/>
              <w:rPr>
                <w:rFonts w:ascii="宋体"/>
              </w:rPr>
            </w:pPr>
          </w:p>
        </w:tc>
      </w:tr>
      <w:tr w:rsidR="002661BA" w14:paraId="22CFB64C" w14:textId="77777777">
        <w:trPr>
          <w:jc w:val="center"/>
        </w:trPr>
        <w:tc>
          <w:tcPr>
            <w:tcW w:w="0" w:type="auto"/>
            <w:gridSpan w:val="3"/>
            <w:shd w:val="clear" w:color="auto" w:fill="FFFFFF"/>
            <w:tcMar>
              <w:top w:w="40" w:type="dxa"/>
              <w:left w:w="245" w:type="dxa"/>
              <w:bottom w:w="40" w:type="dxa"/>
              <w:right w:w="20" w:type="dxa"/>
            </w:tcMar>
            <w:vAlign w:val="bottom"/>
          </w:tcPr>
          <w:p w14:paraId="22CFB643" w14:textId="77777777" w:rsidR="002661BA" w:rsidRDefault="00D972BC">
            <w:pPr>
              <w:textAlignment w:val="bottom"/>
            </w:pPr>
            <w:r>
              <w:rPr>
                <w:rFonts w:ascii="Arial" w:eastAsia="宋体" w:hAnsi="Arial" w:cs="Arial"/>
                <w:color w:val="000000"/>
                <w:sz w:val="18"/>
                <w:szCs w:val="18"/>
              </w:rPr>
              <w:t>Proceeds from issuance of long-term debt, net</w:t>
            </w:r>
          </w:p>
        </w:tc>
        <w:tc>
          <w:tcPr>
            <w:tcW w:w="0" w:type="auto"/>
            <w:gridSpan w:val="2"/>
            <w:shd w:val="clear" w:color="auto" w:fill="FFFFFF"/>
            <w:tcMar>
              <w:top w:w="40" w:type="dxa"/>
              <w:left w:w="20" w:type="dxa"/>
              <w:bottom w:w="40" w:type="dxa"/>
              <w:right w:w="0" w:type="dxa"/>
            </w:tcMar>
            <w:vAlign w:val="bottom"/>
          </w:tcPr>
          <w:p w14:paraId="22CFB644" w14:textId="77777777" w:rsidR="002661BA" w:rsidRDefault="00D972BC">
            <w:pPr>
              <w:jc w:val="right"/>
              <w:textAlignment w:val="bottom"/>
            </w:pPr>
            <w:r>
              <w:rPr>
                <w:rFonts w:ascii="Arial" w:eastAsia="宋体" w:hAnsi="Arial" w:cs="Arial"/>
                <w:color w:val="000000"/>
                <w:sz w:val="18"/>
                <w:szCs w:val="18"/>
              </w:rPr>
              <w:t>2,478 </w:t>
            </w:r>
          </w:p>
        </w:tc>
        <w:tc>
          <w:tcPr>
            <w:tcW w:w="0" w:type="auto"/>
            <w:shd w:val="clear" w:color="auto" w:fill="FFFFFF"/>
            <w:tcMar>
              <w:top w:w="40" w:type="dxa"/>
              <w:left w:w="0" w:type="dxa"/>
              <w:bottom w:w="40" w:type="dxa"/>
              <w:right w:w="20" w:type="dxa"/>
            </w:tcMar>
            <w:vAlign w:val="bottom"/>
          </w:tcPr>
          <w:p w14:paraId="22CFB64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646"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647" w14:textId="77777777" w:rsidR="002661BA" w:rsidRDefault="00D972BC">
            <w:pPr>
              <w:jc w:val="right"/>
              <w:textAlignment w:val="bottom"/>
            </w:pPr>
            <w:r>
              <w:rPr>
                <w:rFonts w:ascii="Arial" w:eastAsia="宋体" w:hAnsi="Arial" w:cs="Arial"/>
                <w:color w:val="000000"/>
                <w:sz w:val="18"/>
                <w:szCs w:val="18"/>
              </w:rPr>
              <w:t>1,765 </w:t>
            </w:r>
          </w:p>
        </w:tc>
        <w:tc>
          <w:tcPr>
            <w:tcW w:w="0" w:type="auto"/>
            <w:shd w:val="clear" w:color="auto" w:fill="FFFFFF"/>
            <w:tcMar>
              <w:top w:w="40" w:type="dxa"/>
              <w:left w:w="0" w:type="dxa"/>
              <w:bottom w:w="40" w:type="dxa"/>
              <w:right w:w="20" w:type="dxa"/>
            </w:tcMar>
            <w:vAlign w:val="bottom"/>
          </w:tcPr>
          <w:p w14:paraId="22CFB64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649"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64A"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64B" w14:textId="77777777" w:rsidR="002661BA" w:rsidRDefault="002661BA">
            <w:pPr>
              <w:jc w:val="right"/>
              <w:rPr>
                <w:rFonts w:ascii="宋体"/>
              </w:rPr>
            </w:pPr>
          </w:p>
        </w:tc>
      </w:tr>
      <w:tr w:rsidR="002661BA" w14:paraId="22CFB656" w14:textId="77777777">
        <w:trPr>
          <w:jc w:val="center"/>
        </w:trPr>
        <w:tc>
          <w:tcPr>
            <w:tcW w:w="0" w:type="auto"/>
            <w:gridSpan w:val="3"/>
            <w:shd w:val="clear" w:color="auto" w:fill="DBDBDB"/>
            <w:tcMar>
              <w:top w:w="40" w:type="dxa"/>
              <w:left w:w="245" w:type="dxa"/>
              <w:bottom w:w="40" w:type="dxa"/>
              <w:right w:w="20" w:type="dxa"/>
            </w:tcMar>
            <w:vAlign w:val="bottom"/>
          </w:tcPr>
          <w:p w14:paraId="22CFB64D" w14:textId="77777777" w:rsidR="002661BA" w:rsidRDefault="00D972BC">
            <w:pPr>
              <w:textAlignment w:val="bottom"/>
            </w:pPr>
            <w:r>
              <w:rPr>
                <w:rFonts w:ascii="Arial" w:eastAsia="宋体" w:hAnsi="Arial" w:cs="Arial"/>
                <w:color w:val="000000"/>
                <w:sz w:val="18"/>
                <w:szCs w:val="18"/>
              </w:rPr>
              <w:t>Repayment of debt</w:t>
            </w:r>
          </w:p>
        </w:tc>
        <w:tc>
          <w:tcPr>
            <w:tcW w:w="0" w:type="auto"/>
            <w:gridSpan w:val="2"/>
            <w:shd w:val="clear" w:color="auto" w:fill="DBDBDB"/>
            <w:tcMar>
              <w:top w:w="40" w:type="dxa"/>
              <w:left w:w="20" w:type="dxa"/>
              <w:bottom w:w="40" w:type="dxa"/>
              <w:right w:w="0" w:type="dxa"/>
            </w:tcMar>
            <w:vAlign w:val="bottom"/>
          </w:tcPr>
          <w:p w14:paraId="22CFB64E" w14:textId="77777777" w:rsidR="002661BA" w:rsidRDefault="00D972BC">
            <w:pPr>
              <w:jc w:val="right"/>
              <w:textAlignment w:val="bottom"/>
            </w:pPr>
            <w:r>
              <w:rPr>
                <w:rFonts w:ascii="Arial" w:eastAsia="宋体" w:hAnsi="Arial" w:cs="Arial"/>
                <w:color w:val="000000"/>
                <w:sz w:val="18"/>
                <w:szCs w:val="18"/>
              </w:rPr>
              <w:t>(1,156)</w:t>
            </w:r>
          </w:p>
        </w:tc>
        <w:tc>
          <w:tcPr>
            <w:tcW w:w="0" w:type="auto"/>
            <w:shd w:val="clear" w:color="auto" w:fill="DBDBDB"/>
            <w:tcMar>
              <w:top w:w="40" w:type="dxa"/>
              <w:left w:w="0" w:type="dxa"/>
              <w:bottom w:w="40" w:type="dxa"/>
              <w:right w:w="20" w:type="dxa"/>
            </w:tcMar>
            <w:vAlign w:val="bottom"/>
          </w:tcPr>
          <w:p w14:paraId="22CFB64F"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650"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651" w14:textId="77777777" w:rsidR="002661BA" w:rsidRDefault="00D972BC">
            <w:pPr>
              <w:jc w:val="right"/>
              <w:textAlignment w:val="bottom"/>
            </w:pPr>
            <w:r>
              <w:rPr>
                <w:rFonts w:ascii="Arial" w:eastAsia="宋体" w:hAnsi="Arial" w:cs="Arial"/>
                <w:color w:val="000000"/>
                <w:sz w:val="18"/>
                <w:szCs w:val="18"/>
              </w:rPr>
              <w:t>(1,771)</w:t>
            </w:r>
          </w:p>
        </w:tc>
        <w:tc>
          <w:tcPr>
            <w:tcW w:w="0" w:type="auto"/>
            <w:shd w:val="clear" w:color="auto" w:fill="DBDBDB"/>
            <w:tcMar>
              <w:top w:w="40" w:type="dxa"/>
              <w:left w:w="0" w:type="dxa"/>
              <w:bottom w:w="40" w:type="dxa"/>
              <w:right w:w="20" w:type="dxa"/>
            </w:tcMar>
            <w:vAlign w:val="bottom"/>
          </w:tcPr>
          <w:p w14:paraId="22CFB652"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653"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654" w14:textId="77777777" w:rsidR="002661BA" w:rsidRDefault="00D972BC">
            <w:pPr>
              <w:jc w:val="right"/>
              <w:textAlignment w:val="bottom"/>
            </w:pPr>
            <w:r>
              <w:rPr>
                <w:rFonts w:ascii="Arial" w:eastAsia="宋体" w:hAnsi="Arial" w:cs="Arial"/>
                <w:color w:val="000000"/>
                <w:sz w:val="18"/>
                <w:szCs w:val="18"/>
              </w:rPr>
              <w:t>(1,550)</w:t>
            </w:r>
          </w:p>
        </w:tc>
        <w:tc>
          <w:tcPr>
            <w:tcW w:w="0" w:type="auto"/>
            <w:shd w:val="clear" w:color="auto" w:fill="DBDBDB"/>
            <w:tcMar>
              <w:top w:w="40" w:type="dxa"/>
              <w:left w:w="0" w:type="dxa"/>
              <w:bottom w:w="40" w:type="dxa"/>
              <w:right w:w="20" w:type="dxa"/>
            </w:tcMar>
            <w:vAlign w:val="bottom"/>
          </w:tcPr>
          <w:p w14:paraId="22CFB655" w14:textId="77777777" w:rsidR="002661BA" w:rsidRDefault="002661BA">
            <w:pPr>
              <w:jc w:val="right"/>
              <w:rPr>
                <w:rFonts w:ascii="宋体"/>
              </w:rPr>
            </w:pPr>
          </w:p>
        </w:tc>
      </w:tr>
      <w:tr w:rsidR="002661BA" w14:paraId="22CFB660" w14:textId="77777777">
        <w:trPr>
          <w:jc w:val="center"/>
        </w:trPr>
        <w:tc>
          <w:tcPr>
            <w:tcW w:w="0" w:type="auto"/>
            <w:gridSpan w:val="3"/>
            <w:shd w:val="clear" w:color="auto" w:fill="FFFFFF"/>
            <w:tcMar>
              <w:top w:w="40" w:type="dxa"/>
              <w:left w:w="245" w:type="dxa"/>
              <w:bottom w:w="40" w:type="dxa"/>
              <w:right w:w="20" w:type="dxa"/>
            </w:tcMar>
            <w:vAlign w:val="bottom"/>
          </w:tcPr>
          <w:p w14:paraId="22CFB657" w14:textId="77777777" w:rsidR="002661BA" w:rsidRDefault="00D972BC">
            <w:pPr>
              <w:textAlignment w:val="bottom"/>
            </w:pPr>
            <w:r>
              <w:rPr>
                <w:rFonts w:ascii="Arial" w:eastAsia="宋体" w:hAnsi="Arial" w:cs="Arial"/>
                <w:color w:val="000000"/>
                <w:sz w:val="18"/>
                <w:szCs w:val="18"/>
              </w:rPr>
              <w:t>Net funds receivable and payable activity</w:t>
            </w:r>
          </w:p>
        </w:tc>
        <w:tc>
          <w:tcPr>
            <w:tcW w:w="0" w:type="auto"/>
            <w:gridSpan w:val="2"/>
            <w:shd w:val="clear" w:color="auto" w:fill="FFFFFF"/>
            <w:tcMar>
              <w:top w:w="40" w:type="dxa"/>
              <w:left w:w="20" w:type="dxa"/>
              <w:bottom w:w="40" w:type="dxa"/>
              <w:right w:w="0" w:type="dxa"/>
            </w:tcMar>
            <w:vAlign w:val="bottom"/>
          </w:tcPr>
          <w:p w14:paraId="22CFB658" w14:textId="77777777" w:rsidR="002661BA" w:rsidRDefault="00D972BC">
            <w:pPr>
              <w:jc w:val="right"/>
              <w:textAlignment w:val="bottom"/>
            </w:pPr>
            <w:r>
              <w:rPr>
                <w:rFonts w:ascii="Arial" w:eastAsia="宋体" w:hAnsi="Arial" w:cs="Arial"/>
                <w:color w:val="000000"/>
                <w:sz w:val="18"/>
                <w:szCs w:val="18"/>
              </w:rPr>
              <w:t>(208)</w:t>
            </w:r>
          </w:p>
        </w:tc>
        <w:tc>
          <w:tcPr>
            <w:tcW w:w="0" w:type="auto"/>
            <w:shd w:val="clear" w:color="auto" w:fill="FFFFFF"/>
            <w:tcMar>
              <w:top w:w="40" w:type="dxa"/>
              <w:left w:w="0" w:type="dxa"/>
              <w:bottom w:w="40" w:type="dxa"/>
              <w:right w:w="20" w:type="dxa"/>
            </w:tcMar>
            <w:vAlign w:val="bottom"/>
          </w:tcPr>
          <w:p w14:paraId="22CFB65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65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65B"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65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65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65E"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65F" w14:textId="77777777" w:rsidR="002661BA" w:rsidRDefault="002661BA">
            <w:pPr>
              <w:jc w:val="right"/>
              <w:rPr>
                <w:rFonts w:ascii="宋体"/>
              </w:rPr>
            </w:pPr>
          </w:p>
        </w:tc>
      </w:tr>
      <w:tr w:rsidR="002661BA" w14:paraId="22CFB66A" w14:textId="77777777">
        <w:trPr>
          <w:jc w:val="center"/>
        </w:trPr>
        <w:tc>
          <w:tcPr>
            <w:tcW w:w="0" w:type="auto"/>
            <w:gridSpan w:val="3"/>
            <w:shd w:val="clear" w:color="auto" w:fill="DBDBDB"/>
            <w:tcMar>
              <w:top w:w="40" w:type="dxa"/>
              <w:left w:w="245" w:type="dxa"/>
              <w:bottom w:w="40" w:type="dxa"/>
              <w:right w:w="20" w:type="dxa"/>
            </w:tcMar>
            <w:vAlign w:val="bottom"/>
          </w:tcPr>
          <w:p w14:paraId="22CFB661" w14:textId="77777777" w:rsidR="002661BA" w:rsidRDefault="00D972BC">
            <w:pPr>
              <w:textAlignment w:val="bottom"/>
            </w:pPr>
            <w:r>
              <w:rPr>
                <w:rFonts w:ascii="Arial" w:eastAsia="宋体" w:hAnsi="Arial" w:cs="Arial"/>
                <w:color w:val="000000"/>
                <w:sz w:val="18"/>
                <w:szCs w:val="18"/>
              </w:rPr>
              <w:t>Other</w:t>
            </w:r>
          </w:p>
        </w:tc>
        <w:tc>
          <w:tcPr>
            <w:tcW w:w="0" w:type="auto"/>
            <w:gridSpan w:val="2"/>
            <w:shd w:val="clear" w:color="auto" w:fill="DBDBDB"/>
            <w:tcMar>
              <w:top w:w="40" w:type="dxa"/>
              <w:left w:w="20" w:type="dxa"/>
              <w:bottom w:w="40" w:type="dxa"/>
              <w:right w:w="0" w:type="dxa"/>
            </w:tcMar>
            <w:vAlign w:val="bottom"/>
          </w:tcPr>
          <w:p w14:paraId="22CFB662" w14:textId="77777777" w:rsidR="002661BA" w:rsidRDefault="00D972BC">
            <w:pPr>
              <w:jc w:val="right"/>
              <w:textAlignment w:val="bottom"/>
            </w:pPr>
            <w:r>
              <w:rPr>
                <w:rFonts w:ascii="Arial" w:eastAsia="宋体" w:hAnsi="Arial" w:cs="Arial"/>
                <w:color w:val="000000"/>
                <w:sz w:val="18"/>
                <w:szCs w:val="18"/>
              </w:rPr>
              <w:t>(7)</w:t>
            </w:r>
          </w:p>
        </w:tc>
        <w:tc>
          <w:tcPr>
            <w:tcW w:w="0" w:type="auto"/>
            <w:shd w:val="clear" w:color="auto" w:fill="DBDBDB"/>
            <w:tcMar>
              <w:top w:w="40" w:type="dxa"/>
              <w:left w:w="0" w:type="dxa"/>
              <w:bottom w:w="40" w:type="dxa"/>
              <w:right w:w="20" w:type="dxa"/>
            </w:tcMar>
            <w:vAlign w:val="bottom"/>
          </w:tcPr>
          <w:p w14:paraId="22CFB663"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664"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665" w14:textId="77777777" w:rsidR="002661BA" w:rsidRDefault="00D972BC">
            <w:pPr>
              <w:jc w:val="right"/>
              <w:textAlignment w:val="bottom"/>
            </w:pPr>
            <w:r>
              <w:rPr>
                <w:rFonts w:ascii="Arial" w:eastAsia="宋体" w:hAnsi="Arial" w:cs="Arial"/>
                <w:color w:val="000000"/>
                <w:sz w:val="18"/>
                <w:szCs w:val="18"/>
              </w:rPr>
              <w:t>(5)</w:t>
            </w:r>
          </w:p>
        </w:tc>
        <w:tc>
          <w:tcPr>
            <w:tcW w:w="0" w:type="auto"/>
            <w:shd w:val="clear" w:color="auto" w:fill="DBDBDB"/>
            <w:tcMar>
              <w:top w:w="40" w:type="dxa"/>
              <w:left w:w="0" w:type="dxa"/>
              <w:bottom w:w="40" w:type="dxa"/>
              <w:right w:w="20" w:type="dxa"/>
            </w:tcMar>
            <w:vAlign w:val="bottom"/>
          </w:tcPr>
          <w:p w14:paraId="22CFB666"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667"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668" w14:textId="77777777" w:rsidR="002661BA" w:rsidRDefault="00D972BC">
            <w:pPr>
              <w:jc w:val="right"/>
              <w:textAlignment w:val="bottom"/>
            </w:pPr>
            <w:r>
              <w:rPr>
                <w:rFonts w:ascii="Arial" w:eastAsia="宋体" w:hAnsi="Arial" w:cs="Arial"/>
                <w:color w:val="000000"/>
                <w:sz w:val="18"/>
                <w:szCs w:val="18"/>
              </w:rPr>
              <w:t>5 </w:t>
            </w:r>
          </w:p>
        </w:tc>
        <w:tc>
          <w:tcPr>
            <w:tcW w:w="0" w:type="auto"/>
            <w:shd w:val="clear" w:color="auto" w:fill="DBDBDB"/>
            <w:tcMar>
              <w:top w:w="40" w:type="dxa"/>
              <w:left w:w="0" w:type="dxa"/>
              <w:bottom w:w="40" w:type="dxa"/>
              <w:right w:w="20" w:type="dxa"/>
            </w:tcMar>
            <w:vAlign w:val="bottom"/>
          </w:tcPr>
          <w:p w14:paraId="22CFB669" w14:textId="77777777" w:rsidR="002661BA" w:rsidRDefault="002661BA">
            <w:pPr>
              <w:jc w:val="right"/>
              <w:rPr>
                <w:rFonts w:ascii="宋体"/>
              </w:rPr>
            </w:pPr>
          </w:p>
        </w:tc>
      </w:tr>
      <w:tr w:rsidR="002661BA" w14:paraId="22CFB674" w14:textId="77777777">
        <w:trPr>
          <w:jc w:val="center"/>
        </w:trPr>
        <w:tc>
          <w:tcPr>
            <w:tcW w:w="0" w:type="auto"/>
            <w:gridSpan w:val="3"/>
            <w:shd w:val="clear" w:color="auto" w:fill="FFFFFF"/>
            <w:tcMar>
              <w:top w:w="40" w:type="dxa"/>
              <w:left w:w="20" w:type="dxa"/>
              <w:bottom w:w="40" w:type="dxa"/>
              <w:right w:w="20" w:type="dxa"/>
            </w:tcMar>
            <w:vAlign w:val="bottom"/>
          </w:tcPr>
          <w:p w14:paraId="22CFB66B" w14:textId="77777777" w:rsidR="002661BA" w:rsidRDefault="00D972BC">
            <w:pPr>
              <w:textAlignment w:val="bottom"/>
            </w:pPr>
            <w:r>
              <w:rPr>
                <w:rFonts w:ascii="Arial" w:eastAsia="宋体" w:hAnsi="Arial" w:cs="Arial"/>
                <w:color w:val="000000"/>
                <w:sz w:val="18"/>
                <w:szCs w:val="18"/>
              </w:rPr>
              <w:t xml:space="preserve">Net cash (used in) </w:t>
            </w:r>
            <w:r>
              <w:rPr>
                <w:rFonts w:ascii="Arial" w:eastAsia="宋体" w:hAnsi="Arial" w:cs="Arial"/>
                <w:color w:val="000000"/>
                <w:sz w:val="18"/>
                <w:szCs w:val="18"/>
              </w:rPr>
              <w:t>continuing financing activities</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22CFB66C" w14:textId="77777777" w:rsidR="002661BA" w:rsidRDefault="00D972BC">
            <w:pPr>
              <w:jc w:val="right"/>
              <w:textAlignment w:val="bottom"/>
            </w:pPr>
            <w:r>
              <w:rPr>
                <w:rFonts w:ascii="Arial" w:eastAsia="宋体" w:hAnsi="Arial" w:cs="Arial"/>
                <w:color w:val="000000"/>
                <w:sz w:val="18"/>
                <w:szCs w:val="18"/>
              </w:rPr>
              <w:t>(6,557)</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22CFB66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66E" w14:textId="77777777" w:rsidR="002661BA" w:rsidRDefault="002661BA">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22CFB66F" w14:textId="77777777" w:rsidR="002661BA" w:rsidRDefault="00D972BC">
            <w:pPr>
              <w:jc w:val="right"/>
              <w:textAlignment w:val="bottom"/>
            </w:pPr>
            <w:r>
              <w:rPr>
                <w:rFonts w:ascii="Arial" w:eastAsia="宋体" w:hAnsi="Arial" w:cs="Arial"/>
                <w:color w:val="000000"/>
                <w:sz w:val="18"/>
                <w:szCs w:val="18"/>
              </w:rPr>
              <w:t>(5,680)</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22CFB670"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671" w14:textId="77777777" w:rsidR="002661BA" w:rsidRDefault="002661BA">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22CFB672" w14:textId="77777777" w:rsidR="002661BA" w:rsidRDefault="00D972BC">
            <w:pPr>
              <w:jc w:val="right"/>
              <w:textAlignment w:val="bottom"/>
            </w:pPr>
            <w:r>
              <w:rPr>
                <w:rFonts w:ascii="Arial" w:eastAsia="宋体" w:hAnsi="Arial" w:cs="Arial"/>
                <w:color w:val="000000"/>
                <w:sz w:val="18"/>
                <w:szCs w:val="18"/>
              </w:rPr>
              <w:t>(7,087)</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22CFB673" w14:textId="77777777" w:rsidR="002661BA" w:rsidRDefault="002661BA">
            <w:pPr>
              <w:jc w:val="right"/>
              <w:rPr>
                <w:rFonts w:ascii="宋体"/>
              </w:rPr>
            </w:pPr>
          </w:p>
        </w:tc>
      </w:tr>
    </w:tbl>
    <w:p w14:paraId="22CFB675" w14:textId="77777777" w:rsidR="002661BA" w:rsidRDefault="00D972BC">
      <w:pPr>
        <w:jc w:val="center"/>
      </w:pPr>
      <w:r>
        <w:rPr>
          <w:rFonts w:ascii="Arial" w:eastAsia="宋体" w:hAnsi="Arial" w:cs="Arial"/>
          <w:color w:val="000000"/>
          <w:sz w:val="18"/>
          <w:szCs w:val="18"/>
        </w:rPr>
        <w:t>61</w:t>
      </w:r>
    </w:p>
    <w:p w14:paraId="22CFB676" w14:textId="77777777" w:rsidR="002661BA" w:rsidRDefault="00D972BC">
      <w:r>
        <w:pict w14:anchorId="22CFE4EE">
          <v:rect id="_x0000_i1085" style="width:415.3pt;height:1.5pt" o:hralign="center" o:hrstd="t" o:hr="t" fillcolor="#a0a0a0" stroked="f"/>
        </w:pict>
      </w:r>
    </w:p>
    <w:p w14:paraId="22CFB677" w14:textId="77777777" w:rsidR="002661BA" w:rsidRDefault="00D972BC">
      <w:hyperlink r:id="rId96" w:anchor="id0d7a71b05ce452ea9fdb54f3cb359c7_7" w:history="1">
        <w:r>
          <w:rPr>
            <w:rStyle w:val="a5"/>
            <w:rFonts w:ascii="Arial" w:eastAsia="宋体" w:hAnsi="Arial" w:cs="Arial"/>
            <w:sz w:val="18"/>
            <w:szCs w:val="18"/>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874"/>
        <w:gridCol w:w="38"/>
        <w:gridCol w:w="121"/>
        <w:gridCol w:w="898"/>
        <w:gridCol w:w="36"/>
        <w:gridCol w:w="36"/>
        <w:gridCol w:w="36"/>
        <w:gridCol w:w="36"/>
        <w:gridCol w:w="121"/>
        <w:gridCol w:w="898"/>
        <w:gridCol w:w="36"/>
        <w:gridCol w:w="36"/>
        <w:gridCol w:w="36"/>
        <w:gridCol w:w="36"/>
        <w:gridCol w:w="122"/>
        <w:gridCol w:w="901"/>
        <w:gridCol w:w="36"/>
      </w:tblGrid>
      <w:tr w:rsidR="002661BA" w14:paraId="22CFB68A" w14:textId="77777777">
        <w:trPr>
          <w:jc w:val="center"/>
        </w:trPr>
        <w:tc>
          <w:tcPr>
            <w:tcW w:w="50" w:type="pct"/>
            <w:shd w:val="clear" w:color="auto" w:fill="auto"/>
            <w:vAlign w:val="bottom"/>
          </w:tcPr>
          <w:p w14:paraId="22CFB678" w14:textId="77777777" w:rsidR="002661BA" w:rsidRDefault="002661BA">
            <w:pPr>
              <w:rPr>
                <w:rFonts w:ascii="宋体"/>
              </w:rPr>
            </w:pPr>
          </w:p>
        </w:tc>
        <w:tc>
          <w:tcPr>
            <w:tcW w:w="2978" w:type="pct"/>
            <w:shd w:val="clear" w:color="auto" w:fill="auto"/>
            <w:vAlign w:val="bottom"/>
          </w:tcPr>
          <w:p w14:paraId="22CFB679" w14:textId="77777777" w:rsidR="002661BA" w:rsidRDefault="002661BA">
            <w:pPr>
              <w:rPr>
                <w:rFonts w:ascii="宋体"/>
              </w:rPr>
            </w:pPr>
          </w:p>
        </w:tc>
        <w:tc>
          <w:tcPr>
            <w:tcW w:w="5" w:type="pct"/>
            <w:shd w:val="clear" w:color="auto" w:fill="auto"/>
            <w:vAlign w:val="bottom"/>
          </w:tcPr>
          <w:p w14:paraId="22CFB67A" w14:textId="77777777" w:rsidR="002661BA" w:rsidRDefault="002661BA">
            <w:pPr>
              <w:rPr>
                <w:rFonts w:ascii="宋体"/>
              </w:rPr>
            </w:pPr>
          </w:p>
        </w:tc>
        <w:tc>
          <w:tcPr>
            <w:tcW w:w="50" w:type="pct"/>
            <w:shd w:val="clear" w:color="auto" w:fill="auto"/>
            <w:vAlign w:val="bottom"/>
          </w:tcPr>
          <w:p w14:paraId="22CFB67B" w14:textId="77777777" w:rsidR="002661BA" w:rsidRDefault="002661BA">
            <w:pPr>
              <w:rPr>
                <w:rFonts w:ascii="宋体"/>
              </w:rPr>
            </w:pPr>
          </w:p>
        </w:tc>
        <w:tc>
          <w:tcPr>
            <w:tcW w:w="580" w:type="pct"/>
            <w:shd w:val="clear" w:color="auto" w:fill="auto"/>
            <w:vAlign w:val="bottom"/>
          </w:tcPr>
          <w:p w14:paraId="22CFB67C" w14:textId="77777777" w:rsidR="002661BA" w:rsidRDefault="002661BA">
            <w:pPr>
              <w:rPr>
                <w:rFonts w:ascii="宋体"/>
              </w:rPr>
            </w:pPr>
          </w:p>
        </w:tc>
        <w:tc>
          <w:tcPr>
            <w:tcW w:w="5" w:type="pct"/>
            <w:shd w:val="clear" w:color="auto" w:fill="auto"/>
            <w:vAlign w:val="bottom"/>
          </w:tcPr>
          <w:p w14:paraId="22CFB67D" w14:textId="77777777" w:rsidR="002661BA" w:rsidRDefault="002661BA">
            <w:pPr>
              <w:rPr>
                <w:rFonts w:ascii="宋体"/>
              </w:rPr>
            </w:pPr>
          </w:p>
        </w:tc>
        <w:tc>
          <w:tcPr>
            <w:tcW w:w="5" w:type="pct"/>
            <w:shd w:val="clear" w:color="auto" w:fill="auto"/>
            <w:vAlign w:val="bottom"/>
          </w:tcPr>
          <w:p w14:paraId="22CFB67E" w14:textId="77777777" w:rsidR="002661BA" w:rsidRDefault="002661BA">
            <w:pPr>
              <w:rPr>
                <w:rFonts w:ascii="宋体"/>
              </w:rPr>
            </w:pPr>
          </w:p>
        </w:tc>
        <w:tc>
          <w:tcPr>
            <w:tcW w:w="19" w:type="pct"/>
            <w:shd w:val="clear" w:color="auto" w:fill="auto"/>
            <w:vAlign w:val="bottom"/>
          </w:tcPr>
          <w:p w14:paraId="22CFB67F" w14:textId="77777777" w:rsidR="002661BA" w:rsidRDefault="002661BA">
            <w:pPr>
              <w:rPr>
                <w:rFonts w:ascii="宋体"/>
              </w:rPr>
            </w:pPr>
          </w:p>
        </w:tc>
        <w:tc>
          <w:tcPr>
            <w:tcW w:w="5" w:type="pct"/>
            <w:shd w:val="clear" w:color="auto" w:fill="auto"/>
            <w:vAlign w:val="bottom"/>
          </w:tcPr>
          <w:p w14:paraId="22CFB680" w14:textId="77777777" w:rsidR="002661BA" w:rsidRDefault="002661BA">
            <w:pPr>
              <w:rPr>
                <w:rFonts w:ascii="宋体"/>
              </w:rPr>
            </w:pPr>
          </w:p>
        </w:tc>
        <w:tc>
          <w:tcPr>
            <w:tcW w:w="50" w:type="pct"/>
            <w:shd w:val="clear" w:color="auto" w:fill="auto"/>
            <w:vAlign w:val="bottom"/>
          </w:tcPr>
          <w:p w14:paraId="22CFB681" w14:textId="77777777" w:rsidR="002661BA" w:rsidRDefault="002661BA">
            <w:pPr>
              <w:rPr>
                <w:rFonts w:ascii="宋体"/>
              </w:rPr>
            </w:pPr>
          </w:p>
        </w:tc>
        <w:tc>
          <w:tcPr>
            <w:tcW w:w="580" w:type="pct"/>
            <w:shd w:val="clear" w:color="auto" w:fill="auto"/>
            <w:vAlign w:val="bottom"/>
          </w:tcPr>
          <w:p w14:paraId="22CFB682" w14:textId="77777777" w:rsidR="002661BA" w:rsidRDefault="002661BA">
            <w:pPr>
              <w:rPr>
                <w:rFonts w:ascii="宋体"/>
              </w:rPr>
            </w:pPr>
          </w:p>
        </w:tc>
        <w:tc>
          <w:tcPr>
            <w:tcW w:w="5" w:type="pct"/>
            <w:shd w:val="clear" w:color="auto" w:fill="auto"/>
            <w:vAlign w:val="bottom"/>
          </w:tcPr>
          <w:p w14:paraId="22CFB683" w14:textId="77777777" w:rsidR="002661BA" w:rsidRDefault="002661BA">
            <w:pPr>
              <w:rPr>
                <w:rFonts w:ascii="宋体"/>
              </w:rPr>
            </w:pPr>
          </w:p>
        </w:tc>
        <w:tc>
          <w:tcPr>
            <w:tcW w:w="5" w:type="pct"/>
            <w:shd w:val="clear" w:color="auto" w:fill="auto"/>
            <w:vAlign w:val="bottom"/>
          </w:tcPr>
          <w:p w14:paraId="22CFB684" w14:textId="77777777" w:rsidR="002661BA" w:rsidRDefault="002661BA">
            <w:pPr>
              <w:rPr>
                <w:rFonts w:ascii="宋体"/>
              </w:rPr>
            </w:pPr>
          </w:p>
        </w:tc>
        <w:tc>
          <w:tcPr>
            <w:tcW w:w="19" w:type="pct"/>
            <w:shd w:val="clear" w:color="auto" w:fill="auto"/>
            <w:vAlign w:val="bottom"/>
          </w:tcPr>
          <w:p w14:paraId="22CFB685" w14:textId="77777777" w:rsidR="002661BA" w:rsidRDefault="002661BA">
            <w:pPr>
              <w:rPr>
                <w:rFonts w:ascii="宋体"/>
              </w:rPr>
            </w:pPr>
          </w:p>
        </w:tc>
        <w:tc>
          <w:tcPr>
            <w:tcW w:w="5" w:type="pct"/>
            <w:shd w:val="clear" w:color="auto" w:fill="auto"/>
            <w:vAlign w:val="bottom"/>
          </w:tcPr>
          <w:p w14:paraId="22CFB686" w14:textId="77777777" w:rsidR="002661BA" w:rsidRDefault="002661BA">
            <w:pPr>
              <w:rPr>
                <w:rFonts w:ascii="宋体"/>
              </w:rPr>
            </w:pPr>
          </w:p>
        </w:tc>
        <w:tc>
          <w:tcPr>
            <w:tcW w:w="50" w:type="pct"/>
            <w:shd w:val="clear" w:color="auto" w:fill="auto"/>
            <w:vAlign w:val="bottom"/>
          </w:tcPr>
          <w:p w14:paraId="22CFB687" w14:textId="77777777" w:rsidR="002661BA" w:rsidRDefault="002661BA">
            <w:pPr>
              <w:rPr>
                <w:rFonts w:ascii="宋体"/>
              </w:rPr>
            </w:pPr>
          </w:p>
        </w:tc>
        <w:tc>
          <w:tcPr>
            <w:tcW w:w="581" w:type="pct"/>
            <w:shd w:val="clear" w:color="auto" w:fill="auto"/>
            <w:vAlign w:val="bottom"/>
          </w:tcPr>
          <w:p w14:paraId="22CFB688" w14:textId="77777777" w:rsidR="002661BA" w:rsidRDefault="002661BA">
            <w:pPr>
              <w:rPr>
                <w:rFonts w:ascii="宋体"/>
              </w:rPr>
            </w:pPr>
          </w:p>
        </w:tc>
        <w:tc>
          <w:tcPr>
            <w:tcW w:w="5" w:type="pct"/>
            <w:shd w:val="clear" w:color="auto" w:fill="auto"/>
            <w:vAlign w:val="bottom"/>
          </w:tcPr>
          <w:p w14:paraId="22CFB689" w14:textId="77777777" w:rsidR="002661BA" w:rsidRDefault="002661BA">
            <w:pPr>
              <w:rPr>
                <w:rFonts w:ascii="宋体"/>
              </w:rPr>
            </w:pPr>
          </w:p>
        </w:tc>
      </w:tr>
      <w:tr w:rsidR="002661BA" w14:paraId="22CFB68D" w14:textId="77777777">
        <w:trPr>
          <w:jc w:val="center"/>
        </w:trPr>
        <w:tc>
          <w:tcPr>
            <w:tcW w:w="0" w:type="auto"/>
            <w:gridSpan w:val="3"/>
            <w:shd w:val="clear" w:color="auto" w:fill="auto"/>
            <w:tcMar>
              <w:top w:w="40" w:type="dxa"/>
              <w:left w:w="20" w:type="dxa"/>
              <w:bottom w:w="40" w:type="dxa"/>
              <w:right w:w="20" w:type="dxa"/>
            </w:tcMar>
            <w:vAlign w:val="bottom"/>
          </w:tcPr>
          <w:p w14:paraId="22CFB68B" w14:textId="77777777" w:rsidR="002661BA" w:rsidRDefault="00D972BC">
            <w:pPr>
              <w:textAlignment w:val="bottom"/>
            </w:pPr>
            <w:r>
              <w:rPr>
                <w:rFonts w:ascii="Arial" w:eastAsia="宋体" w:hAnsi="Arial" w:cs="Arial"/>
                <w:b/>
                <w:bCs/>
                <w:color w:val="000000"/>
                <w:sz w:val="18"/>
                <w:szCs w:val="18"/>
              </w:rPr>
              <w:t> </w:t>
            </w:r>
          </w:p>
        </w:tc>
        <w:tc>
          <w:tcPr>
            <w:tcW w:w="0" w:type="auto"/>
            <w:gridSpan w:val="15"/>
            <w:shd w:val="clear" w:color="auto" w:fill="auto"/>
            <w:tcMar>
              <w:top w:w="40" w:type="dxa"/>
              <w:left w:w="20" w:type="dxa"/>
              <w:bottom w:w="40" w:type="dxa"/>
              <w:right w:w="20" w:type="dxa"/>
            </w:tcMar>
            <w:vAlign w:val="bottom"/>
          </w:tcPr>
          <w:p w14:paraId="22CFB68C"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B694" w14:textId="77777777">
        <w:trPr>
          <w:jc w:val="center"/>
        </w:trPr>
        <w:tc>
          <w:tcPr>
            <w:tcW w:w="0" w:type="auto"/>
            <w:gridSpan w:val="3"/>
            <w:shd w:val="clear" w:color="auto" w:fill="auto"/>
            <w:tcMar>
              <w:top w:w="40" w:type="dxa"/>
              <w:left w:w="20" w:type="dxa"/>
              <w:bottom w:w="40" w:type="dxa"/>
              <w:right w:w="20" w:type="dxa"/>
            </w:tcMar>
            <w:vAlign w:val="bottom"/>
          </w:tcPr>
          <w:p w14:paraId="22CFB68E" w14:textId="77777777" w:rsidR="002661BA" w:rsidRDefault="00D972BC">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68F"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690" w14:textId="77777777" w:rsidR="002661BA" w:rsidRDefault="002661B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B691"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692" w14:textId="77777777" w:rsidR="002661BA" w:rsidRDefault="002661B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B693"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B697" w14:textId="77777777">
        <w:trPr>
          <w:jc w:val="center"/>
        </w:trPr>
        <w:tc>
          <w:tcPr>
            <w:tcW w:w="0" w:type="auto"/>
            <w:gridSpan w:val="3"/>
            <w:shd w:val="clear" w:color="auto" w:fill="auto"/>
            <w:tcMar>
              <w:top w:w="40" w:type="dxa"/>
              <w:left w:w="20" w:type="dxa"/>
              <w:bottom w:w="40" w:type="dxa"/>
              <w:right w:w="20" w:type="dxa"/>
            </w:tcMar>
            <w:vAlign w:val="bottom"/>
          </w:tcPr>
          <w:p w14:paraId="22CFB695" w14:textId="77777777" w:rsidR="002661BA" w:rsidRDefault="00D972BC">
            <w:pPr>
              <w:textAlignment w:val="bottom"/>
            </w:pPr>
            <w:r>
              <w:rPr>
                <w:rFonts w:ascii="Arial" w:eastAsia="宋体" w:hAnsi="Arial" w:cs="Arial"/>
                <w:b/>
                <w:bCs/>
                <w:color w:val="000000"/>
                <w:sz w:val="18"/>
                <w:szCs w:val="18"/>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2CFB696" w14:textId="77777777" w:rsidR="002661BA" w:rsidRDefault="00D972BC">
            <w:pPr>
              <w:jc w:val="center"/>
              <w:textAlignment w:val="bottom"/>
            </w:pPr>
            <w:r>
              <w:rPr>
                <w:rFonts w:ascii="Arial" w:eastAsia="宋体" w:hAnsi="Arial" w:cs="Arial"/>
                <w:b/>
                <w:bCs/>
                <w:color w:val="000000"/>
                <w:sz w:val="17"/>
                <w:szCs w:val="17"/>
              </w:rPr>
              <w:t xml:space="preserve">(In </w:t>
            </w:r>
            <w:r>
              <w:rPr>
                <w:rFonts w:ascii="Arial" w:eastAsia="宋体" w:hAnsi="Arial" w:cs="Arial"/>
                <w:b/>
                <w:bCs/>
                <w:color w:val="000000"/>
                <w:sz w:val="17"/>
                <w:szCs w:val="17"/>
              </w:rPr>
              <w:t>millions)</w:t>
            </w:r>
          </w:p>
        </w:tc>
      </w:tr>
      <w:tr w:rsidR="002661BA" w14:paraId="22CFB6A1" w14:textId="77777777">
        <w:trPr>
          <w:jc w:val="center"/>
        </w:trPr>
        <w:tc>
          <w:tcPr>
            <w:tcW w:w="0" w:type="auto"/>
            <w:gridSpan w:val="3"/>
            <w:shd w:val="clear" w:color="auto" w:fill="DBDBDB"/>
            <w:tcMar>
              <w:top w:w="40" w:type="dxa"/>
              <w:left w:w="20" w:type="dxa"/>
              <w:bottom w:w="40" w:type="dxa"/>
              <w:right w:w="20" w:type="dxa"/>
            </w:tcMar>
            <w:vAlign w:val="bottom"/>
          </w:tcPr>
          <w:p w14:paraId="22CFB698" w14:textId="77777777" w:rsidR="002661BA" w:rsidRDefault="00D972BC">
            <w:pPr>
              <w:textAlignment w:val="bottom"/>
            </w:pPr>
            <w:r>
              <w:rPr>
                <w:rFonts w:ascii="Arial" w:eastAsia="宋体" w:hAnsi="Arial" w:cs="Arial"/>
                <w:color w:val="000000"/>
                <w:sz w:val="18"/>
                <w:szCs w:val="18"/>
              </w:rPr>
              <w:t>Net cash provided by (used in) discontinued financing activities</w:t>
            </w: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699" w14:textId="77777777" w:rsidR="002661BA" w:rsidRDefault="00D972BC">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69A"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69B"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69C" w14:textId="77777777" w:rsidR="002661BA" w:rsidRDefault="00D972BC">
            <w:pPr>
              <w:jc w:val="right"/>
              <w:textAlignment w:val="bottom"/>
            </w:pPr>
            <w:r>
              <w:rPr>
                <w:rFonts w:ascii="Arial" w:eastAsia="宋体" w:hAnsi="Arial" w:cs="Arial"/>
                <w:color w:val="000000"/>
                <w:sz w:val="18"/>
                <w:szCs w:val="18"/>
              </w:rPr>
              <w:t>(12)</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69D"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69E"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69F" w14:textId="77777777" w:rsidR="002661BA" w:rsidRDefault="00D972BC">
            <w:pPr>
              <w:jc w:val="right"/>
              <w:textAlignment w:val="bottom"/>
            </w:pPr>
            <w:r>
              <w:rPr>
                <w:rFonts w:ascii="Arial" w:eastAsia="宋体" w:hAnsi="Arial" w:cs="Arial"/>
                <w:color w:val="000000"/>
                <w:sz w:val="18"/>
                <w:szCs w:val="18"/>
              </w:rPr>
              <w:t>(4)</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6A0" w14:textId="77777777" w:rsidR="002661BA" w:rsidRDefault="002661BA">
            <w:pPr>
              <w:jc w:val="right"/>
              <w:rPr>
                <w:rFonts w:ascii="宋体"/>
              </w:rPr>
            </w:pPr>
          </w:p>
        </w:tc>
      </w:tr>
      <w:tr w:rsidR="002661BA" w14:paraId="22CFB6AB" w14:textId="77777777">
        <w:trPr>
          <w:jc w:val="center"/>
        </w:trPr>
        <w:tc>
          <w:tcPr>
            <w:tcW w:w="0" w:type="auto"/>
            <w:gridSpan w:val="3"/>
            <w:shd w:val="clear" w:color="auto" w:fill="FFFFFF"/>
            <w:tcMar>
              <w:top w:w="40" w:type="dxa"/>
              <w:left w:w="20" w:type="dxa"/>
              <w:bottom w:w="40" w:type="dxa"/>
              <w:right w:w="20" w:type="dxa"/>
            </w:tcMar>
            <w:vAlign w:val="bottom"/>
          </w:tcPr>
          <w:p w14:paraId="22CFB6A2" w14:textId="77777777" w:rsidR="002661BA" w:rsidRDefault="00D972BC">
            <w:pPr>
              <w:textAlignment w:val="bottom"/>
            </w:pPr>
            <w:r>
              <w:rPr>
                <w:rFonts w:ascii="Arial" w:eastAsia="宋体" w:hAnsi="Arial" w:cs="Arial"/>
                <w:color w:val="000000"/>
                <w:sz w:val="18"/>
                <w:szCs w:val="18"/>
              </w:rPr>
              <w:t>Net cash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6A3" w14:textId="77777777" w:rsidR="002661BA" w:rsidRDefault="00D972BC">
            <w:pPr>
              <w:jc w:val="right"/>
              <w:textAlignment w:val="bottom"/>
            </w:pPr>
            <w:r>
              <w:rPr>
                <w:rFonts w:ascii="Arial" w:eastAsia="宋体" w:hAnsi="Arial" w:cs="Arial"/>
                <w:color w:val="000000"/>
                <w:sz w:val="18"/>
                <w:szCs w:val="18"/>
              </w:rPr>
              <w:t>(6,532)</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6A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6A5"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6A6" w14:textId="77777777" w:rsidR="002661BA" w:rsidRDefault="00D972BC">
            <w:pPr>
              <w:jc w:val="right"/>
              <w:textAlignment w:val="bottom"/>
            </w:pPr>
            <w:r>
              <w:rPr>
                <w:rFonts w:ascii="Arial" w:eastAsia="宋体" w:hAnsi="Arial" w:cs="Arial"/>
                <w:color w:val="000000"/>
                <w:sz w:val="18"/>
                <w:szCs w:val="18"/>
              </w:rPr>
              <w:t>(5,692)</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6A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6A8"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6A9" w14:textId="77777777" w:rsidR="002661BA" w:rsidRDefault="00D972BC">
            <w:pPr>
              <w:jc w:val="right"/>
              <w:textAlignment w:val="bottom"/>
            </w:pPr>
            <w:r>
              <w:rPr>
                <w:rFonts w:ascii="Arial" w:eastAsia="宋体" w:hAnsi="Arial" w:cs="Arial"/>
                <w:color w:val="000000"/>
                <w:sz w:val="18"/>
                <w:szCs w:val="18"/>
              </w:rPr>
              <w:t>(7,091)</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6AA" w14:textId="77777777" w:rsidR="002661BA" w:rsidRDefault="002661BA">
            <w:pPr>
              <w:jc w:val="right"/>
              <w:rPr>
                <w:rFonts w:ascii="宋体"/>
              </w:rPr>
            </w:pPr>
          </w:p>
        </w:tc>
      </w:tr>
      <w:tr w:rsidR="002661BA" w14:paraId="22CFB6B5" w14:textId="77777777">
        <w:trPr>
          <w:jc w:val="center"/>
        </w:trPr>
        <w:tc>
          <w:tcPr>
            <w:tcW w:w="0" w:type="auto"/>
            <w:gridSpan w:val="3"/>
            <w:shd w:val="clear" w:color="auto" w:fill="DBDBDB"/>
            <w:tcMar>
              <w:top w:w="40" w:type="dxa"/>
              <w:left w:w="20" w:type="dxa"/>
              <w:bottom w:w="40" w:type="dxa"/>
              <w:right w:w="20" w:type="dxa"/>
            </w:tcMar>
            <w:vAlign w:val="bottom"/>
          </w:tcPr>
          <w:p w14:paraId="22CFB6AC" w14:textId="77777777" w:rsidR="002661BA" w:rsidRDefault="00D972BC">
            <w:pPr>
              <w:textAlignment w:val="bottom"/>
            </w:pPr>
            <w:r>
              <w:rPr>
                <w:rFonts w:ascii="Arial" w:eastAsia="宋体" w:hAnsi="Arial" w:cs="Arial"/>
                <w:color w:val="000000"/>
                <w:sz w:val="18"/>
                <w:szCs w:val="18"/>
              </w:rPr>
              <w:t>Effect of exchange rate changes on cash, cash equivalents and restricted cash</w:t>
            </w: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6AD" w14:textId="77777777" w:rsidR="002661BA" w:rsidRDefault="00D972BC">
            <w:pPr>
              <w:jc w:val="right"/>
              <w:textAlignment w:val="bottom"/>
            </w:pPr>
            <w:r>
              <w:rPr>
                <w:rFonts w:ascii="Arial" w:eastAsia="宋体" w:hAnsi="Arial" w:cs="Arial"/>
                <w:color w:val="000000"/>
                <w:sz w:val="18"/>
                <w:szCs w:val="18"/>
              </w:rPr>
              <w:t>24 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6AE"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6AF"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6B0" w14:textId="77777777" w:rsidR="002661BA" w:rsidRDefault="00D972BC">
            <w:pPr>
              <w:jc w:val="right"/>
              <w:textAlignment w:val="bottom"/>
            </w:pPr>
            <w:r>
              <w:rPr>
                <w:rFonts w:ascii="Arial" w:eastAsia="宋体" w:hAnsi="Arial" w:cs="Arial"/>
                <w:color w:val="000000"/>
                <w:sz w:val="18"/>
                <w:szCs w:val="18"/>
              </w:rPr>
              <w:t>77 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6B1"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6B2"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6B3" w14:textId="77777777" w:rsidR="002661BA" w:rsidRDefault="00D972BC">
            <w:pPr>
              <w:jc w:val="right"/>
              <w:textAlignment w:val="bottom"/>
            </w:pPr>
            <w:r>
              <w:rPr>
                <w:rFonts w:ascii="Arial" w:eastAsia="宋体" w:hAnsi="Arial" w:cs="Arial"/>
                <w:color w:val="000000"/>
                <w:sz w:val="18"/>
                <w:szCs w:val="18"/>
              </w:rPr>
              <w:t>(33)</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6B4" w14:textId="77777777" w:rsidR="002661BA" w:rsidRDefault="002661BA">
            <w:pPr>
              <w:jc w:val="right"/>
              <w:rPr>
                <w:rFonts w:ascii="宋体"/>
              </w:rPr>
            </w:pPr>
          </w:p>
        </w:tc>
      </w:tr>
      <w:tr w:rsidR="002661BA" w14:paraId="22CFB6BF" w14:textId="77777777">
        <w:trPr>
          <w:jc w:val="center"/>
        </w:trPr>
        <w:tc>
          <w:tcPr>
            <w:tcW w:w="0" w:type="auto"/>
            <w:gridSpan w:val="3"/>
            <w:shd w:val="clear" w:color="auto" w:fill="FFFFFF"/>
            <w:tcMar>
              <w:top w:w="40" w:type="dxa"/>
              <w:left w:w="20" w:type="dxa"/>
              <w:bottom w:w="40" w:type="dxa"/>
              <w:right w:w="20" w:type="dxa"/>
            </w:tcMar>
            <w:vAlign w:val="bottom"/>
          </w:tcPr>
          <w:p w14:paraId="22CFB6B6" w14:textId="77777777" w:rsidR="002661BA" w:rsidRDefault="00D972BC">
            <w:pPr>
              <w:textAlignment w:val="bottom"/>
            </w:pPr>
            <w:r>
              <w:rPr>
                <w:rFonts w:ascii="Arial" w:eastAsia="宋体" w:hAnsi="Arial" w:cs="Arial"/>
                <w:color w:val="000000"/>
                <w:sz w:val="18"/>
                <w:szCs w:val="18"/>
              </w:rPr>
              <w:t>Net increase (decrease) in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6B7" w14:textId="77777777" w:rsidR="002661BA" w:rsidRDefault="00D972BC">
            <w:pPr>
              <w:jc w:val="right"/>
              <w:textAlignment w:val="bottom"/>
            </w:pPr>
            <w:r>
              <w:rPr>
                <w:rFonts w:ascii="Arial" w:eastAsia="宋体" w:hAnsi="Arial" w:cs="Arial"/>
                <w:color w:val="000000"/>
                <w:sz w:val="18"/>
                <w:szCs w:val="18"/>
              </w:rPr>
              <w:t>(188)</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6B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6B9"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6BA" w14:textId="77777777" w:rsidR="002661BA" w:rsidRDefault="00D972BC">
            <w:pPr>
              <w:jc w:val="right"/>
              <w:textAlignment w:val="bottom"/>
            </w:pPr>
            <w:r>
              <w:rPr>
                <w:rFonts w:ascii="Arial" w:eastAsia="宋体" w:hAnsi="Arial" w:cs="Arial"/>
                <w:color w:val="000000"/>
                <w:sz w:val="18"/>
                <w:szCs w:val="18"/>
              </w:rPr>
              <w:t>598 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6B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6BC"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6BD" w14:textId="77777777" w:rsidR="002661BA" w:rsidRDefault="00D972BC">
            <w:pPr>
              <w:jc w:val="right"/>
              <w:textAlignment w:val="bottom"/>
            </w:pPr>
            <w:r>
              <w:rPr>
                <w:rFonts w:ascii="Arial" w:eastAsia="宋体" w:hAnsi="Arial" w:cs="Arial"/>
                <w:color w:val="000000"/>
                <w:sz w:val="18"/>
                <w:szCs w:val="18"/>
              </w:rPr>
              <w:t>(1,223)</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6BE" w14:textId="77777777" w:rsidR="002661BA" w:rsidRDefault="002661BA">
            <w:pPr>
              <w:jc w:val="right"/>
              <w:rPr>
                <w:rFonts w:ascii="宋体"/>
              </w:rPr>
            </w:pPr>
          </w:p>
        </w:tc>
      </w:tr>
      <w:tr w:rsidR="002661BA" w14:paraId="22CFB6C9" w14:textId="77777777">
        <w:trPr>
          <w:jc w:val="center"/>
        </w:trPr>
        <w:tc>
          <w:tcPr>
            <w:tcW w:w="0" w:type="auto"/>
            <w:gridSpan w:val="3"/>
            <w:shd w:val="clear" w:color="auto" w:fill="DBDBDB"/>
            <w:tcMar>
              <w:top w:w="40" w:type="dxa"/>
              <w:left w:w="20" w:type="dxa"/>
              <w:bottom w:w="40" w:type="dxa"/>
              <w:right w:w="20" w:type="dxa"/>
            </w:tcMar>
            <w:vAlign w:val="bottom"/>
          </w:tcPr>
          <w:p w14:paraId="22CFB6C0" w14:textId="77777777" w:rsidR="002661BA" w:rsidRDefault="00D972BC">
            <w:pPr>
              <w:textAlignment w:val="bottom"/>
            </w:pPr>
            <w:r>
              <w:rPr>
                <w:rFonts w:ascii="Arial" w:eastAsia="宋体" w:hAnsi="Arial" w:cs="Arial"/>
                <w:color w:val="000000"/>
                <w:sz w:val="18"/>
                <w:szCs w:val="18"/>
              </w:rPr>
              <w:t>Cash, cash equivalents and restricted cash at beginning of period</w:t>
            </w:r>
          </w:p>
        </w:tc>
        <w:tc>
          <w:tcPr>
            <w:tcW w:w="0" w:type="auto"/>
            <w:gridSpan w:val="2"/>
            <w:shd w:val="clear" w:color="auto" w:fill="DBDBDB"/>
            <w:tcMar>
              <w:top w:w="40" w:type="dxa"/>
              <w:left w:w="20" w:type="dxa"/>
              <w:bottom w:w="40" w:type="dxa"/>
              <w:right w:w="0" w:type="dxa"/>
            </w:tcMar>
            <w:vAlign w:val="bottom"/>
          </w:tcPr>
          <w:p w14:paraId="22CFB6C1" w14:textId="77777777" w:rsidR="002661BA" w:rsidRDefault="00D972BC">
            <w:pPr>
              <w:jc w:val="right"/>
              <w:textAlignment w:val="bottom"/>
            </w:pPr>
            <w:r>
              <w:rPr>
                <w:rFonts w:ascii="Arial" w:eastAsia="宋体" w:hAnsi="Arial" w:cs="Arial"/>
                <w:color w:val="000000"/>
                <w:sz w:val="18"/>
                <w:szCs w:val="18"/>
              </w:rPr>
              <w:t>1,594 </w:t>
            </w:r>
          </w:p>
        </w:tc>
        <w:tc>
          <w:tcPr>
            <w:tcW w:w="0" w:type="auto"/>
            <w:shd w:val="clear" w:color="auto" w:fill="DBDBDB"/>
            <w:tcMar>
              <w:top w:w="40" w:type="dxa"/>
              <w:left w:w="0" w:type="dxa"/>
              <w:bottom w:w="40" w:type="dxa"/>
              <w:right w:w="20" w:type="dxa"/>
            </w:tcMar>
            <w:vAlign w:val="bottom"/>
          </w:tcPr>
          <w:p w14:paraId="22CFB6C2"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6C3"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6C4" w14:textId="77777777" w:rsidR="002661BA" w:rsidRDefault="00D972BC">
            <w:pPr>
              <w:jc w:val="right"/>
              <w:textAlignment w:val="bottom"/>
            </w:pPr>
            <w:r>
              <w:rPr>
                <w:rFonts w:ascii="Arial" w:eastAsia="宋体" w:hAnsi="Arial" w:cs="Arial"/>
                <w:color w:val="000000"/>
                <w:sz w:val="18"/>
                <w:szCs w:val="18"/>
              </w:rPr>
              <w:t>996 </w:t>
            </w:r>
          </w:p>
        </w:tc>
        <w:tc>
          <w:tcPr>
            <w:tcW w:w="0" w:type="auto"/>
            <w:shd w:val="clear" w:color="auto" w:fill="DBDBDB"/>
            <w:tcMar>
              <w:top w:w="40" w:type="dxa"/>
              <w:left w:w="0" w:type="dxa"/>
              <w:bottom w:w="40" w:type="dxa"/>
              <w:right w:w="20" w:type="dxa"/>
            </w:tcMar>
            <w:vAlign w:val="bottom"/>
          </w:tcPr>
          <w:p w14:paraId="22CFB6C5"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6C6"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6C7" w14:textId="77777777" w:rsidR="002661BA" w:rsidRDefault="00D972BC">
            <w:pPr>
              <w:jc w:val="right"/>
              <w:textAlignment w:val="bottom"/>
            </w:pPr>
            <w:r>
              <w:rPr>
                <w:rFonts w:ascii="Arial" w:eastAsia="宋体" w:hAnsi="Arial" w:cs="Arial"/>
                <w:color w:val="000000"/>
                <w:sz w:val="18"/>
                <w:szCs w:val="18"/>
              </w:rPr>
              <w:t>2,219 </w:t>
            </w:r>
          </w:p>
        </w:tc>
        <w:tc>
          <w:tcPr>
            <w:tcW w:w="0" w:type="auto"/>
            <w:shd w:val="clear" w:color="auto" w:fill="DBDBDB"/>
            <w:tcMar>
              <w:top w:w="40" w:type="dxa"/>
              <w:left w:w="0" w:type="dxa"/>
              <w:bottom w:w="40" w:type="dxa"/>
              <w:right w:w="20" w:type="dxa"/>
            </w:tcMar>
            <w:vAlign w:val="bottom"/>
          </w:tcPr>
          <w:p w14:paraId="22CFB6C8" w14:textId="77777777" w:rsidR="002661BA" w:rsidRDefault="002661BA">
            <w:pPr>
              <w:jc w:val="right"/>
              <w:rPr>
                <w:rFonts w:ascii="宋体"/>
              </w:rPr>
            </w:pPr>
          </w:p>
        </w:tc>
      </w:tr>
      <w:tr w:rsidR="002661BA" w14:paraId="22CFB6D6" w14:textId="77777777">
        <w:trPr>
          <w:jc w:val="center"/>
        </w:trPr>
        <w:tc>
          <w:tcPr>
            <w:tcW w:w="0" w:type="auto"/>
            <w:gridSpan w:val="3"/>
            <w:shd w:val="clear" w:color="auto" w:fill="FFFFFF"/>
            <w:tcMar>
              <w:top w:w="40" w:type="dxa"/>
              <w:left w:w="20" w:type="dxa"/>
              <w:bottom w:w="40" w:type="dxa"/>
              <w:right w:w="20" w:type="dxa"/>
            </w:tcMar>
            <w:vAlign w:val="bottom"/>
          </w:tcPr>
          <w:p w14:paraId="22CFB6CA" w14:textId="77777777" w:rsidR="002661BA" w:rsidRDefault="00D972BC">
            <w:pPr>
              <w:textAlignment w:val="bottom"/>
            </w:pPr>
            <w:r>
              <w:rPr>
                <w:rFonts w:ascii="Arial" w:eastAsia="宋体" w:hAnsi="Arial" w:cs="Arial"/>
                <w:color w:val="000000"/>
                <w:sz w:val="18"/>
                <w:szCs w:val="18"/>
              </w:rPr>
              <w:t xml:space="preserve">Cash, cash equivalents and restricted cash at end of </w:t>
            </w:r>
            <w:r>
              <w:rPr>
                <w:rFonts w:ascii="Arial" w:eastAsia="宋体" w:hAnsi="Arial" w:cs="Arial"/>
                <w:color w:val="000000"/>
                <w:sz w:val="18"/>
                <w:szCs w:val="18"/>
              </w:rPr>
              <w:t>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22CFB6CB"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6CC" w14:textId="77777777" w:rsidR="002661BA" w:rsidRDefault="00D972BC">
            <w:pPr>
              <w:jc w:val="right"/>
              <w:textAlignment w:val="bottom"/>
            </w:pPr>
            <w:r>
              <w:rPr>
                <w:rFonts w:ascii="Arial" w:eastAsia="宋体" w:hAnsi="Arial" w:cs="Arial"/>
                <w:color w:val="000000"/>
                <w:sz w:val="18"/>
                <w:szCs w:val="18"/>
              </w:rPr>
              <w:t>1,406 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6C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6CE"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B6C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6D0" w14:textId="77777777" w:rsidR="002661BA" w:rsidRDefault="00D972BC">
            <w:pPr>
              <w:jc w:val="right"/>
              <w:textAlignment w:val="bottom"/>
            </w:pPr>
            <w:r>
              <w:rPr>
                <w:rFonts w:ascii="Arial" w:eastAsia="宋体" w:hAnsi="Arial" w:cs="Arial"/>
                <w:color w:val="000000"/>
                <w:sz w:val="18"/>
                <w:szCs w:val="18"/>
              </w:rPr>
              <w:t>1,594 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6D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6D2"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B6D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6D4" w14:textId="77777777" w:rsidR="002661BA" w:rsidRDefault="00D972BC">
            <w:pPr>
              <w:jc w:val="right"/>
              <w:textAlignment w:val="bottom"/>
            </w:pPr>
            <w:r>
              <w:rPr>
                <w:rFonts w:ascii="Arial" w:eastAsia="宋体" w:hAnsi="Arial" w:cs="Arial"/>
                <w:color w:val="000000"/>
                <w:sz w:val="18"/>
                <w:szCs w:val="18"/>
              </w:rPr>
              <w:t>996 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6D5" w14:textId="77777777" w:rsidR="002661BA" w:rsidRDefault="002661BA">
            <w:pPr>
              <w:jc w:val="right"/>
              <w:rPr>
                <w:rFonts w:ascii="宋体"/>
              </w:rPr>
            </w:pPr>
          </w:p>
        </w:tc>
      </w:tr>
      <w:tr w:rsidR="002661BA" w14:paraId="22CFB6DD" w14:textId="77777777">
        <w:trPr>
          <w:jc w:val="center"/>
          <w:hidden/>
        </w:trPr>
        <w:tc>
          <w:tcPr>
            <w:tcW w:w="0" w:type="auto"/>
            <w:gridSpan w:val="3"/>
            <w:shd w:val="clear" w:color="auto" w:fill="auto"/>
            <w:vAlign w:val="bottom"/>
          </w:tcPr>
          <w:p w14:paraId="22CFB6D7" w14:textId="77777777" w:rsidR="002661BA" w:rsidRDefault="002661BA">
            <w:pPr>
              <w:rPr>
                <w:rFonts w:ascii="宋体"/>
                <w:vanish/>
              </w:rPr>
            </w:pPr>
          </w:p>
        </w:tc>
        <w:tc>
          <w:tcPr>
            <w:tcW w:w="0" w:type="auto"/>
            <w:gridSpan w:val="3"/>
            <w:shd w:val="clear" w:color="auto" w:fill="auto"/>
            <w:vAlign w:val="bottom"/>
          </w:tcPr>
          <w:p w14:paraId="22CFB6D8" w14:textId="77777777" w:rsidR="002661BA" w:rsidRDefault="002661BA">
            <w:pPr>
              <w:rPr>
                <w:rFonts w:ascii="宋体"/>
                <w:vanish/>
              </w:rPr>
            </w:pPr>
          </w:p>
        </w:tc>
        <w:tc>
          <w:tcPr>
            <w:tcW w:w="0" w:type="auto"/>
            <w:gridSpan w:val="3"/>
            <w:shd w:val="clear" w:color="auto" w:fill="auto"/>
            <w:vAlign w:val="bottom"/>
          </w:tcPr>
          <w:p w14:paraId="22CFB6D9" w14:textId="77777777" w:rsidR="002661BA" w:rsidRDefault="002661BA">
            <w:pPr>
              <w:rPr>
                <w:rFonts w:ascii="宋体"/>
                <w:vanish/>
              </w:rPr>
            </w:pPr>
          </w:p>
        </w:tc>
        <w:tc>
          <w:tcPr>
            <w:tcW w:w="0" w:type="auto"/>
            <w:gridSpan w:val="3"/>
            <w:shd w:val="clear" w:color="auto" w:fill="auto"/>
            <w:vAlign w:val="bottom"/>
          </w:tcPr>
          <w:p w14:paraId="22CFB6DA" w14:textId="77777777" w:rsidR="002661BA" w:rsidRDefault="002661BA">
            <w:pPr>
              <w:rPr>
                <w:rFonts w:ascii="宋体"/>
                <w:vanish/>
              </w:rPr>
            </w:pPr>
          </w:p>
        </w:tc>
        <w:tc>
          <w:tcPr>
            <w:tcW w:w="0" w:type="auto"/>
            <w:gridSpan w:val="3"/>
            <w:shd w:val="clear" w:color="auto" w:fill="auto"/>
            <w:vAlign w:val="bottom"/>
          </w:tcPr>
          <w:p w14:paraId="22CFB6DB" w14:textId="77777777" w:rsidR="002661BA" w:rsidRDefault="002661BA">
            <w:pPr>
              <w:rPr>
                <w:rFonts w:ascii="宋体"/>
                <w:vanish/>
              </w:rPr>
            </w:pPr>
          </w:p>
        </w:tc>
        <w:tc>
          <w:tcPr>
            <w:tcW w:w="0" w:type="auto"/>
            <w:gridSpan w:val="3"/>
            <w:shd w:val="clear" w:color="auto" w:fill="auto"/>
            <w:vAlign w:val="bottom"/>
          </w:tcPr>
          <w:p w14:paraId="22CFB6DC" w14:textId="77777777" w:rsidR="002661BA" w:rsidRDefault="002661BA">
            <w:pPr>
              <w:rPr>
                <w:rFonts w:ascii="宋体"/>
                <w:vanish/>
              </w:rPr>
            </w:pPr>
          </w:p>
        </w:tc>
      </w:tr>
      <w:tr w:rsidR="002661BA" w14:paraId="22CFB6E7" w14:textId="77777777">
        <w:trPr>
          <w:jc w:val="center"/>
        </w:trPr>
        <w:tc>
          <w:tcPr>
            <w:tcW w:w="0" w:type="auto"/>
            <w:gridSpan w:val="3"/>
            <w:shd w:val="clear" w:color="auto" w:fill="DBDBDB"/>
            <w:tcMar>
              <w:top w:w="40" w:type="dxa"/>
              <w:left w:w="245" w:type="dxa"/>
              <w:bottom w:w="40" w:type="dxa"/>
              <w:right w:w="20" w:type="dxa"/>
            </w:tcMar>
            <w:vAlign w:val="bottom"/>
          </w:tcPr>
          <w:p w14:paraId="22CFB6DE" w14:textId="77777777" w:rsidR="002661BA" w:rsidRDefault="00D972BC">
            <w:pPr>
              <w:textAlignment w:val="bottom"/>
            </w:pPr>
            <w:r>
              <w:rPr>
                <w:rFonts w:ascii="Arial" w:eastAsia="宋体" w:hAnsi="Arial" w:cs="Arial"/>
                <w:color w:val="000000"/>
                <w:sz w:val="18"/>
                <w:szCs w:val="18"/>
              </w:rPr>
              <w:t>Less: Cash, cash equivalents and restricted cash of discontinued operations</w:t>
            </w:r>
          </w:p>
        </w:tc>
        <w:tc>
          <w:tcPr>
            <w:tcW w:w="0" w:type="auto"/>
            <w:gridSpan w:val="2"/>
            <w:tcBorders>
              <w:top w:val="double" w:sz="6" w:space="0" w:color="000000"/>
            </w:tcBorders>
            <w:shd w:val="clear" w:color="auto" w:fill="DBDBDB"/>
            <w:tcMar>
              <w:top w:w="40" w:type="dxa"/>
              <w:left w:w="20" w:type="dxa"/>
              <w:bottom w:w="40" w:type="dxa"/>
              <w:right w:w="0" w:type="dxa"/>
            </w:tcMar>
            <w:vAlign w:val="bottom"/>
          </w:tcPr>
          <w:p w14:paraId="22CFB6DF"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double" w:sz="6" w:space="0" w:color="000000"/>
            </w:tcBorders>
            <w:shd w:val="clear" w:color="auto" w:fill="DBDBDB"/>
            <w:tcMar>
              <w:top w:w="40" w:type="dxa"/>
              <w:left w:w="0" w:type="dxa"/>
              <w:bottom w:w="40" w:type="dxa"/>
              <w:right w:w="20" w:type="dxa"/>
            </w:tcMar>
            <w:vAlign w:val="bottom"/>
          </w:tcPr>
          <w:p w14:paraId="22CFB6E0"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6E1" w14:textId="77777777" w:rsidR="002661BA" w:rsidRDefault="002661BA">
            <w:pPr>
              <w:rPr>
                <w:rFonts w:ascii="宋体"/>
              </w:rPr>
            </w:pPr>
          </w:p>
        </w:tc>
        <w:tc>
          <w:tcPr>
            <w:tcW w:w="0" w:type="auto"/>
            <w:gridSpan w:val="2"/>
            <w:tcBorders>
              <w:top w:val="double" w:sz="6" w:space="0" w:color="000000"/>
            </w:tcBorders>
            <w:shd w:val="clear" w:color="auto" w:fill="DBDBDB"/>
            <w:tcMar>
              <w:top w:w="40" w:type="dxa"/>
              <w:left w:w="20" w:type="dxa"/>
              <w:bottom w:w="40" w:type="dxa"/>
              <w:right w:w="0" w:type="dxa"/>
            </w:tcMar>
            <w:vAlign w:val="bottom"/>
          </w:tcPr>
          <w:p w14:paraId="22CFB6E2" w14:textId="77777777" w:rsidR="002661BA" w:rsidRDefault="00D972BC">
            <w:pPr>
              <w:jc w:val="right"/>
              <w:textAlignment w:val="bottom"/>
            </w:pPr>
            <w:r>
              <w:rPr>
                <w:rFonts w:ascii="Arial" w:eastAsia="宋体" w:hAnsi="Arial" w:cs="Arial"/>
                <w:color w:val="000000"/>
                <w:sz w:val="18"/>
                <w:szCs w:val="18"/>
              </w:rPr>
              <w:t>356 </w:t>
            </w:r>
          </w:p>
        </w:tc>
        <w:tc>
          <w:tcPr>
            <w:tcW w:w="0" w:type="auto"/>
            <w:tcBorders>
              <w:top w:val="double" w:sz="6" w:space="0" w:color="000000"/>
            </w:tcBorders>
            <w:shd w:val="clear" w:color="auto" w:fill="DBDBDB"/>
            <w:tcMar>
              <w:top w:w="40" w:type="dxa"/>
              <w:left w:w="0" w:type="dxa"/>
              <w:bottom w:w="40" w:type="dxa"/>
              <w:right w:w="20" w:type="dxa"/>
            </w:tcMar>
            <w:vAlign w:val="bottom"/>
          </w:tcPr>
          <w:p w14:paraId="22CFB6E3"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6E4" w14:textId="77777777" w:rsidR="002661BA" w:rsidRDefault="002661BA">
            <w:pPr>
              <w:rPr>
                <w:rFonts w:ascii="宋体"/>
              </w:rPr>
            </w:pPr>
          </w:p>
        </w:tc>
        <w:tc>
          <w:tcPr>
            <w:tcW w:w="0" w:type="auto"/>
            <w:gridSpan w:val="2"/>
            <w:tcBorders>
              <w:top w:val="double" w:sz="6" w:space="0" w:color="000000"/>
            </w:tcBorders>
            <w:shd w:val="clear" w:color="auto" w:fill="DBDBDB"/>
            <w:tcMar>
              <w:top w:w="40" w:type="dxa"/>
              <w:left w:w="20" w:type="dxa"/>
              <w:bottom w:w="40" w:type="dxa"/>
              <w:right w:w="0" w:type="dxa"/>
            </w:tcMar>
            <w:vAlign w:val="bottom"/>
          </w:tcPr>
          <w:p w14:paraId="22CFB6E5" w14:textId="77777777" w:rsidR="002661BA" w:rsidRDefault="00D972BC">
            <w:pPr>
              <w:jc w:val="right"/>
              <w:textAlignment w:val="bottom"/>
            </w:pPr>
            <w:r>
              <w:rPr>
                <w:rFonts w:ascii="Arial" w:eastAsia="宋体" w:hAnsi="Arial" w:cs="Arial"/>
                <w:color w:val="000000"/>
                <w:sz w:val="18"/>
                <w:szCs w:val="18"/>
              </w:rPr>
              <w:t>337 </w:t>
            </w:r>
          </w:p>
        </w:tc>
        <w:tc>
          <w:tcPr>
            <w:tcW w:w="0" w:type="auto"/>
            <w:tcBorders>
              <w:top w:val="double" w:sz="6" w:space="0" w:color="000000"/>
            </w:tcBorders>
            <w:shd w:val="clear" w:color="auto" w:fill="DBDBDB"/>
            <w:tcMar>
              <w:top w:w="40" w:type="dxa"/>
              <w:left w:w="0" w:type="dxa"/>
              <w:bottom w:w="40" w:type="dxa"/>
              <w:right w:w="20" w:type="dxa"/>
            </w:tcMar>
            <w:vAlign w:val="bottom"/>
          </w:tcPr>
          <w:p w14:paraId="22CFB6E6" w14:textId="77777777" w:rsidR="002661BA" w:rsidRDefault="002661BA">
            <w:pPr>
              <w:jc w:val="right"/>
              <w:rPr>
                <w:rFonts w:ascii="宋体"/>
              </w:rPr>
            </w:pPr>
          </w:p>
        </w:tc>
      </w:tr>
      <w:tr w:rsidR="002661BA" w14:paraId="22CFB6F4" w14:textId="77777777">
        <w:trPr>
          <w:jc w:val="center"/>
        </w:trPr>
        <w:tc>
          <w:tcPr>
            <w:tcW w:w="0" w:type="auto"/>
            <w:gridSpan w:val="3"/>
            <w:shd w:val="clear" w:color="auto" w:fill="FFFFFF"/>
            <w:tcMar>
              <w:top w:w="40" w:type="dxa"/>
              <w:left w:w="20" w:type="dxa"/>
              <w:bottom w:w="40" w:type="dxa"/>
              <w:right w:w="20" w:type="dxa"/>
            </w:tcMar>
            <w:vAlign w:val="bottom"/>
          </w:tcPr>
          <w:p w14:paraId="22CFB6E8" w14:textId="77777777" w:rsidR="002661BA" w:rsidRDefault="00D972BC">
            <w:pPr>
              <w:textAlignment w:val="bottom"/>
            </w:pPr>
            <w:r>
              <w:rPr>
                <w:rFonts w:ascii="Arial" w:eastAsia="宋体" w:hAnsi="Arial" w:cs="Arial"/>
                <w:color w:val="000000"/>
                <w:sz w:val="18"/>
                <w:szCs w:val="18"/>
              </w:rPr>
              <w:t>Cash, cash equivalents and restricted cash of continuing operations at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22CFB6E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6EA" w14:textId="77777777" w:rsidR="002661BA" w:rsidRDefault="00D972BC">
            <w:pPr>
              <w:jc w:val="right"/>
              <w:textAlignment w:val="bottom"/>
            </w:pPr>
            <w:r>
              <w:rPr>
                <w:rFonts w:ascii="Arial" w:eastAsia="宋体" w:hAnsi="Arial" w:cs="Arial"/>
                <w:color w:val="000000"/>
                <w:sz w:val="18"/>
                <w:szCs w:val="18"/>
              </w:rPr>
              <w:t>1,406 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6E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6EC"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B6E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6EE" w14:textId="77777777" w:rsidR="002661BA" w:rsidRDefault="00D972BC">
            <w:pPr>
              <w:jc w:val="right"/>
              <w:textAlignment w:val="bottom"/>
            </w:pPr>
            <w:r>
              <w:rPr>
                <w:rFonts w:ascii="Arial" w:eastAsia="宋体" w:hAnsi="Arial" w:cs="Arial"/>
                <w:color w:val="000000"/>
                <w:sz w:val="18"/>
                <w:szCs w:val="18"/>
              </w:rPr>
              <w:t>1,238 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6E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6F0"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B6F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6F2" w14:textId="77777777" w:rsidR="002661BA" w:rsidRDefault="00D972BC">
            <w:pPr>
              <w:jc w:val="right"/>
              <w:textAlignment w:val="bottom"/>
            </w:pPr>
            <w:r>
              <w:rPr>
                <w:rFonts w:ascii="Arial" w:eastAsia="宋体" w:hAnsi="Arial" w:cs="Arial"/>
                <w:color w:val="000000"/>
                <w:sz w:val="18"/>
                <w:szCs w:val="18"/>
              </w:rPr>
              <w:t>659 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6F3" w14:textId="77777777" w:rsidR="002661BA" w:rsidRDefault="002661BA">
            <w:pPr>
              <w:jc w:val="right"/>
              <w:rPr>
                <w:rFonts w:ascii="宋体"/>
              </w:rPr>
            </w:pPr>
          </w:p>
        </w:tc>
      </w:tr>
      <w:tr w:rsidR="002661BA" w14:paraId="22CFB6FB" w14:textId="77777777">
        <w:trPr>
          <w:trHeight w:val="240"/>
          <w:jc w:val="center"/>
        </w:trPr>
        <w:tc>
          <w:tcPr>
            <w:tcW w:w="0" w:type="auto"/>
            <w:gridSpan w:val="3"/>
            <w:shd w:val="clear" w:color="auto" w:fill="DBDBDB"/>
            <w:tcMar>
              <w:top w:w="0" w:type="dxa"/>
              <w:left w:w="20" w:type="dxa"/>
              <w:bottom w:w="0" w:type="dxa"/>
              <w:right w:w="20" w:type="dxa"/>
            </w:tcMar>
            <w:vAlign w:val="bottom"/>
          </w:tcPr>
          <w:p w14:paraId="22CFB6F5" w14:textId="77777777" w:rsidR="002661BA" w:rsidRDefault="002661BA">
            <w:pPr>
              <w:rPr>
                <w:rFonts w:ascii="宋体"/>
              </w:rPr>
            </w:pPr>
          </w:p>
        </w:tc>
        <w:tc>
          <w:tcPr>
            <w:tcW w:w="0" w:type="auto"/>
            <w:gridSpan w:val="3"/>
            <w:tcBorders>
              <w:top w:val="double" w:sz="6" w:space="0" w:color="000000"/>
            </w:tcBorders>
            <w:shd w:val="clear" w:color="auto" w:fill="DBDBDB"/>
            <w:tcMar>
              <w:top w:w="0" w:type="dxa"/>
              <w:left w:w="20" w:type="dxa"/>
              <w:bottom w:w="0" w:type="dxa"/>
              <w:right w:w="20" w:type="dxa"/>
            </w:tcMar>
            <w:vAlign w:val="bottom"/>
          </w:tcPr>
          <w:p w14:paraId="22CFB6F6"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B6F7" w14:textId="77777777" w:rsidR="002661BA" w:rsidRDefault="002661BA">
            <w:pPr>
              <w:rPr>
                <w:rFonts w:ascii="宋体"/>
              </w:rPr>
            </w:pPr>
          </w:p>
        </w:tc>
        <w:tc>
          <w:tcPr>
            <w:tcW w:w="0" w:type="auto"/>
            <w:gridSpan w:val="3"/>
            <w:tcBorders>
              <w:top w:val="double" w:sz="6" w:space="0" w:color="000000"/>
            </w:tcBorders>
            <w:shd w:val="clear" w:color="auto" w:fill="DBDBDB"/>
            <w:tcMar>
              <w:top w:w="0" w:type="dxa"/>
              <w:left w:w="20" w:type="dxa"/>
              <w:bottom w:w="0" w:type="dxa"/>
              <w:right w:w="20" w:type="dxa"/>
            </w:tcMar>
            <w:vAlign w:val="bottom"/>
          </w:tcPr>
          <w:p w14:paraId="22CFB6F8"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B6F9" w14:textId="77777777" w:rsidR="002661BA" w:rsidRDefault="002661BA">
            <w:pPr>
              <w:rPr>
                <w:rFonts w:ascii="宋体"/>
              </w:rPr>
            </w:pPr>
          </w:p>
        </w:tc>
        <w:tc>
          <w:tcPr>
            <w:tcW w:w="0" w:type="auto"/>
            <w:gridSpan w:val="3"/>
            <w:tcBorders>
              <w:top w:val="double" w:sz="6" w:space="0" w:color="000000"/>
            </w:tcBorders>
            <w:shd w:val="clear" w:color="auto" w:fill="DBDBDB"/>
            <w:tcMar>
              <w:top w:w="0" w:type="dxa"/>
              <w:left w:w="20" w:type="dxa"/>
              <w:bottom w:w="0" w:type="dxa"/>
              <w:right w:w="20" w:type="dxa"/>
            </w:tcMar>
            <w:vAlign w:val="bottom"/>
          </w:tcPr>
          <w:p w14:paraId="22CFB6FA" w14:textId="77777777" w:rsidR="002661BA" w:rsidRDefault="002661BA">
            <w:pPr>
              <w:rPr>
                <w:rFonts w:ascii="宋体"/>
              </w:rPr>
            </w:pPr>
          </w:p>
        </w:tc>
      </w:tr>
      <w:tr w:rsidR="002661BA" w14:paraId="22CFB702" w14:textId="77777777">
        <w:trPr>
          <w:jc w:val="center"/>
        </w:trPr>
        <w:tc>
          <w:tcPr>
            <w:tcW w:w="0" w:type="auto"/>
            <w:gridSpan w:val="3"/>
            <w:shd w:val="clear" w:color="auto" w:fill="FFFFFF"/>
            <w:tcMar>
              <w:top w:w="40" w:type="dxa"/>
              <w:left w:w="20" w:type="dxa"/>
              <w:bottom w:w="40" w:type="dxa"/>
              <w:right w:w="20" w:type="dxa"/>
            </w:tcMar>
            <w:vAlign w:val="bottom"/>
          </w:tcPr>
          <w:p w14:paraId="22CFB6FC" w14:textId="77777777" w:rsidR="002661BA" w:rsidRDefault="00D972BC">
            <w:pPr>
              <w:textAlignment w:val="bottom"/>
            </w:pPr>
            <w:r>
              <w:rPr>
                <w:rFonts w:ascii="Arial" w:eastAsia="宋体" w:hAnsi="Arial" w:cs="Arial"/>
                <w:color w:val="000000"/>
                <w:sz w:val="18"/>
                <w:szCs w:val="18"/>
              </w:rPr>
              <w:t>Supplemental cash flow disclosures of continuing operations:</w:t>
            </w:r>
          </w:p>
        </w:tc>
        <w:tc>
          <w:tcPr>
            <w:tcW w:w="0" w:type="auto"/>
            <w:gridSpan w:val="3"/>
            <w:shd w:val="clear" w:color="auto" w:fill="FFFFFF"/>
            <w:tcMar>
              <w:top w:w="40" w:type="dxa"/>
              <w:left w:w="20" w:type="dxa"/>
              <w:bottom w:w="40" w:type="dxa"/>
              <w:right w:w="20" w:type="dxa"/>
            </w:tcMar>
            <w:vAlign w:val="bottom"/>
          </w:tcPr>
          <w:p w14:paraId="22CFB6FD" w14:textId="77777777" w:rsidR="002661BA" w:rsidRDefault="00D972BC">
            <w:pPr>
              <w:jc w:val="right"/>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vAlign w:val="bottom"/>
          </w:tcPr>
          <w:p w14:paraId="22CFB6FE"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B6FF" w14:textId="77777777" w:rsidR="002661BA" w:rsidRDefault="00D972BC">
            <w:pPr>
              <w:jc w:val="right"/>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vAlign w:val="bottom"/>
          </w:tcPr>
          <w:p w14:paraId="22CFB700"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B701" w14:textId="77777777" w:rsidR="002661BA" w:rsidRDefault="00D972BC">
            <w:pPr>
              <w:jc w:val="right"/>
              <w:textAlignment w:val="bottom"/>
            </w:pPr>
            <w:r>
              <w:rPr>
                <w:rFonts w:ascii="Arial" w:eastAsia="宋体" w:hAnsi="Arial" w:cs="Arial"/>
                <w:color w:val="000000"/>
                <w:sz w:val="18"/>
                <w:szCs w:val="18"/>
              </w:rPr>
              <w:t> </w:t>
            </w:r>
          </w:p>
        </w:tc>
      </w:tr>
      <w:tr w:rsidR="002661BA" w14:paraId="22CFB709" w14:textId="77777777">
        <w:trPr>
          <w:jc w:val="center"/>
        </w:trPr>
        <w:tc>
          <w:tcPr>
            <w:tcW w:w="0" w:type="auto"/>
            <w:gridSpan w:val="3"/>
            <w:shd w:val="clear" w:color="auto" w:fill="DBDBDB"/>
            <w:tcMar>
              <w:top w:w="40" w:type="dxa"/>
              <w:left w:w="245" w:type="dxa"/>
              <w:bottom w:w="40" w:type="dxa"/>
              <w:right w:w="20" w:type="dxa"/>
            </w:tcMar>
            <w:vAlign w:val="bottom"/>
          </w:tcPr>
          <w:p w14:paraId="22CFB703" w14:textId="77777777" w:rsidR="002661BA" w:rsidRDefault="00D972BC">
            <w:pPr>
              <w:textAlignment w:val="bottom"/>
            </w:pPr>
            <w:r>
              <w:rPr>
                <w:rFonts w:ascii="Arial" w:eastAsia="宋体" w:hAnsi="Arial" w:cs="Arial"/>
                <w:color w:val="000000"/>
                <w:sz w:val="18"/>
                <w:szCs w:val="18"/>
              </w:rPr>
              <w:t>Cash paid for:</w:t>
            </w:r>
          </w:p>
        </w:tc>
        <w:tc>
          <w:tcPr>
            <w:tcW w:w="0" w:type="auto"/>
            <w:gridSpan w:val="3"/>
            <w:shd w:val="clear" w:color="auto" w:fill="DBDBDB"/>
            <w:tcMar>
              <w:top w:w="0" w:type="dxa"/>
              <w:left w:w="20" w:type="dxa"/>
              <w:bottom w:w="0" w:type="dxa"/>
              <w:right w:w="20" w:type="dxa"/>
            </w:tcMar>
            <w:vAlign w:val="bottom"/>
          </w:tcPr>
          <w:p w14:paraId="22CFB704"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B705"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B706"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B707"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B708" w14:textId="77777777" w:rsidR="002661BA" w:rsidRDefault="002661BA">
            <w:pPr>
              <w:rPr>
                <w:rFonts w:ascii="宋体"/>
              </w:rPr>
            </w:pPr>
          </w:p>
        </w:tc>
      </w:tr>
      <w:tr w:rsidR="002661BA" w14:paraId="22CFB716" w14:textId="77777777">
        <w:trPr>
          <w:jc w:val="center"/>
        </w:trPr>
        <w:tc>
          <w:tcPr>
            <w:tcW w:w="0" w:type="auto"/>
            <w:gridSpan w:val="3"/>
            <w:shd w:val="clear" w:color="auto" w:fill="FFFFFF"/>
            <w:tcMar>
              <w:top w:w="40" w:type="dxa"/>
              <w:left w:w="515" w:type="dxa"/>
              <w:bottom w:w="40" w:type="dxa"/>
              <w:right w:w="20" w:type="dxa"/>
            </w:tcMar>
            <w:vAlign w:val="bottom"/>
          </w:tcPr>
          <w:p w14:paraId="22CFB70A" w14:textId="77777777" w:rsidR="002661BA" w:rsidRDefault="00D972BC">
            <w:pPr>
              <w:textAlignment w:val="bottom"/>
            </w:pPr>
            <w:r>
              <w:rPr>
                <w:rFonts w:ascii="Arial" w:eastAsia="宋体" w:hAnsi="Arial" w:cs="Arial"/>
                <w:color w:val="000000"/>
                <w:sz w:val="18"/>
                <w:szCs w:val="18"/>
              </w:rPr>
              <w:t>Interest</w:t>
            </w:r>
          </w:p>
        </w:tc>
        <w:tc>
          <w:tcPr>
            <w:tcW w:w="0" w:type="auto"/>
            <w:shd w:val="clear" w:color="auto" w:fill="FFFFFF"/>
            <w:tcMar>
              <w:top w:w="40" w:type="dxa"/>
              <w:left w:w="20" w:type="dxa"/>
              <w:bottom w:w="40" w:type="dxa"/>
              <w:right w:w="0" w:type="dxa"/>
            </w:tcMar>
            <w:vAlign w:val="bottom"/>
          </w:tcPr>
          <w:p w14:paraId="22CFB70B"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70C" w14:textId="77777777" w:rsidR="002661BA" w:rsidRDefault="00D972BC">
            <w:pPr>
              <w:jc w:val="right"/>
              <w:textAlignment w:val="bottom"/>
            </w:pPr>
            <w:r>
              <w:rPr>
                <w:rFonts w:ascii="Arial" w:eastAsia="宋体" w:hAnsi="Arial" w:cs="Arial"/>
                <w:color w:val="000000"/>
                <w:sz w:val="18"/>
                <w:szCs w:val="18"/>
              </w:rPr>
              <w:t>253 </w:t>
            </w:r>
          </w:p>
        </w:tc>
        <w:tc>
          <w:tcPr>
            <w:tcW w:w="0" w:type="auto"/>
            <w:shd w:val="clear" w:color="auto" w:fill="FFFFFF"/>
            <w:tcMar>
              <w:top w:w="40" w:type="dxa"/>
              <w:left w:w="0" w:type="dxa"/>
              <w:bottom w:w="40" w:type="dxa"/>
              <w:right w:w="20" w:type="dxa"/>
            </w:tcMar>
            <w:vAlign w:val="bottom"/>
          </w:tcPr>
          <w:p w14:paraId="22CFB70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70E"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B70F"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710" w14:textId="77777777" w:rsidR="002661BA" w:rsidRDefault="00D972BC">
            <w:pPr>
              <w:jc w:val="right"/>
              <w:textAlignment w:val="bottom"/>
            </w:pPr>
            <w:r>
              <w:rPr>
                <w:rFonts w:ascii="Arial" w:eastAsia="宋体" w:hAnsi="Arial" w:cs="Arial"/>
                <w:color w:val="000000"/>
                <w:sz w:val="18"/>
                <w:szCs w:val="18"/>
              </w:rPr>
              <w:t>271 </w:t>
            </w:r>
          </w:p>
        </w:tc>
        <w:tc>
          <w:tcPr>
            <w:tcW w:w="0" w:type="auto"/>
            <w:shd w:val="clear" w:color="auto" w:fill="FFFFFF"/>
            <w:tcMar>
              <w:top w:w="40" w:type="dxa"/>
              <w:left w:w="0" w:type="dxa"/>
              <w:bottom w:w="40" w:type="dxa"/>
              <w:right w:w="20" w:type="dxa"/>
            </w:tcMar>
            <w:vAlign w:val="bottom"/>
          </w:tcPr>
          <w:p w14:paraId="22CFB71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712"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B71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714" w14:textId="77777777" w:rsidR="002661BA" w:rsidRDefault="00D972BC">
            <w:pPr>
              <w:jc w:val="right"/>
              <w:textAlignment w:val="bottom"/>
            </w:pPr>
            <w:r>
              <w:rPr>
                <w:rFonts w:ascii="Arial" w:eastAsia="宋体" w:hAnsi="Arial" w:cs="Arial"/>
                <w:color w:val="000000"/>
                <w:sz w:val="18"/>
                <w:szCs w:val="18"/>
              </w:rPr>
              <w:t>304 </w:t>
            </w:r>
          </w:p>
        </w:tc>
        <w:tc>
          <w:tcPr>
            <w:tcW w:w="0" w:type="auto"/>
            <w:shd w:val="clear" w:color="auto" w:fill="FFFFFF"/>
            <w:tcMar>
              <w:top w:w="40" w:type="dxa"/>
              <w:left w:w="0" w:type="dxa"/>
              <w:bottom w:w="40" w:type="dxa"/>
              <w:right w:w="20" w:type="dxa"/>
            </w:tcMar>
            <w:vAlign w:val="bottom"/>
          </w:tcPr>
          <w:p w14:paraId="22CFB715" w14:textId="77777777" w:rsidR="002661BA" w:rsidRDefault="002661BA">
            <w:pPr>
              <w:jc w:val="right"/>
              <w:rPr>
                <w:rFonts w:ascii="宋体"/>
              </w:rPr>
            </w:pPr>
          </w:p>
        </w:tc>
      </w:tr>
      <w:tr w:rsidR="002661BA" w14:paraId="22CFB71D" w14:textId="77777777">
        <w:trPr>
          <w:jc w:val="center"/>
          <w:hidden/>
        </w:trPr>
        <w:tc>
          <w:tcPr>
            <w:tcW w:w="0" w:type="auto"/>
            <w:gridSpan w:val="3"/>
            <w:shd w:val="clear" w:color="auto" w:fill="auto"/>
            <w:vAlign w:val="bottom"/>
          </w:tcPr>
          <w:p w14:paraId="22CFB717" w14:textId="77777777" w:rsidR="002661BA" w:rsidRDefault="002661BA">
            <w:pPr>
              <w:rPr>
                <w:rFonts w:ascii="宋体"/>
                <w:vanish/>
              </w:rPr>
            </w:pPr>
          </w:p>
        </w:tc>
        <w:tc>
          <w:tcPr>
            <w:tcW w:w="0" w:type="auto"/>
            <w:gridSpan w:val="3"/>
            <w:shd w:val="clear" w:color="auto" w:fill="auto"/>
            <w:vAlign w:val="bottom"/>
          </w:tcPr>
          <w:p w14:paraId="22CFB718" w14:textId="77777777" w:rsidR="002661BA" w:rsidRDefault="002661BA">
            <w:pPr>
              <w:rPr>
                <w:rFonts w:ascii="宋体"/>
                <w:vanish/>
              </w:rPr>
            </w:pPr>
          </w:p>
        </w:tc>
        <w:tc>
          <w:tcPr>
            <w:tcW w:w="0" w:type="auto"/>
            <w:gridSpan w:val="3"/>
            <w:shd w:val="clear" w:color="auto" w:fill="auto"/>
            <w:vAlign w:val="bottom"/>
          </w:tcPr>
          <w:p w14:paraId="22CFB719" w14:textId="77777777" w:rsidR="002661BA" w:rsidRDefault="002661BA">
            <w:pPr>
              <w:rPr>
                <w:rFonts w:ascii="宋体"/>
                <w:vanish/>
              </w:rPr>
            </w:pPr>
          </w:p>
        </w:tc>
        <w:tc>
          <w:tcPr>
            <w:tcW w:w="0" w:type="auto"/>
            <w:gridSpan w:val="3"/>
            <w:shd w:val="clear" w:color="auto" w:fill="auto"/>
            <w:vAlign w:val="bottom"/>
          </w:tcPr>
          <w:p w14:paraId="22CFB71A" w14:textId="77777777" w:rsidR="002661BA" w:rsidRDefault="002661BA">
            <w:pPr>
              <w:rPr>
                <w:rFonts w:ascii="宋体"/>
                <w:vanish/>
              </w:rPr>
            </w:pPr>
          </w:p>
        </w:tc>
        <w:tc>
          <w:tcPr>
            <w:tcW w:w="0" w:type="auto"/>
            <w:gridSpan w:val="3"/>
            <w:shd w:val="clear" w:color="auto" w:fill="auto"/>
            <w:vAlign w:val="bottom"/>
          </w:tcPr>
          <w:p w14:paraId="22CFB71B" w14:textId="77777777" w:rsidR="002661BA" w:rsidRDefault="002661BA">
            <w:pPr>
              <w:rPr>
                <w:rFonts w:ascii="宋体"/>
                <w:vanish/>
              </w:rPr>
            </w:pPr>
          </w:p>
        </w:tc>
        <w:tc>
          <w:tcPr>
            <w:tcW w:w="0" w:type="auto"/>
            <w:gridSpan w:val="3"/>
            <w:shd w:val="clear" w:color="auto" w:fill="auto"/>
            <w:vAlign w:val="bottom"/>
          </w:tcPr>
          <w:p w14:paraId="22CFB71C" w14:textId="77777777" w:rsidR="002661BA" w:rsidRDefault="002661BA">
            <w:pPr>
              <w:rPr>
                <w:rFonts w:ascii="宋体"/>
                <w:vanish/>
              </w:rPr>
            </w:pPr>
          </w:p>
        </w:tc>
      </w:tr>
      <w:tr w:rsidR="002661BA" w14:paraId="22CFB72A" w14:textId="77777777">
        <w:trPr>
          <w:jc w:val="center"/>
        </w:trPr>
        <w:tc>
          <w:tcPr>
            <w:tcW w:w="0" w:type="auto"/>
            <w:gridSpan w:val="3"/>
            <w:shd w:val="clear" w:color="auto" w:fill="DBDBDB"/>
            <w:tcMar>
              <w:top w:w="40" w:type="dxa"/>
              <w:left w:w="515" w:type="dxa"/>
              <w:bottom w:w="40" w:type="dxa"/>
              <w:right w:w="20" w:type="dxa"/>
            </w:tcMar>
            <w:vAlign w:val="bottom"/>
          </w:tcPr>
          <w:p w14:paraId="22CFB71E" w14:textId="77777777" w:rsidR="002661BA" w:rsidRDefault="00D972BC">
            <w:pPr>
              <w:textAlignment w:val="bottom"/>
            </w:pPr>
            <w:r>
              <w:rPr>
                <w:rFonts w:ascii="Arial" w:eastAsia="宋体" w:hAnsi="Arial" w:cs="Arial"/>
                <w:color w:val="000000"/>
                <w:sz w:val="18"/>
                <w:szCs w:val="18"/>
              </w:rPr>
              <w:t>Income taxes</w:t>
            </w:r>
          </w:p>
        </w:tc>
        <w:tc>
          <w:tcPr>
            <w:tcW w:w="0" w:type="auto"/>
            <w:shd w:val="clear" w:color="auto" w:fill="DBDBDB"/>
            <w:tcMar>
              <w:top w:w="40" w:type="dxa"/>
              <w:left w:w="20" w:type="dxa"/>
              <w:bottom w:w="40" w:type="dxa"/>
              <w:right w:w="0" w:type="dxa"/>
            </w:tcMar>
            <w:vAlign w:val="bottom"/>
          </w:tcPr>
          <w:p w14:paraId="22CFB71F"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B720" w14:textId="77777777" w:rsidR="002661BA" w:rsidRDefault="00D972BC">
            <w:pPr>
              <w:jc w:val="right"/>
              <w:textAlignment w:val="bottom"/>
            </w:pPr>
            <w:r>
              <w:rPr>
                <w:rFonts w:ascii="Arial" w:eastAsia="宋体" w:hAnsi="Arial" w:cs="Arial"/>
                <w:color w:val="000000"/>
                <w:sz w:val="18"/>
                <w:szCs w:val="18"/>
              </w:rPr>
              <w:t>929 </w:t>
            </w:r>
          </w:p>
        </w:tc>
        <w:tc>
          <w:tcPr>
            <w:tcW w:w="0" w:type="auto"/>
            <w:shd w:val="clear" w:color="auto" w:fill="DBDBDB"/>
            <w:tcMar>
              <w:top w:w="40" w:type="dxa"/>
              <w:left w:w="0" w:type="dxa"/>
              <w:bottom w:w="40" w:type="dxa"/>
              <w:right w:w="20" w:type="dxa"/>
            </w:tcMar>
            <w:vAlign w:val="bottom"/>
          </w:tcPr>
          <w:p w14:paraId="22CFB721"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722"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B72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B724" w14:textId="77777777" w:rsidR="002661BA" w:rsidRDefault="00D972BC">
            <w:pPr>
              <w:jc w:val="right"/>
              <w:textAlignment w:val="bottom"/>
            </w:pPr>
            <w:r>
              <w:rPr>
                <w:rFonts w:ascii="Arial" w:eastAsia="宋体" w:hAnsi="Arial" w:cs="Arial"/>
                <w:color w:val="000000"/>
                <w:sz w:val="18"/>
                <w:szCs w:val="18"/>
              </w:rPr>
              <w:t>493 </w:t>
            </w:r>
          </w:p>
        </w:tc>
        <w:tc>
          <w:tcPr>
            <w:tcW w:w="0" w:type="auto"/>
            <w:shd w:val="clear" w:color="auto" w:fill="DBDBDB"/>
            <w:tcMar>
              <w:top w:w="40" w:type="dxa"/>
              <w:left w:w="0" w:type="dxa"/>
              <w:bottom w:w="40" w:type="dxa"/>
              <w:right w:w="20" w:type="dxa"/>
            </w:tcMar>
            <w:vAlign w:val="bottom"/>
          </w:tcPr>
          <w:p w14:paraId="22CFB725"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726"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B72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B728" w14:textId="77777777" w:rsidR="002661BA" w:rsidRDefault="00D972BC">
            <w:pPr>
              <w:jc w:val="right"/>
              <w:textAlignment w:val="bottom"/>
            </w:pPr>
            <w:r>
              <w:rPr>
                <w:rFonts w:ascii="Arial" w:eastAsia="宋体" w:hAnsi="Arial" w:cs="Arial"/>
                <w:color w:val="000000"/>
                <w:sz w:val="18"/>
                <w:szCs w:val="18"/>
              </w:rPr>
              <w:t>249 </w:t>
            </w:r>
          </w:p>
        </w:tc>
        <w:tc>
          <w:tcPr>
            <w:tcW w:w="0" w:type="auto"/>
            <w:shd w:val="clear" w:color="auto" w:fill="DBDBDB"/>
            <w:tcMar>
              <w:top w:w="40" w:type="dxa"/>
              <w:left w:w="0" w:type="dxa"/>
              <w:bottom w:w="40" w:type="dxa"/>
              <w:right w:w="20" w:type="dxa"/>
            </w:tcMar>
            <w:vAlign w:val="bottom"/>
          </w:tcPr>
          <w:p w14:paraId="22CFB729" w14:textId="77777777" w:rsidR="002661BA" w:rsidRDefault="002661BA">
            <w:pPr>
              <w:jc w:val="right"/>
              <w:rPr>
                <w:rFonts w:ascii="宋体"/>
              </w:rPr>
            </w:pPr>
          </w:p>
        </w:tc>
      </w:tr>
      <w:tr w:rsidR="002661BA" w14:paraId="22CFB731" w14:textId="77777777">
        <w:trPr>
          <w:jc w:val="center"/>
        </w:trPr>
        <w:tc>
          <w:tcPr>
            <w:tcW w:w="0" w:type="auto"/>
            <w:gridSpan w:val="3"/>
            <w:shd w:val="clear" w:color="auto" w:fill="FFFFFF"/>
            <w:tcMar>
              <w:top w:w="40" w:type="dxa"/>
              <w:left w:w="245" w:type="dxa"/>
              <w:bottom w:w="40" w:type="dxa"/>
              <w:right w:w="20" w:type="dxa"/>
            </w:tcMar>
            <w:vAlign w:val="bottom"/>
          </w:tcPr>
          <w:p w14:paraId="22CFB72B" w14:textId="77777777" w:rsidR="002661BA" w:rsidRDefault="00D972BC">
            <w:pPr>
              <w:textAlignment w:val="bottom"/>
            </w:pPr>
            <w:r>
              <w:rPr>
                <w:rFonts w:ascii="Arial" w:eastAsia="宋体" w:hAnsi="Arial" w:cs="Arial"/>
                <w:color w:val="000000"/>
                <w:sz w:val="18"/>
                <w:szCs w:val="18"/>
              </w:rPr>
              <w:t>Noncash investing activities:</w:t>
            </w:r>
          </w:p>
        </w:tc>
        <w:tc>
          <w:tcPr>
            <w:tcW w:w="0" w:type="auto"/>
            <w:gridSpan w:val="3"/>
            <w:shd w:val="clear" w:color="auto" w:fill="FFFFFF"/>
            <w:tcMar>
              <w:top w:w="0" w:type="dxa"/>
              <w:left w:w="20" w:type="dxa"/>
              <w:bottom w:w="0" w:type="dxa"/>
              <w:right w:w="20" w:type="dxa"/>
            </w:tcMar>
            <w:vAlign w:val="bottom"/>
          </w:tcPr>
          <w:p w14:paraId="22CFB72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72D"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72E"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72F"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730" w14:textId="77777777" w:rsidR="002661BA" w:rsidRDefault="002661BA">
            <w:pPr>
              <w:rPr>
                <w:rFonts w:ascii="宋体"/>
              </w:rPr>
            </w:pPr>
          </w:p>
        </w:tc>
      </w:tr>
      <w:tr w:rsidR="002661BA" w14:paraId="22CFB73E" w14:textId="77777777">
        <w:trPr>
          <w:jc w:val="center"/>
        </w:trPr>
        <w:tc>
          <w:tcPr>
            <w:tcW w:w="0" w:type="auto"/>
            <w:gridSpan w:val="3"/>
            <w:shd w:val="clear" w:color="auto" w:fill="DBDBDB"/>
            <w:tcMar>
              <w:top w:w="40" w:type="dxa"/>
              <w:left w:w="515" w:type="dxa"/>
              <w:bottom w:w="40" w:type="dxa"/>
              <w:right w:w="20" w:type="dxa"/>
            </w:tcMar>
            <w:vAlign w:val="bottom"/>
          </w:tcPr>
          <w:p w14:paraId="22CFB732" w14:textId="77777777" w:rsidR="002661BA" w:rsidRDefault="00D972BC">
            <w:pPr>
              <w:textAlignment w:val="bottom"/>
            </w:pPr>
            <w:r>
              <w:rPr>
                <w:rFonts w:ascii="Arial" w:eastAsia="宋体" w:hAnsi="Arial" w:cs="Arial"/>
                <w:color w:val="000000"/>
                <w:sz w:val="18"/>
                <w:szCs w:val="18"/>
              </w:rPr>
              <w:t>Equity investment in Adevinta</w:t>
            </w:r>
          </w:p>
        </w:tc>
        <w:tc>
          <w:tcPr>
            <w:tcW w:w="0" w:type="auto"/>
            <w:shd w:val="clear" w:color="auto" w:fill="DBDBDB"/>
            <w:tcMar>
              <w:top w:w="40" w:type="dxa"/>
              <w:left w:w="20" w:type="dxa"/>
              <w:bottom w:w="40" w:type="dxa"/>
              <w:right w:w="0" w:type="dxa"/>
            </w:tcMar>
            <w:vAlign w:val="bottom"/>
          </w:tcPr>
          <w:p w14:paraId="22CFB73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B734" w14:textId="77777777" w:rsidR="002661BA" w:rsidRDefault="00D972BC">
            <w:pPr>
              <w:jc w:val="right"/>
              <w:textAlignment w:val="bottom"/>
            </w:pPr>
            <w:r>
              <w:rPr>
                <w:rFonts w:ascii="Arial" w:eastAsia="宋体" w:hAnsi="Arial" w:cs="Arial"/>
                <w:color w:val="000000"/>
                <w:sz w:val="18"/>
                <w:szCs w:val="18"/>
              </w:rPr>
              <w:t>10,776 </w:t>
            </w:r>
          </w:p>
        </w:tc>
        <w:tc>
          <w:tcPr>
            <w:tcW w:w="0" w:type="auto"/>
            <w:shd w:val="clear" w:color="auto" w:fill="DBDBDB"/>
            <w:tcMar>
              <w:top w:w="40" w:type="dxa"/>
              <w:left w:w="0" w:type="dxa"/>
              <w:bottom w:w="40" w:type="dxa"/>
              <w:right w:w="20" w:type="dxa"/>
            </w:tcMar>
            <w:vAlign w:val="bottom"/>
          </w:tcPr>
          <w:p w14:paraId="22CFB735"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736"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B73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B738"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B739"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73A"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B73B"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B73C"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B73D" w14:textId="77777777" w:rsidR="002661BA" w:rsidRDefault="002661BA">
            <w:pPr>
              <w:jc w:val="right"/>
              <w:rPr>
                <w:rFonts w:ascii="宋体"/>
              </w:rPr>
            </w:pPr>
          </w:p>
        </w:tc>
      </w:tr>
      <w:tr w:rsidR="002661BA" w14:paraId="22CFB74B" w14:textId="77777777">
        <w:trPr>
          <w:jc w:val="center"/>
        </w:trPr>
        <w:tc>
          <w:tcPr>
            <w:tcW w:w="0" w:type="auto"/>
            <w:gridSpan w:val="3"/>
            <w:shd w:val="clear" w:color="auto" w:fill="FFFFFF"/>
            <w:tcMar>
              <w:top w:w="40" w:type="dxa"/>
              <w:left w:w="20" w:type="dxa"/>
              <w:bottom w:w="40" w:type="dxa"/>
              <w:right w:w="20" w:type="dxa"/>
            </w:tcMar>
            <w:vAlign w:val="bottom"/>
          </w:tcPr>
          <w:p w14:paraId="22CFB73F" w14:textId="77777777" w:rsidR="002661BA" w:rsidRDefault="00D972BC">
            <w:pPr>
              <w:textAlignment w:val="bottom"/>
            </w:pPr>
            <w:r>
              <w:rPr>
                <w:rFonts w:ascii="Arial" w:eastAsia="宋体" w:hAnsi="Arial" w:cs="Arial"/>
                <w:color w:val="000000"/>
                <w:sz w:val="18"/>
                <w:szCs w:val="18"/>
              </w:rPr>
              <w:t>Equity investment in Gmarket</w:t>
            </w:r>
          </w:p>
        </w:tc>
        <w:tc>
          <w:tcPr>
            <w:tcW w:w="0" w:type="auto"/>
            <w:shd w:val="clear" w:color="auto" w:fill="FFFFFF"/>
            <w:tcMar>
              <w:top w:w="40" w:type="dxa"/>
              <w:left w:w="20" w:type="dxa"/>
              <w:bottom w:w="40" w:type="dxa"/>
              <w:right w:w="0" w:type="dxa"/>
            </w:tcMar>
            <w:vAlign w:val="bottom"/>
          </w:tcPr>
          <w:p w14:paraId="22CFB740"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741" w14:textId="77777777" w:rsidR="002661BA" w:rsidRDefault="00D972BC">
            <w:pPr>
              <w:jc w:val="right"/>
              <w:textAlignment w:val="bottom"/>
            </w:pPr>
            <w:r>
              <w:rPr>
                <w:rFonts w:ascii="Arial" w:eastAsia="宋体" w:hAnsi="Arial" w:cs="Arial"/>
                <w:color w:val="000000"/>
                <w:sz w:val="18"/>
                <w:szCs w:val="18"/>
              </w:rPr>
              <w:t>728 </w:t>
            </w:r>
          </w:p>
        </w:tc>
        <w:tc>
          <w:tcPr>
            <w:tcW w:w="0" w:type="auto"/>
            <w:shd w:val="clear" w:color="auto" w:fill="FFFFFF"/>
            <w:tcMar>
              <w:top w:w="40" w:type="dxa"/>
              <w:left w:w="0" w:type="dxa"/>
              <w:bottom w:w="40" w:type="dxa"/>
              <w:right w:w="20" w:type="dxa"/>
            </w:tcMar>
            <w:vAlign w:val="bottom"/>
          </w:tcPr>
          <w:p w14:paraId="22CFB74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743"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B744"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745"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74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747"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B748"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749"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74A" w14:textId="77777777" w:rsidR="002661BA" w:rsidRDefault="002661BA">
            <w:pPr>
              <w:jc w:val="right"/>
              <w:rPr>
                <w:rFonts w:ascii="宋体"/>
              </w:rPr>
            </w:pPr>
          </w:p>
        </w:tc>
      </w:tr>
    </w:tbl>
    <w:p w14:paraId="22CFB74C" w14:textId="77777777" w:rsidR="002661BA" w:rsidRDefault="00D972BC">
      <w:pPr>
        <w:spacing w:before="120"/>
        <w:jc w:val="center"/>
      </w:pPr>
      <w:r>
        <w:rPr>
          <w:rFonts w:ascii="Arial" w:eastAsia="宋体" w:hAnsi="Arial" w:cs="Arial"/>
          <w:color w:val="000000"/>
          <w:sz w:val="18"/>
          <w:szCs w:val="18"/>
        </w:rPr>
        <w:t>The accompanying notes are an integral part of these consolidated financial statements.</w:t>
      </w:r>
    </w:p>
    <w:p w14:paraId="22CFB74D" w14:textId="77777777" w:rsidR="002661BA" w:rsidRDefault="00D972BC">
      <w:pPr>
        <w:jc w:val="center"/>
      </w:pPr>
      <w:r>
        <w:rPr>
          <w:rFonts w:ascii="Arial" w:eastAsia="宋体" w:hAnsi="Arial" w:cs="Arial"/>
          <w:color w:val="000000"/>
          <w:sz w:val="18"/>
          <w:szCs w:val="18"/>
        </w:rPr>
        <w:t>62</w:t>
      </w:r>
    </w:p>
    <w:p w14:paraId="22CFB74E" w14:textId="77777777" w:rsidR="002661BA" w:rsidRDefault="00D972BC">
      <w:r>
        <w:pict w14:anchorId="22CFE4EF">
          <v:rect id="_x0000_i1086" style="width:415.3pt;height:1.5pt" o:hralign="center" o:hrstd="t" o:hr="t" fillcolor="#a0a0a0" stroked="f"/>
        </w:pict>
      </w:r>
    </w:p>
    <w:p w14:paraId="22CFB74F" w14:textId="77777777" w:rsidR="002661BA" w:rsidRDefault="00D972BC">
      <w:hyperlink r:id="rId97" w:anchor="id0d7a71b05ce452ea9fdb54f3cb359c7_7" w:history="1">
        <w:r>
          <w:rPr>
            <w:rStyle w:val="a5"/>
            <w:rFonts w:ascii="Arial" w:eastAsia="宋体" w:hAnsi="Arial" w:cs="Arial"/>
            <w:sz w:val="18"/>
            <w:szCs w:val="18"/>
          </w:rPr>
          <w:t>Table of Contents</w:t>
        </w:r>
      </w:hyperlink>
    </w:p>
    <w:p w14:paraId="22CFB750" w14:textId="77777777" w:rsidR="002661BA" w:rsidRDefault="002661BA">
      <w:pPr>
        <w:jc w:val="center"/>
      </w:pPr>
    </w:p>
    <w:p w14:paraId="22CFB751" w14:textId="77777777" w:rsidR="002661BA" w:rsidRDefault="00D972BC">
      <w:pPr>
        <w:jc w:val="center"/>
      </w:pPr>
      <w:r>
        <w:rPr>
          <w:rFonts w:ascii="Arial" w:eastAsia="宋体" w:hAnsi="Arial" w:cs="Arial"/>
          <w:b/>
          <w:bCs/>
          <w:color w:val="000000"/>
          <w:sz w:val="20"/>
          <w:szCs w:val="20"/>
        </w:rPr>
        <w:t xml:space="preserve">eBay Inc. </w:t>
      </w:r>
    </w:p>
    <w:p w14:paraId="22CFB752" w14:textId="77777777" w:rsidR="002661BA" w:rsidRDefault="00D972BC">
      <w:pPr>
        <w:spacing w:before="80"/>
        <w:jc w:val="center"/>
      </w:pPr>
      <w:r>
        <w:rPr>
          <w:rFonts w:ascii="Arial" w:eastAsia="宋体" w:hAnsi="Arial" w:cs="Arial"/>
          <w:b/>
          <w:bCs/>
          <w:color w:val="000000"/>
          <w:sz w:val="20"/>
          <w:szCs w:val="20"/>
        </w:rPr>
        <w:t xml:space="preserve">NOTES TO CONSOLIDATED FINANCIAL STATEMENTS </w:t>
      </w:r>
    </w:p>
    <w:p w14:paraId="22CFB753" w14:textId="77777777" w:rsidR="002661BA" w:rsidRDefault="002661BA">
      <w:pPr>
        <w:jc w:val="center"/>
      </w:pPr>
    </w:p>
    <w:p w14:paraId="22CFB754" w14:textId="77777777" w:rsidR="002661BA" w:rsidRDefault="00D972BC">
      <w:pPr>
        <w:jc w:val="both"/>
      </w:pPr>
      <w:r>
        <w:rPr>
          <w:rFonts w:ascii="Arial" w:eastAsia="宋体" w:hAnsi="Arial" w:cs="Arial"/>
          <w:b/>
          <w:bCs/>
          <w:color w:val="000000"/>
          <w:sz w:val="20"/>
          <w:szCs w:val="20"/>
        </w:rPr>
        <w:t xml:space="preserve">Note 1 — The Company and Summary of Significant Accounting Policies </w:t>
      </w:r>
    </w:p>
    <w:p w14:paraId="22CFB755" w14:textId="77777777" w:rsidR="002661BA" w:rsidRDefault="00D972BC">
      <w:pPr>
        <w:spacing w:before="120"/>
        <w:jc w:val="both"/>
      </w:pPr>
      <w:r>
        <w:rPr>
          <w:rFonts w:ascii="Arial" w:eastAsia="宋体" w:hAnsi="Arial" w:cs="Arial"/>
          <w:b/>
          <w:bCs/>
          <w:i/>
          <w:iCs/>
          <w:color w:val="000000"/>
          <w:sz w:val="20"/>
          <w:szCs w:val="20"/>
        </w:rPr>
        <w:t xml:space="preserve">The Company </w:t>
      </w:r>
    </w:p>
    <w:p w14:paraId="22CFB756" w14:textId="77777777" w:rsidR="002661BA" w:rsidRDefault="002661BA">
      <w:pPr>
        <w:ind w:firstLine="540"/>
        <w:jc w:val="both"/>
      </w:pPr>
    </w:p>
    <w:p w14:paraId="22CFB757" w14:textId="77777777" w:rsidR="002661BA" w:rsidRDefault="00D972BC">
      <w:pPr>
        <w:ind w:firstLine="540"/>
        <w:jc w:val="both"/>
      </w:pPr>
      <w:r>
        <w:rPr>
          <w:rFonts w:ascii="Arial" w:eastAsia="宋体" w:hAnsi="Arial" w:cs="Arial"/>
          <w:color w:val="000000"/>
          <w:sz w:val="20"/>
          <w:szCs w:val="20"/>
        </w:rPr>
        <w:t>eBay Inc. is a global commerce leader, which includes our Marketplace platforms. Founded in 1995 in San Jose, California, eBay i</w:t>
      </w:r>
      <w:r>
        <w:rPr>
          <w:rFonts w:ascii="Arial" w:eastAsia="宋体" w:hAnsi="Arial" w:cs="Arial"/>
          <w:color w:val="000000"/>
          <w:sz w:val="20"/>
          <w:szCs w:val="20"/>
        </w:rPr>
        <w:t xml:space="preserve">s one of the world’s largest and most vibrant marketplaces for discovering great value and unique selection. Collectively, we connect millions of buyers and sellers around the world, empowering people and creating opportunity for all. Our technologies and </w:t>
      </w:r>
      <w:r>
        <w:rPr>
          <w:rFonts w:ascii="Arial" w:eastAsia="宋体" w:hAnsi="Arial" w:cs="Arial"/>
          <w:color w:val="000000"/>
          <w:sz w:val="20"/>
          <w:szCs w:val="20"/>
        </w:rPr>
        <w:t>services are designed to give buyers choice and a breadth of relevant inventory and to enable sellers worldwide to organize and offer their inventory for sale, virtually anytime and anywhere. </w:t>
      </w:r>
    </w:p>
    <w:p w14:paraId="22CFB758" w14:textId="77777777" w:rsidR="002661BA" w:rsidRDefault="002661BA">
      <w:pPr>
        <w:ind w:firstLine="540"/>
        <w:jc w:val="both"/>
      </w:pPr>
    </w:p>
    <w:p w14:paraId="22CFB759" w14:textId="77777777" w:rsidR="002661BA" w:rsidRDefault="00D972BC">
      <w:pPr>
        <w:ind w:firstLine="540"/>
        <w:jc w:val="both"/>
      </w:pPr>
      <w:r>
        <w:rPr>
          <w:rFonts w:ascii="Arial" w:eastAsia="宋体" w:hAnsi="Arial" w:cs="Arial"/>
          <w:color w:val="000000"/>
          <w:sz w:val="20"/>
          <w:szCs w:val="20"/>
        </w:rPr>
        <w:t>When we refer to “we,” “our,” “us,” the “Company” or “eBay” in</w:t>
      </w:r>
      <w:r>
        <w:rPr>
          <w:rFonts w:ascii="Arial" w:eastAsia="宋体" w:hAnsi="Arial" w:cs="Arial"/>
          <w:color w:val="000000"/>
          <w:sz w:val="20"/>
          <w:szCs w:val="20"/>
        </w:rPr>
        <w:t xml:space="preserve"> this Annual Report on Form 10-K, we mean the current Delaware corporation (eBay Inc.) and its consolidated subsidiaries, unless otherwise expressly stated or the context otherwise requires.</w:t>
      </w:r>
    </w:p>
    <w:p w14:paraId="22CFB75A" w14:textId="77777777" w:rsidR="002661BA" w:rsidRDefault="002661BA">
      <w:pPr>
        <w:ind w:firstLine="540"/>
        <w:jc w:val="both"/>
      </w:pPr>
    </w:p>
    <w:p w14:paraId="22CFB75B" w14:textId="77777777" w:rsidR="002661BA" w:rsidRDefault="00D972BC">
      <w:pPr>
        <w:ind w:firstLine="540"/>
        <w:jc w:val="both"/>
      </w:pPr>
      <w:r>
        <w:rPr>
          <w:rFonts w:ascii="Arial" w:eastAsia="宋体" w:hAnsi="Arial" w:cs="Arial"/>
          <w:color w:val="000000"/>
          <w:sz w:val="20"/>
          <w:szCs w:val="20"/>
        </w:rPr>
        <w:t>On November 14, 2021, we completed the previously announced sale</w:t>
      </w:r>
      <w:r>
        <w:rPr>
          <w:rFonts w:ascii="Arial" w:eastAsia="宋体" w:hAnsi="Arial" w:cs="Arial"/>
          <w:color w:val="000000"/>
          <w:sz w:val="20"/>
          <w:szCs w:val="20"/>
        </w:rPr>
        <w:t xml:space="preserve"> of 80.01% of the outstanding equity interests of eBay Korea LLC, a limited liability company incorporated under the laws of Korea and a wholly owned subsidiary of eBay KTA (“eBay Korea”) to E-mart Inc. and one of its wholly owned subsidiaries (together, “</w:t>
      </w:r>
      <w:r>
        <w:rPr>
          <w:rFonts w:ascii="Arial" w:eastAsia="宋体" w:hAnsi="Arial" w:cs="Arial"/>
          <w:color w:val="000000"/>
          <w:sz w:val="20"/>
          <w:szCs w:val="20"/>
        </w:rPr>
        <w:t>Emart”), pursuant to the terms and conditions of the securities purchase agreement, in exchange for approximately $3.0 billion of gross cash proceeds as of the transaction close date, subject to certain adjustments specified for indebtedness, cash, working</w:t>
      </w:r>
      <w:r>
        <w:rPr>
          <w:rFonts w:ascii="Arial" w:eastAsia="宋体" w:hAnsi="Arial" w:cs="Arial"/>
          <w:color w:val="000000"/>
          <w:sz w:val="20"/>
          <w:szCs w:val="20"/>
        </w:rPr>
        <w:t xml:space="preserve"> capital, transaction expenses and certain taxes. The sale resulted in a pre-tax gain of $3.2 billion inclusive of a $81 million currency translation adjustment and a $44 million gain on the net investment hedge settled in the fourth quarter of 2021, as we</w:t>
      </w:r>
      <w:r>
        <w:rPr>
          <w:rFonts w:ascii="Arial" w:eastAsia="宋体" w:hAnsi="Arial" w:cs="Arial"/>
          <w:color w:val="000000"/>
          <w:sz w:val="20"/>
          <w:szCs w:val="20"/>
        </w:rPr>
        <w:t>ll as income tax expense of $369 million. Upon completion of the sale, we retained 19.99% of the outstanding equity interests of the new entity, Gmarket Global LLC (“Gmarket”) formerly known as Apollo Korea, which is accounted for under the fair value opti</w:t>
      </w:r>
      <w:r>
        <w:rPr>
          <w:rFonts w:ascii="Arial" w:eastAsia="宋体" w:hAnsi="Arial" w:cs="Arial"/>
          <w:color w:val="000000"/>
          <w:sz w:val="20"/>
          <w:szCs w:val="20"/>
        </w:rPr>
        <w:t>on. Our equity investment in Gmarket was valued at $728 million as of the transaction close date.</w:t>
      </w:r>
    </w:p>
    <w:p w14:paraId="22CFB75C" w14:textId="77777777" w:rsidR="002661BA" w:rsidRDefault="002661BA">
      <w:pPr>
        <w:ind w:firstLine="540"/>
        <w:jc w:val="both"/>
      </w:pPr>
    </w:p>
    <w:p w14:paraId="22CFB75D" w14:textId="77777777" w:rsidR="002661BA" w:rsidRDefault="00D972BC">
      <w:pPr>
        <w:ind w:firstLine="540"/>
        <w:jc w:val="both"/>
      </w:pPr>
      <w:r>
        <w:rPr>
          <w:rFonts w:ascii="Arial" w:eastAsia="宋体" w:hAnsi="Arial" w:cs="Arial"/>
          <w:color w:val="000000"/>
          <w:sz w:val="20"/>
          <w:szCs w:val="20"/>
        </w:rPr>
        <w:t>We have classified the related assets and liabilities associated with our eBay Korea business as discontinued operations in our consolidated balance sheet. T</w:t>
      </w:r>
      <w:r>
        <w:rPr>
          <w:rFonts w:ascii="Arial" w:eastAsia="宋体" w:hAnsi="Arial" w:cs="Arial"/>
          <w:color w:val="000000"/>
          <w:sz w:val="20"/>
          <w:szCs w:val="20"/>
        </w:rPr>
        <w:t xml:space="preserve">he results of our eBay Korea business have been presented as discontinued operations in our consolidated statement of income for all periods presented through November 14, 2021 as the transfer represented a strategic shift in our business that had a major </w:t>
      </w:r>
      <w:r>
        <w:rPr>
          <w:rFonts w:ascii="Arial" w:eastAsia="宋体" w:hAnsi="Arial" w:cs="Arial"/>
          <w:color w:val="000000"/>
          <w:sz w:val="20"/>
          <w:szCs w:val="20"/>
        </w:rPr>
        <w:t>effect on our operations and financial results. See “Note 3 — Discontinued Operations” for additional information.</w:t>
      </w:r>
    </w:p>
    <w:p w14:paraId="22CFB75E" w14:textId="77777777" w:rsidR="002661BA" w:rsidRDefault="002661BA">
      <w:pPr>
        <w:ind w:firstLine="540"/>
        <w:jc w:val="both"/>
      </w:pPr>
    </w:p>
    <w:p w14:paraId="22CFB75F" w14:textId="77777777" w:rsidR="002661BA" w:rsidRDefault="00D972BC">
      <w:pPr>
        <w:ind w:firstLine="540"/>
        <w:jc w:val="both"/>
      </w:pPr>
      <w:r>
        <w:rPr>
          <w:rFonts w:ascii="Arial" w:eastAsia="宋体" w:hAnsi="Arial" w:cs="Arial"/>
          <w:color w:val="000000"/>
          <w:sz w:val="20"/>
          <w:szCs w:val="20"/>
        </w:rPr>
        <w:t>On June 24, 2021, we completed the previously announced transfer of our Classifieds business to Adevinta ASA (“Adevinta”) for $2.5 billion i</w:t>
      </w:r>
      <w:r>
        <w:rPr>
          <w:rFonts w:ascii="Arial" w:eastAsia="宋体" w:hAnsi="Arial" w:cs="Arial"/>
          <w:color w:val="000000"/>
          <w:sz w:val="20"/>
          <w:szCs w:val="20"/>
        </w:rPr>
        <w:t>n cash, subject to certain adjustments, and approximately 540 million shares in Adevinta which represent an equity interest of 44%, comprised of approximately 33% of voting shares and 11% of non-voting shares. Together, the total consideration received und</w:t>
      </w:r>
      <w:r>
        <w:rPr>
          <w:rFonts w:ascii="Arial" w:eastAsia="宋体" w:hAnsi="Arial" w:cs="Arial"/>
          <w:color w:val="000000"/>
          <w:sz w:val="20"/>
          <w:szCs w:val="20"/>
        </w:rPr>
        <w:t>er the definitive agreement was valued at approximately $13.3 billion, based on the closing trading price of Adevinta’s outstanding shares on the Oslo Stock Exchange on June 24, 2021. The equity interest received is accounted for under the fair value optio</w:t>
      </w:r>
      <w:r>
        <w:rPr>
          <w:rFonts w:ascii="Arial" w:eastAsia="宋体" w:hAnsi="Arial" w:cs="Arial"/>
          <w:color w:val="000000"/>
          <w:sz w:val="20"/>
          <w:szCs w:val="20"/>
        </w:rPr>
        <w:t>n. Our equity investment in Adevinta was valued at $10.8 billion as of the transaction close date.</w:t>
      </w:r>
    </w:p>
    <w:p w14:paraId="22CFB760" w14:textId="77777777" w:rsidR="002661BA" w:rsidRDefault="002661BA">
      <w:pPr>
        <w:ind w:firstLine="540"/>
        <w:jc w:val="both"/>
      </w:pPr>
    </w:p>
    <w:p w14:paraId="22CFB761" w14:textId="77777777" w:rsidR="002661BA" w:rsidRDefault="00D972BC">
      <w:pPr>
        <w:ind w:firstLine="540"/>
        <w:jc w:val="both"/>
      </w:pPr>
      <w:r>
        <w:rPr>
          <w:rFonts w:ascii="Arial" w:eastAsia="宋体" w:hAnsi="Arial" w:cs="Arial"/>
          <w:color w:val="000000"/>
          <w:sz w:val="20"/>
          <w:szCs w:val="20"/>
        </w:rPr>
        <w:t>On November 18, 2021, we completed the previously announced sale of approximately 135 million of our voting shares in Adevinta to Astinlux Finco S.à r.l. (“</w:t>
      </w:r>
      <w:r>
        <w:rPr>
          <w:rFonts w:ascii="Arial" w:eastAsia="宋体" w:hAnsi="Arial" w:cs="Arial"/>
          <w:color w:val="000000"/>
          <w:sz w:val="20"/>
          <w:szCs w:val="20"/>
        </w:rPr>
        <w:t>Permira”), inclusive of the option exercised by Permira to purchase additional voting shares, for total cash consideration of approximately $2.3 billion. At the close of the sale inclusive of the option exercised, our ownership in Adevinta was reduced to 3</w:t>
      </w:r>
      <w:r>
        <w:rPr>
          <w:rFonts w:ascii="Arial" w:eastAsia="宋体" w:hAnsi="Arial" w:cs="Arial"/>
          <w:color w:val="000000"/>
          <w:sz w:val="20"/>
          <w:szCs w:val="20"/>
        </w:rPr>
        <w:t>3%. The sale resulted in a pre-tax gain of $9 million which included an $88 million gain recognized on the sale of the shares offset by a $79 million loss from the change in fair value of the shares sold through the date of sale, and resulted in no additio</w:t>
      </w:r>
      <w:r>
        <w:rPr>
          <w:rFonts w:ascii="Arial" w:eastAsia="宋体" w:hAnsi="Arial" w:cs="Arial"/>
          <w:color w:val="000000"/>
          <w:sz w:val="20"/>
          <w:szCs w:val="20"/>
        </w:rPr>
        <w:t>nal income tax. Following the sale in November 2021, our equity investment in Adevinta is presented in the long-term assets section on the consolidated balance sheet to reflect our contractual requirement to retain at least 25% of the total number of issue</w:t>
      </w:r>
      <w:r>
        <w:rPr>
          <w:rFonts w:ascii="Arial" w:eastAsia="宋体" w:hAnsi="Arial" w:cs="Arial"/>
          <w:color w:val="000000"/>
          <w:sz w:val="20"/>
          <w:szCs w:val="20"/>
        </w:rPr>
        <w:t>d and outstanding equity securities of Adevinta until October 14, 2023.</w:t>
      </w:r>
    </w:p>
    <w:p w14:paraId="22CFB762" w14:textId="77777777" w:rsidR="002661BA" w:rsidRDefault="002661BA">
      <w:pPr>
        <w:ind w:firstLine="540"/>
        <w:jc w:val="both"/>
      </w:pPr>
    </w:p>
    <w:p w14:paraId="22CFB763" w14:textId="77777777" w:rsidR="002661BA" w:rsidRDefault="00D972BC">
      <w:pPr>
        <w:ind w:firstLine="540"/>
        <w:jc w:val="both"/>
      </w:pPr>
      <w:r>
        <w:rPr>
          <w:rFonts w:ascii="Arial" w:eastAsia="宋体" w:hAnsi="Arial" w:cs="Arial"/>
          <w:color w:val="000000"/>
          <w:sz w:val="20"/>
          <w:szCs w:val="20"/>
        </w:rPr>
        <w:t>We have classified the related assets and liabilities associated with our Classifieds business as discontinued operations in our consolidated balance sheet. The results of our Classif</w:t>
      </w:r>
      <w:r>
        <w:rPr>
          <w:rFonts w:ascii="Arial" w:eastAsia="宋体" w:hAnsi="Arial" w:cs="Arial"/>
          <w:color w:val="000000"/>
          <w:sz w:val="20"/>
          <w:szCs w:val="20"/>
        </w:rPr>
        <w:t xml:space="preserve">ieds business have been presented as discontinued operations in our consolidated statement of income for all periods presented through June 24, 2021 as </w:t>
      </w:r>
    </w:p>
    <w:p w14:paraId="22CFB764" w14:textId="77777777" w:rsidR="002661BA" w:rsidRDefault="00D972BC">
      <w:pPr>
        <w:jc w:val="center"/>
      </w:pPr>
      <w:r>
        <w:rPr>
          <w:rFonts w:ascii="Arial" w:eastAsia="宋体" w:hAnsi="Arial" w:cs="Arial"/>
          <w:color w:val="000000"/>
          <w:sz w:val="18"/>
          <w:szCs w:val="18"/>
        </w:rPr>
        <w:t>63</w:t>
      </w:r>
    </w:p>
    <w:p w14:paraId="22CFB765" w14:textId="77777777" w:rsidR="002661BA" w:rsidRDefault="00D972BC">
      <w:r>
        <w:pict w14:anchorId="22CFE4F0">
          <v:rect id="_x0000_i1087" style="width:415.3pt;height:1.5pt" o:hralign="center" o:hrstd="t" o:hr="t" fillcolor="#a0a0a0" stroked="f"/>
        </w:pict>
      </w:r>
    </w:p>
    <w:p w14:paraId="22CFB766" w14:textId="77777777" w:rsidR="002661BA" w:rsidRDefault="00D972BC">
      <w:hyperlink r:id="rId98" w:anchor="id0d7a71b05ce452ea9fdb54f3cb359c7_7" w:history="1">
        <w:r>
          <w:rPr>
            <w:rStyle w:val="a5"/>
            <w:rFonts w:ascii="Arial" w:eastAsia="宋体" w:hAnsi="Arial" w:cs="Arial"/>
            <w:sz w:val="18"/>
            <w:szCs w:val="18"/>
          </w:rPr>
          <w:t>Table of Contents</w:t>
        </w:r>
      </w:hyperlink>
    </w:p>
    <w:p w14:paraId="22CFB767" w14:textId="77777777" w:rsidR="002661BA" w:rsidRDefault="00D972BC">
      <w:pPr>
        <w:jc w:val="center"/>
      </w:pPr>
      <w:r>
        <w:rPr>
          <w:rFonts w:ascii="Arial" w:eastAsia="宋体" w:hAnsi="Arial" w:cs="Arial"/>
          <w:b/>
          <w:bCs/>
          <w:color w:val="000000"/>
          <w:sz w:val="20"/>
          <w:szCs w:val="20"/>
        </w:rPr>
        <w:t>eBay Inc.</w:t>
      </w:r>
    </w:p>
    <w:p w14:paraId="22CFB768"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B769" w14:textId="77777777" w:rsidR="002661BA" w:rsidRDefault="00D972BC">
      <w:pPr>
        <w:jc w:val="both"/>
      </w:pPr>
      <w:r>
        <w:rPr>
          <w:rFonts w:ascii="Arial" w:eastAsia="宋体" w:hAnsi="Arial" w:cs="Arial"/>
          <w:color w:val="000000"/>
          <w:sz w:val="20"/>
          <w:szCs w:val="20"/>
        </w:rPr>
        <w:t xml:space="preserve">the transfer represented a strategic shift in our business that had a major effect on our operations and </w:t>
      </w:r>
      <w:r>
        <w:rPr>
          <w:rFonts w:ascii="Arial" w:eastAsia="宋体" w:hAnsi="Arial" w:cs="Arial"/>
          <w:color w:val="000000"/>
          <w:sz w:val="20"/>
          <w:szCs w:val="20"/>
        </w:rPr>
        <w:t>financial results. See “Note 3 — Discontinued Operations” for additional information.</w:t>
      </w:r>
    </w:p>
    <w:p w14:paraId="22CFB76A" w14:textId="77777777" w:rsidR="002661BA" w:rsidRDefault="00D972BC">
      <w:pPr>
        <w:spacing w:before="240"/>
        <w:ind w:firstLine="540"/>
        <w:jc w:val="both"/>
      </w:pPr>
      <w:r>
        <w:rPr>
          <w:rFonts w:ascii="Arial" w:eastAsia="宋体" w:hAnsi="Arial" w:cs="Arial"/>
          <w:color w:val="000000"/>
          <w:sz w:val="20"/>
          <w:szCs w:val="20"/>
        </w:rPr>
        <w:t>On November 24, 2019, we entered into a stock purchase agreement with an affiliate of viagogo to sell our StubHub business. The sale of our StubHub business was completed</w:t>
      </w:r>
      <w:r>
        <w:rPr>
          <w:rFonts w:ascii="Arial" w:eastAsia="宋体" w:hAnsi="Arial" w:cs="Arial"/>
          <w:color w:val="000000"/>
          <w:sz w:val="20"/>
          <w:szCs w:val="20"/>
        </w:rPr>
        <w:t xml:space="preserve"> on February 13, 2020. Beginning in the first quarter of 2020, StubHub’s financial results for periods prior to the sale have been reflected in our consolidated statement of income as discontinued operations. Additionally, the related assets and liabilitie</w:t>
      </w:r>
      <w:r>
        <w:rPr>
          <w:rFonts w:ascii="Arial" w:eastAsia="宋体" w:hAnsi="Arial" w:cs="Arial"/>
          <w:color w:val="000000"/>
          <w:sz w:val="20"/>
          <w:szCs w:val="20"/>
        </w:rPr>
        <w:t>s associated with the discontinued operations in the prior periods are classified as discontinued operations in our consolidated balance sheet. See “Note 3 — Discontinued Operations” for additional information.</w:t>
      </w:r>
    </w:p>
    <w:p w14:paraId="22CFB76B" w14:textId="77777777" w:rsidR="002661BA" w:rsidRDefault="002661BA">
      <w:pPr>
        <w:ind w:firstLine="540"/>
        <w:jc w:val="both"/>
      </w:pPr>
    </w:p>
    <w:p w14:paraId="22CFB76C" w14:textId="77777777" w:rsidR="002661BA" w:rsidRDefault="00D972BC">
      <w:pPr>
        <w:jc w:val="both"/>
      </w:pPr>
      <w:r>
        <w:rPr>
          <w:rFonts w:ascii="Arial" w:eastAsia="宋体" w:hAnsi="Arial" w:cs="Arial"/>
          <w:b/>
          <w:bCs/>
          <w:i/>
          <w:iCs/>
          <w:color w:val="000000"/>
          <w:sz w:val="20"/>
          <w:szCs w:val="20"/>
        </w:rPr>
        <w:t xml:space="preserve">Use of Estimates </w:t>
      </w:r>
    </w:p>
    <w:p w14:paraId="22CFB76D" w14:textId="77777777" w:rsidR="002661BA" w:rsidRDefault="002661BA">
      <w:pPr>
        <w:jc w:val="both"/>
      </w:pPr>
    </w:p>
    <w:p w14:paraId="22CFB76E" w14:textId="77777777" w:rsidR="002661BA" w:rsidRDefault="00D972BC">
      <w:pPr>
        <w:ind w:firstLine="540"/>
        <w:jc w:val="both"/>
      </w:pPr>
      <w:r>
        <w:rPr>
          <w:rFonts w:ascii="Arial" w:eastAsia="宋体" w:hAnsi="Arial" w:cs="Arial"/>
          <w:color w:val="000000"/>
          <w:sz w:val="20"/>
          <w:szCs w:val="20"/>
        </w:rPr>
        <w:t>The preparation of consol</w:t>
      </w:r>
      <w:r>
        <w:rPr>
          <w:rFonts w:ascii="Arial" w:eastAsia="宋体" w:hAnsi="Arial" w:cs="Arial"/>
          <w:color w:val="000000"/>
          <w:sz w:val="20"/>
          <w:szCs w:val="20"/>
        </w:rPr>
        <w:t>idated financial statements in conformity with U.S. generally accepted accounting principles (“GAAP”) requires management to make estimates and assumptions that affect the reported amounts of assets and liabilities and disclosure of contingent assets and l</w:t>
      </w:r>
      <w:r>
        <w:rPr>
          <w:rFonts w:ascii="Arial" w:eastAsia="宋体" w:hAnsi="Arial" w:cs="Arial"/>
          <w:color w:val="000000"/>
          <w:sz w:val="20"/>
          <w:szCs w:val="20"/>
        </w:rPr>
        <w:t>iabilities at the date of the consolidated financial statements and the reported amounts of revenues and expenses during the reporting period. On an ongoing basis, we evaluate our estimates, including those related to provisions for transaction losses, leg</w:t>
      </w:r>
      <w:r>
        <w:rPr>
          <w:rFonts w:ascii="Arial" w:eastAsia="宋体" w:hAnsi="Arial" w:cs="Arial"/>
          <w:color w:val="000000"/>
          <w:sz w:val="20"/>
          <w:szCs w:val="20"/>
        </w:rPr>
        <w:t>al contingencies, income taxes, revenue recognition, stock-based compensation, investments, goodwill and the recoverability of intangible assets. We base our estimates on historical experience and on various other assumptions that we believe to be reasonab</w:t>
      </w:r>
      <w:r>
        <w:rPr>
          <w:rFonts w:ascii="Arial" w:eastAsia="宋体" w:hAnsi="Arial" w:cs="Arial"/>
          <w:color w:val="000000"/>
          <w:sz w:val="20"/>
          <w:szCs w:val="20"/>
        </w:rPr>
        <w:t xml:space="preserve">le under the circumstances. Actual results could differ from those estimates. </w:t>
      </w:r>
    </w:p>
    <w:p w14:paraId="22CFB76F" w14:textId="77777777" w:rsidR="002661BA" w:rsidRDefault="002661BA">
      <w:pPr>
        <w:ind w:firstLine="495"/>
        <w:jc w:val="both"/>
      </w:pPr>
    </w:p>
    <w:p w14:paraId="22CFB770" w14:textId="77777777" w:rsidR="002661BA" w:rsidRDefault="00D972BC">
      <w:pPr>
        <w:jc w:val="both"/>
      </w:pPr>
      <w:r>
        <w:rPr>
          <w:rFonts w:ascii="Arial" w:eastAsia="宋体" w:hAnsi="Arial" w:cs="Arial"/>
          <w:b/>
          <w:bCs/>
          <w:i/>
          <w:iCs/>
          <w:color w:val="000000"/>
          <w:sz w:val="20"/>
          <w:szCs w:val="20"/>
        </w:rPr>
        <w:t xml:space="preserve">Principles of Consolidation and Basis of Presentation </w:t>
      </w:r>
    </w:p>
    <w:p w14:paraId="22CFB771" w14:textId="77777777" w:rsidR="002661BA" w:rsidRDefault="002661BA">
      <w:pPr>
        <w:jc w:val="both"/>
      </w:pPr>
    </w:p>
    <w:p w14:paraId="22CFB772" w14:textId="77777777" w:rsidR="002661BA" w:rsidRDefault="00D972BC">
      <w:pPr>
        <w:ind w:firstLine="540"/>
        <w:jc w:val="both"/>
      </w:pPr>
      <w:r>
        <w:rPr>
          <w:rFonts w:ascii="Arial" w:eastAsia="宋体" w:hAnsi="Arial" w:cs="Arial"/>
          <w:color w:val="000000"/>
          <w:sz w:val="20"/>
          <w:szCs w:val="20"/>
        </w:rPr>
        <w:t>The accompanying financial statements are consolidated and include the financial statements of eBay Inc., our wholly and</w:t>
      </w:r>
      <w:r>
        <w:rPr>
          <w:rFonts w:ascii="Arial" w:eastAsia="宋体" w:hAnsi="Arial" w:cs="Arial"/>
          <w:color w:val="000000"/>
          <w:sz w:val="20"/>
          <w:szCs w:val="20"/>
        </w:rPr>
        <w:t xml:space="preserve"> majority-owned subsidiaries and variable interest entities (“VIE”) where we are the primary beneficiary. All intercompany balances and transactions have been eliminated in consolidation. Minority interests are recorded as a noncontrolling interest. A qual</w:t>
      </w:r>
      <w:r>
        <w:rPr>
          <w:rFonts w:ascii="Arial" w:eastAsia="宋体" w:hAnsi="Arial" w:cs="Arial"/>
          <w:color w:val="000000"/>
          <w:sz w:val="20"/>
          <w:szCs w:val="20"/>
        </w:rPr>
        <w:t xml:space="preserve">itative approach is applied to assess the consolidation requirement for VIEs. Generally, investments in entities where we hold at least a 20% ownership interest and have the ability to exercise significant influence, but not control, over the investee are </w:t>
      </w:r>
      <w:r>
        <w:rPr>
          <w:rFonts w:ascii="Arial" w:eastAsia="宋体" w:hAnsi="Arial" w:cs="Arial"/>
          <w:color w:val="000000"/>
          <w:sz w:val="20"/>
          <w:szCs w:val="20"/>
        </w:rPr>
        <w:t>accounted for using the equity method of accounting, including those in which the fair value option has been elected. For equity method investments, our share of the investees’ results of operations is included in gain (loss) on equity investments and warr</w:t>
      </w:r>
      <w:r>
        <w:rPr>
          <w:rFonts w:ascii="Arial" w:eastAsia="宋体" w:hAnsi="Arial" w:cs="Arial"/>
          <w:color w:val="000000"/>
          <w:sz w:val="20"/>
          <w:szCs w:val="20"/>
        </w:rPr>
        <w:t xml:space="preserve">ant, net and this investment balance is included in long-term investments. For equity investments under the fair value option, the change in fair value of the investment is included in gain (loss) on equity investments and warrant, net and this investment </w:t>
      </w:r>
      <w:r>
        <w:rPr>
          <w:rFonts w:ascii="Arial" w:eastAsia="宋体" w:hAnsi="Arial" w:cs="Arial"/>
          <w:color w:val="000000"/>
          <w:sz w:val="20"/>
          <w:szCs w:val="20"/>
        </w:rPr>
        <w:t>balance is included in long-term investments. Investments in entities where we hold less than a 20% ownership interest are generally accounted for as equity investments to be measured at fair value or, under an election, at cost if it does not have readily</w:t>
      </w:r>
      <w:r>
        <w:rPr>
          <w:rFonts w:ascii="Arial" w:eastAsia="宋体" w:hAnsi="Arial" w:cs="Arial"/>
          <w:color w:val="000000"/>
          <w:sz w:val="20"/>
          <w:szCs w:val="20"/>
        </w:rPr>
        <w:t xml:space="preserve"> determinable fair value, in which case the carrying value would be adjusted upon the occurrence of an observable price change in an orderly transaction for identical or similar instruments or impairment. </w:t>
      </w:r>
    </w:p>
    <w:p w14:paraId="22CFB773" w14:textId="77777777" w:rsidR="002661BA" w:rsidRDefault="002661BA">
      <w:pPr>
        <w:ind w:firstLine="450"/>
        <w:jc w:val="both"/>
      </w:pPr>
    </w:p>
    <w:p w14:paraId="22CFB774" w14:textId="77777777" w:rsidR="002661BA" w:rsidRDefault="00D972BC">
      <w:pPr>
        <w:jc w:val="both"/>
      </w:pPr>
      <w:r>
        <w:rPr>
          <w:rFonts w:ascii="Arial" w:eastAsia="宋体" w:hAnsi="Arial" w:cs="Arial"/>
          <w:b/>
          <w:bCs/>
          <w:i/>
          <w:iCs/>
          <w:color w:val="000000"/>
          <w:sz w:val="20"/>
          <w:szCs w:val="20"/>
        </w:rPr>
        <w:t xml:space="preserve">Significant Accounting Policies </w:t>
      </w:r>
    </w:p>
    <w:p w14:paraId="22CFB775" w14:textId="77777777" w:rsidR="002661BA" w:rsidRDefault="002661BA">
      <w:pPr>
        <w:ind w:firstLine="270"/>
        <w:jc w:val="both"/>
      </w:pPr>
    </w:p>
    <w:p w14:paraId="22CFB776" w14:textId="77777777" w:rsidR="002661BA" w:rsidRDefault="00D972BC">
      <w:pPr>
        <w:ind w:firstLine="270"/>
        <w:jc w:val="both"/>
      </w:pPr>
      <w:r>
        <w:rPr>
          <w:rFonts w:ascii="Arial" w:eastAsia="宋体" w:hAnsi="Arial" w:cs="Arial"/>
          <w:b/>
          <w:bCs/>
          <w:i/>
          <w:iCs/>
          <w:color w:val="000000"/>
          <w:sz w:val="20"/>
          <w:szCs w:val="20"/>
        </w:rPr>
        <w:t>Revenue recogni</w:t>
      </w:r>
      <w:r>
        <w:rPr>
          <w:rFonts w:ascii="Arial" w:eastAsia="宋体" w:hAnsi="Arial" w:cs="Arial"/>
          <w:b/>
          <w:bCs/>
          <w:i/>
          <w:iCs/>
          <w:color w:val="000000"/>
          <w:sz w:val="20"/>
          <w:szCs w:val="20"/>
        </w:rPr>
        <w:t>tion</w:t>
      </w:r>
    </w:p>
    <w:p w14:paraId="22CFB777" w14:textId="77777777" w:rsidR="002661BA" w:rsidRDefault="00D972BC">
      <w:pPr>
        <w:spacing w:before="180"/>
        <w:ind w:firstLine="540"/>
        <w:jc w:val="both"/>
      </w:pPr>
      <w:r>
        <w:rPr>
          <w:rFonts w:ascii="Arial" w:eastAsia="宋体" w:hAnsi="Arial" w:cs="Arial"/>
          <w:color w:val="000000"/>
          <w:sz w:val="20"/>
          <w:szCs w:val="20"/>
        </w:rPr>
        <w:t>We recognize revenue when we transfer control of promised goods or services to customers in an amount that reflects the consideration to which we expect to be entitled in exchange for those goods or services. Revenue is recognized net of any taxes col</w:t>
      </w:r>
      <w:r>
        <w:rPr>
          <w:rFonts w:ascii="Arial" w:eastAsia="宋体" w:hAnsi="Arial" w:cs="Arial"/>
          <w:color w:val="000000"/>
          <w:sz w:val="20"/>
          <w:szCs w:val="20"/>
        </w:rPr>
        <w:t xml:space="preserve">lected, which are subsequently remitted to governmental authorities. </w:t>
      </w:r>
    </w:p>
    <w:p w14:paraId="22CFB778" w14:textId="77777777" w:rsidR="002661BA" w:rsidRDefault="00D972BC">
      <w:pPr>
        <w:spacing w:before="260"/>
        <w:ind w:firstLine="540"/>
        <w:jc w:val="both"/>
      </w:pPr>
      <w:r>
        <w:rPr>
          <w:rFonts w:ascii="Arial" w:eastAsia="宋体" w:hAnsi="Arial" w:cs="Arial"/>
          <w:i/>
          <w:iCs/>
          <w:color w:val="000000"/>
          <w:sz w:val="20"/>
          <w:szCs w:val="20"/>
        </w:rPr>
        <w:t xml:space="preserve">Net transaction revenues </w:t>
      </w:r>
    </w:p>
    <w:p w14:paraId="22CFB779" w14:textId="77777777" w:rsidR="002661BA" w:rsidRDefault="00D972BC">
      <w:pPr>
        <w:spacing w:before="180"/>
        <w:ind w:firstLine="540"/>
        <w:jc w:val="both"/>
      </w:pPr>
      <w:r>
        <w:rPr>
          <w:rFonts w:ascii="Arial" w:eastAsia="宋体" w:hAnsi="Arial" w:cs="Arial"/>
          <w:color w:val="000000"/>
          <w:sz w:val="20"/>
          <w:szCs w:val="20"/>
        </w:rPr>
        <w:t>Our net transaction revenues primarily include final value fees, feature fees, including fees to promote listings, and listing fees from sellers in our Marketpl</w:t>
      </w:r>
      <w:r>
        <w:rPr>
          <w:rFonts w:ascii="Arial" w:eastAsia="宋体" w:hAnsi="Arial" w:cs="Arial"/>
          <w:color w:val="000000"/>
          <w:sz w:val="20"/>
          <w:szCs w:val="20"/>
        </w:rPr>
        <w:t xml:space="preserve">ace. Our net transaction revenues also include store subscription and other fees often from large enterprise sellers. Our net transaction revenues are reduced by incentives provided to our customers. </w:t>
      </w:r>
    </w:p>
    <w:p w14:paraId="22CFB77A" w14:textId="77777777" w:rsidR="002661BA" w:rsidRDefault="00D972BC">
      <w:pPr>
        <w:jc w:val="center"/>
      </w:pPr>
      <w:r>
        <w:rPr>
          <w:rFonts w:ascii="Arial" w:eastAsia="宋体" w:hAnsi="Arial" w:cs="Arial"/>
          <w:color w:val="000000"/>
          <w:sz w:val="18"/>
          <w:szCs w:val="18"/>
        </w:rPr>
        <w:t>64</w:t>
      </w:r>
    </w:p>
    <w:p w14:paraId="22CFB77B" w14:textId="77777777" w:rsidR="002661BA" w:rsidRDefault="00D972BC">
      <w:r>
        <w:pict w14:anchorId="22CFE4F1">
          <v:rect id="_x0000_i1088" style="width:415.3pt;height:1.5pt" o:hralign="center" o:hrstd="t" o:hr="t" fillcolor="#a0a0a0" stroked="f"/>
        </w:pict>
      </w:r>
    </w:p>
    <w:p w14:paraId="22CFB77C" w14:textId="77777777" w:rsidR="002661BA" w:rsidRDefault="00D972BC">
      <w:hyperlink r:id="rId99" w:anchor="id0d7a71b05ce452ea9fdb54f3cb359c7_7" w:history="1">
        <w:r>
          <w:rPr>
            <w:rStyle w:val="a5"/>
            <w:rFonts w:ascii="Arial" w:eastAsia="宋体" w:hAnsi="Arial" w:cs="Arial"/>
            <w:sz w:val="18"/>
            <w:szCs w:val="18"/>
          </w:rPr>
          <w:t>Table of Contents</w:t>
        </w:r>
      </w:hyperlink>
    </w:p>
    <w:p w14:paraId="22CFB77D" w14:textId="77777777" w:rsidR="002661BA" w:rsidRDefault="00D972BC">
      <w:pPr>
        <w:jc w:val="center"/>
      </w:pPr>
      <w:r>
        <w:rPr>
          <w:rFonts w:ascii="Arial" w:eastAsia="宋体" w:hAnsi="Arial" w:cs="Arial"/>
          <w:b/>
          <w:bCs/>
          <w:color w:val="000000"/>
          <w:sz w:val="20"/>
          <w:szCs w:val="20"/>
        </w:rPr>
        <w:t>eBay Inc.</w:t>
      </w:r>
    </w:p>
    <w:p w14:paraId="22CFB77E" w14:textId="77777777" w:rsidR="002661BA" w:rsidRDefault="00D972BC">
      <w:pPr>
        <w:spacing w:before="80"/>
        <w:jc w:val="center"/>
      </w:pPr>
      <w:r>
        <w:rPr>
          <w:rFonts w:ascii="Arial" w:eastAsia="宋体" w:hAnsi="Arial" w:cs="Arial"/>
          <w:b/>
          <w:bCs/>
          <w:color w:val="000000"/>
          <w:sz w:val="20"/>
          <w:szCs w:val="20"/>
        </w:rPr>
        <w:t xml:space="preserve">NOTES TO CONSOLIDATED FINANCIAL </w:t>
      </w:r>
      <w:r>
        <w:rPr>
          <w:rFonts w:ascii="Arial" w:eastAsia="宋体" w:hAnsi="Arial" w:cs="Arial"/>
          <w:b/>
          <w:bCs/>
          <w:color w:val="000000"/>
          <w:sz w:val="20"/>
          <w:szCs w:val="20"/>
        </w:rPr>
        <w:t>STATEMENTS—(Continued)</w:t>
      </w:r>
    </w:p>
    <w:p w14:paraId="22CFB77F" w14:textId="77777777" w:rsidR="002661BA" w:rsidRDefault="00D972BC">
      <w:pPr>
        <w:spacing w:before="180"/>
        <w:ind w:firstLine="540"/>
        <w:jc w:val="both"/>
      </w:pPr>
      <w:r>
        <w:rPr>
          <w:rFonts w:ascii="Arial" w:eastAsia="宋体" w:hAnsi="Arial" w:cs="Arial"/>
          <w:color w:val="000000"/>
          <w:sz w:val="20"/>
          <w:szCs w:val="20"/>
        </w:rPr>
        <w:t>We identified one performance obligation to sellers on our Marketplace platform, which is to connect buyers and sellers on our secure and trusted Marketplace platforms, including payment processing activities. Final value fees are re</w:t>
      </w:r>
      <w:r>
        <w:rPr>
          <w:rFonts w:ascii="Arial" w:eastAsia="宋体" w:hAnsi="Arial" w:cs="Arial"/>
          <w:color w:val="000000"/>
          <w:sz w:val="20"/>
          <w:szCs w:val="20"/>
        </w:rPr>
        <w:t>cognized when an item is sold on a Marketplace platform, satisfying this performance obligation. There may be additional services available to Marketplace sellers, mainly to promote or feature listings, that are not distinct within the context of the contr</w:t>
      </w:r>
      <w:r>
        <w:rPr>
          <w:rFonts w:ascii="Arial" w:eastAsia="宋体" w:hAnsi="Arial" w:cs="Arial"/>
          <w:color w:val="000000"/>
          <w:sz w:val="20"/>
          <w:szCs w:val="20"/>
        </w:rPr>
        <w:t>act. Accordingly, fees for these additional services are recognized when the single performance obligation is satisfied. Promoted listing fees are recognized when the item is sold and feature and listing fees are recognized when an item is sold, or when th</w:t>
      </w:r>
      <w:r>
        <w:rPr>
          <w:rFonts w:ascii="Arial" w:eastAsia="宋体" w:hAnsi="Arial" w:cs="Arial"/>
          <w:color w:val="000000"/>
          <w:sz w:val="20"/>
          <w:szCs w:val="20"/>
        </w:rPr>
        <w:t xml:space="preserve">e contract expires. </w:t>
      </w:r>
    </w:p>
    <w:p w14:paraId="22CFB780" w14:textId="77777777" w:rsidR="002661BA" w:rsidRDefault="00D972BC">
      <w:pPr>
        <w:spacing w:before="180"/>
        <w:ind w:firstLine="540"/>
        <w:jc w:val="both"/>
      </w:pPr>
      <w:r>
        <w:rPr>
          <w:rFonts w:ascii="Arial" w:eastAsia="宋体" w:hAnsi="Arial" w:cs="Arial"/>
          <w:color w:val="000000"/>
          <w:sz w:val="20"/>
          <w:szCs w:val="20"/>
        </w:rPr>
        <w:t>Store subscription and other nonstandard listing contracts may contain multiple performance obligations, including discounts on future services. Determining whether performance obligations should be accounted for separately or combined</w:t>
      </w:r>
      <w:r>
        <w:rPr>
          <w:rFonts w:ascii="Arial" w:eastAsia="宋体" w:hAnsi="Arial" w:cs="Arial"/>
          <w:color w:val="000000"/>
          <w:sz w:val="20"/>
          <w:szCs w:val="20"/>
        </w:rPr>
        <w:t xml:space="preserve"> may require significant judgment. The transaction price is allocated to each performance obligation based on its stand-alone selling price (“SSP”). In instances where SSP is not directly observable, we generally estimate selling prices based on when they </w:t>
      </w:r>
      <w:r>
        <w:rPr>
          <w:rFonts w:ascii="Arial" w:eastAsia="宋体" w:hAnsi="Arial" w:cs="Arial"/>
          <w:color w:val="000000"/>
          <w:sz w:val="20"/>
          <w:szCs w:val="20"/>
        </w:rPr>
        <w:t>are sold to customers of a similar nature and geography. These estimates are generally based on pricing strategies, market factors, strategic objectives and observable inputs. Store subscription revenues are recognized over the subscription period, and dis</w:t>
      </w:r>
      <w:r>
        <w:rPr>
          <w:rFonts w:ascii="Arial" w:eastAsia="宋体" w:hAnsi="Arial" w:cs="Arial"/>
          <w:color w:val="000000"/>
          <w:sz w:val="20"/>
          <w:szCs w:val="20"/>
        </w:rPr>
        <w:t>counts offered through store subscription or nonstandard listing contracts are recognized when the options are exercised or when the options expire.</w:t>
      </w:r>
    </w:p>
    <w:p w14:paraId="22CFB781" w14:textId="77777777" w:rsidR="002661BA" w:rsidRDefault="00D972BC">
      <w:pPr>
        <w:spacing w:before="180"/>
        <w:ind w:firstLine="540"/>
        <w:jc w:val="both"/>
      </w:pPr>
      <w:r>
        <w:rPr>
          <w:rFonts w:ascii="Arial" w:eastAsia="宋体" w:hAnsi="Arial" w:cs="Arial"/>
          <w:color w:val="000000"/>
          <w:sz w:val="20"/>
          <w:szCs w:val="20"/>
        </w:rPr>
        <w:t>Further, to drive traffic to our platforms, we provide incentives to buyers and sellers in various forms in</w:t>
      </w:r>
      <w:r>
        <w:rPr>
          <w:rFonts w:ascii="Arial" w:eastAsia="宋体" w:hAnsi="Arial" w:cs="Arial"/>
          <w:color w:val="000000"/>
          <w:sz w:val="20"/>
          <w:szCs w:val="20"/>
        </w:rPr>
        <w:t>cluding discounts on fees, discounts on items sold, coupons and rewards. Evaluating whether a promotion or incentive is a payment to a customer may require significant judgment. Promotions and incentives which are consideration payable to a customer are re</w:t>
      </w:r>
      <w:r>
        <w:rPr>
          <w:rFonts w:ascii="Arial" w:eastAsia="宋体" w:hAnsi="Arial" w:cs="Arial"/>
          <w:color w:val="000000"/>
          <w:sz w:val="20"/>
          <w:szCs w:val="20"/>
        </w:rPr>
        <w:t>cognized as a reduction of revenue at the later of when revenue is recognized or when we pay or promise to pay the incentive. Promotions and incentives to most buyers on our Marketplace platforms, to whom we have no performance obligation, are recognized a</w:t>
      </w:r>
      <w:r>
        <w:rPr>
          <w:rFonts w:ascii="Arial" w:eastAsia="宋体" w:hAnsi="Arial" w:cs="Arial"/>
          <w:color w:val="000000"/>
          <w:sz w:val="20"/>
          <w:szCs w:val="20"/>
        </w:rPr>
        <w:t>s sales and marketing expense. In addition, we may provide credits to customers when we refund certain fees. Credits are accounted for as variable consideration at contract inception when estimating the amount of revenue to be recognized when a performance</w:t>
      </w:r>
      <w:r>
        <w:rPr>
          <w:rFonts w:ascii="Arial" w:eastAsia="宋体" w:hAnsi="Arial" w:cs="Arial"/>
          <w:color w:val="000000"/>
          <w:sz w:val="20"/>
          <w:szCs w:val="20"/>
        </w:rPr>
        <w:t xml:space="preserve"> obligation is satisfied to the extent that it is probable that a significant reversal of revenue will not occur and updated as additional information becomes available.</w:t>
      </w:r>
    </w:p>
    <w:p w14:paraId="22CFB782" w14:textId="77777777" w:rsidR="002661BA" w:rsidRDefault="00D972BC">
      <w:pPr>
        <w:spacing w:before="260"/>
        <w:ind w:firstLine="540"/>
        <w:jc w:val="both"/>
      </w:pPr>
      <w:r>
        <w:rPr>
          <w:rFonts w:ascii="Arial" w:eastAsia="宋体" w:hAnsi="Arial" w:cs="Arial"/>
          <w:i/>
          <w:iCs/>
          <w:color w:val="000000"/>
          <w:sz w:val="20"/>
          <w:szCs w:val="20"/>
        </w:rPr>
        <w:t>Marketing services and other revenues</w:t>
      </w:r>
    </w:p>
    <w:p w14:paraId="22CFB783" w14:textId="77777777" w:rsidR="002661BA" w:rsidRDefault="002661BA">
      <w:pPr>
        <w:ind w:firstLine="540"/>
        <w:jc w:val="both"/>
      </w:pPr>
    </w:p>
    <w:p w14:paraId="22CFB784" w14:textId="77777777" w:rsidR="002661BA" w:rsidRDefault="00D972BC">
      <w:pPr>
        <w:ind w:firstLine="540"/>
        <w:jc w:val="both"/>
      </w:pPr>
      <w:r>
        <w:rPr>
          <w:rFonts w:ascii="Arial" w:eastAsia="宋体" w:hAnsi="Arial" w:cs="Arial"/>
          <w:color w:val="000000"/>
          <w:sz w:val="20"/>
          <w:szCs w:val="20"/>
        </w:rPr>
        <w:t>Our marketing services and other revenues are d</w:t>
      </w:r>
      <w:r>
        <w:rPr>
          <w:rFonts w:ascii="Arial" w:eastAsia="宋体" w:hAnsi="Arial" w:cs="Arial"/>
          <w:color w:val="000000"/>
          <w:sz w:val="20"/>
          <w:szCs w:val="20"/>
        </w:rPr>
        <w:t>erived principally from the sale of advertisements and revenue sharing arrangements. Advertising revenue is derived principally from the sale of online advertisements which are based on “impressions” (i.e., the number of times that an advertisement appears</w:t>
      </w:r>
      <w:r>
        <w:rPr>
          <w:rFonts w:ascii="Arial" w:eastAsia="宋体" w:hAnsi="Arial" w:cs="Arial"/>
          <w:color w:val="000000"/>
          <w:sz w:val="20"/>
          <w:szCs w:val="20"/>
        </w:rPr>
        <w:t xml:space="preserve"> in pages viewed by users of our platforms) or “clicks” (which are generated each time users on our platforms click through our advertisements to an advertiser’s designated website) delivered to advertisers. We use the output method and apply the practical</w:t>
      </w:r>
      <w:r>
        <w:rPr>
          <w:rFonts w:ascii="Arial" w:eastAsia="宋体" w:hAnsi="Arial" w:cs="Arial"/>
          <w:color w:val="000000"/>
          <w:sz w:val="20"/>
          <w:szCs w:val="20"/>
        </w:rPr>
        <w:t xml:space="preserve"> expedient to recognize advertising revenue in the amount to which we have a right to invoice. For contracts with target advertising commitments with rebates, estimated payout is accounted for as a variable consideration to the extent it is probable that a</w:t>
      </w:r>
      <w:r>
        <w:rPr>
          <w:rFonts w:ascii="Arial" w:eastAsia="宋体" w:hAnsi="Arial" w:cs="Arial"/>
          <w:color w:val="000000"/>
          <w:sz w:val="20"/>
          <w:szCs w:val="20"/>
        </w:rPr>
        <w:t xml:space="preserve"> significant reversal of revenue will not occur.</w:t>
      </w:r>
    </w:p>
    <w:p w14:paraId="22CFB785" w14:textId="77777777" w:rsidR="002661BA" w:rsidRDefault="002661BA">
      <w:pPr>
        <w:ind w:firstLine="540"/>
        <w:jc w:val="both"/>
      </w:pPr>
    </w:p>
    <w:p w14:paraId="22CFB786" w14:textId="77777777" w:rsidR="002661BA" w:rsidRDefault="00D972BC">
      <w:pPr>
        <w:ind w:firstLine="540"/>
        <w:jc w:val="both"/>
      </w:pPr>
      <w:r>
        <w:rPr>
          <w:rFonts w:ascii="Arial" w:eastAsia="宋体" w:hAnsi="Arial" w:cs="Arial"/>
          <w:color w:val="000000"/>
          <w:sz w:val="20"/>
          <w:szCs w:val="20"/>
        </w:rPr>
        <w:t>Revenues related to revenue sharing arrangements are recognized based on whether we are the principal and are responsible for fulfilling the promise to provide the specified services or whether we are an ag</w:t>
      </w:r>
      <w:r>
        <w:rPr>
          <w:rFonts w:ascii="Arial" w:eastAsia="宋体" w:hAnsi="Arial" w:cs="Arial"/>
          <w:color w:val="000000"/>
          <w:sz w:val="20"/>
          <w:szCs w:val="20"/>
        </w:rPr>
        <w:t>ent arranging for those services to be provided by our partners. Determining whether we are a principal or agent in these contracts may require significant judgment. If we are the principal, we recognize revenue in the gross amount of consideration receive</w:t>
      </w:r>
      <w:r>
        <w:rPr>
          <w:rFonts w:ascii="Arial" w:eastAsia="宋体" w:hAnsi="Arial" w:cs="Arial"/>
          <w:color w:val="000000"/>
          <w:sz w:val="20"/>
          <w:szCs w:val="20"/>
        </w:rPr>
        <w:t>d from the customer, whereas if we are an agent, we recognize revenue net of the consideration due to our partners at a point in time when the services are provided. Our most significant revenue share arrangements are with shipping service providers. We ar</w:t>
      </w:r>
      <w:r>
        <w:rPr>
          <w:rFonts w:ascii="Arial" w:eastAsia="宋体" w:hAnsi="Arial" w:cs="Arial"/>
          <w:color w:val="000000"/>
          <w:sz w:val="20"/>
          <w:szCs w:val="20"/>
        </w:rPr>
        <w:t>e primarily acting as an agent in these contracts and revenues are recognized at a point in time when we have satisfied our promise of connecting the shipping service provider to our customer.</w:t>
      </w:r>
    </w:p>
    <w:p w14:paraId="22CFB787" w14:textId="77777777" w:rsidR="002661BA" w:rsidRDefault="002661BA">
      <w:pPr>
        <w:ind w:firstLine="540"/>
        <w:jc w:val="both"/>
      </w:pPr>
    </w:p>
    <w:p w14:paraId="22CFB788" w14:textId="77777777" w:rsidR="002661BA" w:rsidRDefault="00D972BC">
      <w:pPr>
        <w:jc w:val="center"/>
      </w:pPr>
      <w:r>
        <w:rPr>
          <w:rFonts w:ascii="Arial" w:eastAsia="宋体" w:hAnsi="Arial" w:cs="Arial"/>
          <w:color w:val="000000"/>
          <w:sz w:val="18"/>
          <w:szCs w:val="18"/>
        </w:rPr>
        <w:t>65</w:t>
      </w:r>
    </w:p>
    <w:p w14:paraId="22CFB789" w14:textId="77777777" w:rsidR="002661BA" w:rsidRDefault="00D972BC">
      <w:r>
        <w:pict w14:anchorId="22CFE4F2">
          <v:rect id="_x0000_i1089" style="width:415.3pt;height:1.5pt" o:hralign="center" o:hrstd="t" o:hr="t" fillcolor="#a0a0a0" stroked="f"/>
        </w:pict>
      </w:r>
    </w:p>
    <w:p w14:paraId="22CFB78A" w14:textId="77777777" w:rsidR="002661BA" w:rsidRDefault="00D972BC">
      <w:hyperlink r:id="rId100" w:anchor="id0d7a71b05ce452ea9fdb54f3cb359c7_7" w:history="1">
        <w:r>
          <w:rPr>
            <w:rStyle w:val="a5"/>
            <w:rFonts w:ascii="Arial" w:eastAsia="宋体" w:hAnsi="Arial" w:cs="Arial"/>
            <w:sz w:val="18"/>
            <w:szCs w:val="18"/>
          </w:rPr>
          <w:t>Table of Contents</w:t>
        </w:r>
      </w:hyperlink>
    </w:p>
    <w:p w14:paraId="22CFB78B" w14:textId="77777777" w:rsidR="002661BA" w:rsidRDefault="00D972BC">
      <w:pPr>
        <w:jc w:val="center"/>
      </w:pPr>
      <w:r>
        <w:rPr>
          <w:rFonts w:ascii="Arial" w:eastAsia="宋体" w:hAnsi="Arial" w:cs="Arial"/>
          <w:b/>
          <w:bCs/>
          <w:color w:val="000000"/>
          <w:sz w:val="20"/>
          <w:szCs w:val="20"/>
        </w:rPr>
        <w:t>eBay Inc.</w:t>
      </w:r>
    </w:p>
    <w:p w14:paraId="22CFB78C"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B78D" w14:textId="77777777" w:rsidR="002661BA" w:rsidRDefault="00D972BC">
      <w:pPr>
        <w:jc w:val="both"/>
      </w:pPr>
      <w:r>
        <w:rPr>
          <w:rFonts w:ascii="Arial" w:eastAsia="宋体" w:hAnsi="Arial" w:cs="Arial"/>
          <w:b/>
          <w:bCs/>
          <w:i/>
          <w:iCs/>
          <w:color w:val="000000"/>
          <w:sz w:val="20"/>
          <w:szCs w:val="20"/>
        </w:rPr>
        <w:t xml:space="preserve">Internal use software and platform development costs </w:t>
      </w:r>
    </w:p>
    <w:p w14:paraId="22CFB78E" w14:textId="77777777" w:rsidR="002661BA" w:rsidRDefault="002661BA">
      <w:pPr>
        <w:ind w:firstLine="495"/>
        <w:jc w:val="both"/>
      </w:pPr>
    </w:p>
    <w:p w14:paraId="22CFB78F" w14:textId="77777777" w:rsidR="002661BA" w:rsidRDefault="00D972BC">
      <w:pPr>
        <w:ind w:firstLine="540"/>
        <w:jc w:val="both"/>
      </w:pPr>
      <w:r>
        <w:rPr>
          <w:rFonts w:ascii="Arial" w:eastAsia="宋体" w:hAnsi="Arial" w:cs="Arial"/>
          <w:color w:val="000000"/>
          <w:sz w:val="20"/>
          <w:szCs w:val="20"/>
        </w:rPr>
        <w:t>Direct costs incurred to develop software for internal use and platform development costs are capitalized and amortized over an estimated useful life of one to five years. During the years ended December 31, 2021 and 2020, we capitalized costs, primarily r</w:t>
      </w:r>
      <w:r>
        <w:rPr>
          <w:rFonts w:ascii="Arial" w:eastAsia="宋体" w:hAnsi="Arial" w:cs="Arial"/>
          <w:color w:val="000000"/>
          <w:sz w:val="20"/>
          <w:szCs w:val="20"/>
        </w:rPr>
        <w:t xml:space="preserve">elated to labor and stock-based compensation, of $127 million and $129 million, respectively. Amortization of previously capitalized amounts was $133 million, $139 million and $150 million for 2021, 2020 and 2019, respectively. Costs related to the design </w:t>
      </w:r>
      <w:r>
        <w:rPr>
          <w:rFonts w:ascii="Arial" w:eastAsia="宋体" w:hAnsi="Arial" w:cs="Arial"/>
          <w:color w:val="000000"/>
          <w:sz w:val="20"/>
          <w:szCs w:val="20"/>
        </w:rPr>
        <w:t xml:space="preserve">or maintenance of internal use software and platform development are expensed as incurred. </w:t>
      </w:r>
    </w:p>
    <w:p w14:paraId="22CFB790" w14:textId="77777777" w:rsidR="002661BA" w:rsidRDefault="002661BA">
      <w:pPr>
        <w:ind w:firstLine="495"/>
        <w:jc w:val="both"/>
      </w:pPr>
    </w:p>
    <w:p w14:paraId="22CFB791" w14:textId="77777777" w:rsidR="002661BA" w:rsidRDefault="00D972BC">
      <w:pPr>
        <w:jc w:val="both"/>
      </w:pPr>
      <w:r>
        <w:rPr>
          <w:rFonts w:ascii="Arial" w:eastAsia="宋体" w:hAnsi="Arial" w:cs="Arial"/>
          <w:b/>
          <w:bCs/>
          <w:i/>
          <w:iCs/>
          <w:color w:val="000000"/>
          <w:sz w:val="20"/>
          <w:szCs w:val="20"/>
        </w:rPr>
        <w:t xml:space="preserve">Advertising expense </w:t>
      </w:r>
    </w:p>
    <w:p w14:paraId="22CFB792" w14:textId="77777777" w:rsidR="002661BA" w:rsidRDefault="002661BA">
      <w:pPr>
        <w:ind w:firstLine="495"/>
        <w:jc w:val="both"/>
      </w:pPr>
    </w:p>
    <w:p w14:paraId="22CFB793" w14:textId="77777777" w:rsidR="002661BA" w:rsidRDefault="00D972BC">
      <w:pPr>
        <w:ind w:firstLine="540"/>
        <w:jc w:val="both"/>
      </w:pPr>
      <w:r>
        <w:rPr>
          <w:rFonts w:ascii="Arial" w:eastAsia="宋体" w:hAnsi="Arial" w:cs="Arial"/>
          <w:color w:val="000000"/>
          <w:sz w:val="20"/>
          <w:szCs w:val="20"/>
        </w:rPr>
        <w:t>We expense the costs of producing advertisements at the time production occurs and expense the cost of communicating advertisements in the period during which the advertising space or airtime is used, in each case as sales and marketing expense. Internet a</w:t>
      </w:r>
      <w:r>
        <w:rPr>
          <w:rFonts w:ascii="Arial" w:eastAsia="宋体" w:hAnsi="Arial" w:cs="Arial"/>
          <w:color w:val="000000"/>
          <w:sz w:val="20"/>
          <w:szCs w:val="20"/>
        </w:rPr>
        <w:t xml:space="preserve">dvertising expenses are recognized based on the terms of the individual agreements, which are generally over the greater of the ratio of the number of impressions delivered over the total number of contracted impressions, on a pay-per-click basis, or on a </w:t>
      </w:r>
      <w:r>
        <w:rPr>
          <w:rFonts w:ascii="Arial" w:eastAsia="宋体" w:hAnsi="Arial" w:cs="Arial"/>
          <w:color w:val="000000"/>
          <w:sz w:val="20"/>
          <w:szCs w:val="20"/>
        </w:rPr>
        <w:t xml:space="preserve">straight-line basis over the term of the contract. Advertising expense totaled $1.1 billion, $1.1 billion and $0.8 billion for the years ended December 31, 2021, 2020 and 2019, respectively. </w:t>
      </w:r>
    </w:p>
    <w:p w14:paraId="22CFB794" w14:textId="77777777" w:rsidR="002661BA" w:rsidRDefault="002661BA">
      <w:pPr>
        <w:ind w:firstLine="495"/>
        <w:jc w:val="both"/>
      </w:pPr>
    </w:p>
    <w:p w14:paraId="22CFB795" w14:textId="77777777" w:rsidR="002661BA" w:rsidRDefault="00D972BC">
      <w:pPr>
        <w:jc w:val="both"/>
      </w:pPr>
      <w:r>
        <w:rPr>
          <w:rFonts w:ascii="Arial" w:eastAsia="宋体" w:hAnsi="Arial" w:cs="Arial"/>
          <w:b/>
          <w:bCs/>
          <w:i/>
          <w:iCs/>
          <w:color w:val="000000"/>
          <w:sz w:val="20"/>
          <w:szCs w:val="20"/>
        </w:rPr>
        <w:t xml:space="preserve">Stock-based compensation </w:t>
      </w:r>
    </w:p>
    <w:p w14:paraId="22CFB796" w14:textId="77777777" w:rsidR="002661BA" w:rsidRDefault="002661BA">
      <w:pPr>
        <w:jc w:val="both"/>
      </w:pPr>
    </w:p>
    <w:p w14:paraId="22CFB797" w14:textId="77777777" w:rsidR="002661BA" w:rsidRDefault="00D972BC">
      <w:pPr>
        <w:ind w:firstLine="540"/>
        <w:jc w:val="both"/>
      </w:pPr>
      <w:r>
        <w:rPr>
          <w:rFonts w:ascii="Arial" w:eastAsia="宋体" w:hAnsi="Arial" w:cs="Arial"/>
          <w:color w:val="000000"/>
          <w:sz w:val="20"/>
          <w:szCs w:val="20"/>
        </w:rPr>
        <w:t>We have equity incentive plans under</w:t>
      </w:r>
      <w:r>
        <w:rPr>
          <w:rFonts w:ascii="Arial" w:eastAsia="宋体" w:hAnsi="Arial" w:cs="Arial"/>
          <w:color w:val="000000"/>
          <w:sz w:val="20"/>
          <w:szCs w:val="20"/>
        </w:rPr>
        <w:t xml:space="preserve"> which we grant equity awards, including stock options, restricted stock units (“RSUs”), total shareholder return performance stock units (“TSR PSUs”), performance-based restricted stock units, and performance share units, to our directors, officers and em</w:t>
      </w:r>
      <w:r>
        <w:rPr>
          <w:rFonts w:ascii="Arial" w:eastAsia="宋体" w:hAnsi="Arial" w:cs="Arial"/>
          <w:color w:val="000000"/>
          <w:sz w:val="20"/>
          <w:szCs w:val="20"/>
        </w:rPr>
        <w:t>ployees. We primarily issue RSUs. We determine compensation expense associated with RSUs based on the fair value of our common stock on the date of grant. We determine compensation expense associated with stock options based on the estimated grant date fai</w:t>
      </w:r>
      <w:r>
        <w:rPr>
          <w:rFonts w:ascii="Arial" w:eastAsia="宋体" w:hAnsi="Arial" w:cs="Arial"/>
          <w:color w:val="000000"/>
          <w:sz w:val="20"/>
          <w:szCs w:val="20"/>
        </w:rPr>
        <w:t>r value method using the Black-Scholes valuation model. We generally recognize compensation expense using a straight-line amortization method over the respective vesting period for awards that are ultimately expected to vest. Accordingly, stock-based compe</w:t>
      </w:r>
      <w:r>
        <w:rPr>
          <w:rFonts w:ascii="Arial" w:eastAsia="宋体" w:hAnsi="Arial" w:cs="Arial"/>
          <w:color w:val="000000"/>
          <w:sz w:val="20"/>
          <w:szCs w:val="20"/>
        </w:rPr>
        <w:t>nsation expense for 2021, 2020 and 2019 has been reduced for estimated forfeitures. When estimating forfeitures, we consider voluntary termination behaviors as well as trends of actual option forfeitures. We recognize a benefit or provision from stock-base</w:t>
      </w:r>
      <w:r>
        <w:rPr>
          <w:rFonts w:ascii="Arial" w:eastAsia="宋体" w:hAnsi="Arial" w:cs="Arial"/>
          <w:color w:val="000000"/>
          <w:sz w:val="20"/>
          <w:szCs w:val="20"/>
        </w:rPr>
        <w:t xml:space="preserve">d compensation in earnings as a component of income tax expense to the extent that an incremental tax benefit or deficiency is realized by following the ordering provisions of the tax law. </w:t>
      </w:r>
    </w:p>
    <w:p w14:paraId="22CFB798" w14:textId="77777777" w:rsidR="002661BA" w:rsidRDefault="002661BA">
      <w:pPr>
        <w:ind w:firstLine="495"/>
        <w:jc w:val="both"/>
      </w:pPr>
    </w:p>
    <w:p w14:paraId="22CFB799" w14:textId="77777777" w:rsidR="002661BA" w:rsidRDefault="00D972BC">
      <w:pPr>
        <w:jc w:val="both"/>
      </w:pPr>
      <w:r>
        <w:rPr>
          <w:rFonts w:ascii="Arial" w:eastAsia="宋体" w:hAnsi="Arial" w:cs="Arial"/>
          <w:b/>
          <w:bCs/>
          <w:i/>
          <w:iCs/>
          <w:color w:val="000000"/>
          <w:sz w:val="20"/>
          <w:szCs w:val="20"/>
        </w:rPr>
        <w:t>Provision for transaction losses</w:t>
      </w:r>
    </w:p>
    <w:p w14:paraId="22CFB79A" w14:textId="77777777" w:rsidR="002661BA" w:rsidRDefault="002661BA">
      <w:pPr>
        <w:jc w:val="both"/>
      </w:pPr>
    </w:p>
    <w:p w14:paraId="22CFB79B" w14:textId="77777777" w:rsidR="002661BA" w:rsidRDefault="00D972BC">
      <w:pPr>
        <w:ind w:firstLine="540"/>
        <w:jc w:val="both"/>
      </w:pPr>
      <w:r>
        <w:rPr>
          <w:rFonts w:ascii="Arial" w:eastAsia="宋体" w:hAnsi="Arial" w:cs="Arial"/>
          <w:color w:val="000000"/>
          <w:sz w:val="20"/>
          <w:szCs w:val="20"/>
        </w:rPr>
        <w:t>Provision for transaction losse</w:t>
      </w:r>
      <w:r>
        <w:rPr>
          <w:rFonts w:ascii="Arial" w:eastAsia="宋体" w:hAnsi="Arial" w:cs="Arial"/>
          <w:color w:val="000000"/>
          <w:sz w:val="20"/>
          <w:szCs w:val="20"/>
        </w:rPr>
        <w:t>s consists primarily of losses resulting from our buyer protection programs, payment misuse including</w:t>
      </w:r>
      <w:r>
        <w:rPr>
          <w:rFonts w:ascii="Arial" w:eastAsia="宋体" w:hAnsi="Arial" w:cs="Arial"/>
          <w:color w:val="000000"/>
        </w:rPr>
        <w:t xml:space="preserve"> </w:t>
      </w:r>
      <w:r>
        <w:rPr>
          <w:rFonts w:ascii="Arial" w:eastAsia="宋体" w:hAnsi="Arial" w:cs="Arial"/>
          <w:color w:val="000000"/>
          <w:sz w:val="20"/>
          <w:szCs w:val="20"/>
        </w:rPr>
        <w:t>chargebacks for unauthorized credit card use and merchant related chargebacks due to non-delivery of goods or services and account takeovers.</w:t>
      </w:r>
    </w:p>
    <w:p w14:paraId="22CFB79C" w14:textId="77777777" w:rsidR="002661BA" w:rsidRDefault="002661BA"/>
    <w:p w14:paraId="22CFB79D" w14:textId="77777777" w:rsidR="002661BA" w:rsidRDefault="00D972BC">
      <w:pPr>
        <w:ind w:firstLine="540"/>
        <w:jc w:val="both"/>
      </w:pPr>
      <w:r>
        <w:rPr>
          <w:rFonts w:ascii="Arial" w:eastAsia="宋体" w:hAnsi="Arial" w:cs="Arial"/>
          <w:color w:val="000000"/>
          <w:sz w:val="20"/>
          <w:szCs w:val="20"/>
        </w:rPr>
        <w:t>Provision f</w:t>
      </w:r>
      <w:r>
        <w:rPr>
          <w:rFonts w:ascii="Arial" w:eastAsia="宋体" w:hAnsi="Arial" w:cs="Arial"/>
          <w:color w:val="000000"/>
          <w:sz w:val="20"/>
          <w:szCs w:val="20"/>
        </w:rPr>
        <w:t xml:space="preserve">or transaction losses represent our estimate of actual losses based on our historical experience and many other factors including changes to our protection programs, the impact of regulatory changes as well as economic conditions such as COVID-19. </w:t>
      </w:r>
    </w:p>
    <w:p w14:paraId="22CFB79E" w14:textId="77777777" w:rsidR="002661BA" w:rsidRDefault="002661BA">
      <w:pPr>
        <w:ind w:firstLine="540"/>
        <w:jc w:val="both"/>
      </w:pPr>
    </w:p>
    <w:p w14:paraId="22CFB79F" w14:textId="77777777" w:rsidR="002661BA" w:rsidRDefault="00D972BC">
      <w:pPr>
        <w:jc w:val="both"/>
      </w:pPr>
      <w:r>
        <w:rPr>
          <w:rFonts w:ascii="Arial" w:eastAsia="宋体" w:hAnsi="Arial" w:cs="Arial"/>
          <w:b/>
          <w:bCs/>
          <w:i/>
          <w:iCs/>
          <w:color w:val="000000"/>
          <w:sz w:val="20"/>
          <w:szCs w:val="20"/>
        </w:rPr>
        <w:t>Provis</w:t>
      </w:r>
      <w:r>
        <w:rPr>
          <w:rFonts w:ascii="Arial" w:eastAsia="宋体" w:hAnsi="Arial" w:cs="Arial"/>
          <w:b/>
          <w:bCs/>
          <w:i/>
          <w:iCs/>
          <w:color w:val="000000"/>
          <w:sz w:val="20"/>
          <w:szCs w:val="20"/>
        </w:rPr>
        <w:t>ion for credit losses</w:t>
      </w:r>
    </w:p>
    <w:p w14:paraId="22CFB7A0" w14:textId="77777777" w:rsidR="002661BA" w:rsidRDefault="002661BA">
      <w:pPr>
        <w:jc w:val="both"/>
      </w:pPr>
    </w:p>
    <w:p w14:paraId="22CFB7A1" w14:textId="77777777" w:rsidR="002661BA" w:rsidRDefault="00D972BC">
      <w:pPr>
        <w:ind w:firstLine="540"/>
        <w:jc w:val="both"/>
      </w:pPr>
      <w:r>
        <w:rPr>
          <w:rFonts w:ascii="Arial" w:eastAsia="宋体" w:hAnsi="Arial" w:cs="Arial"/>
          <w:color w:val="000000"/>
          <w:sz w:val="20"/>
          <w:szCs w:val="20"/>
        </w:rPr>
        <w:t>Provision for credit losses consist of bad debt expense associated with our accounts receivable balance. These losses are recorded in provision for transaction losses in our consolidated statement of income.</w:t>
      </w:r>
    </w:p>
    <w:p w14:paraId="22CFB7A2" w14:textId="77777777" w:rsidR="002661BA" w:rsidRDefault="002661BA"/>
    <w:p w14:paraId="22CFB7A3" w14:textId="77777777" w:rsidR="002661BA" w:rsidRDefault="00D972BC">
      <w:pPr>
        <w:ind w:firstLine="540"/>
        <w:jc w:val="both"/>
      </w:pPr>
      <w:r>
        <w:rPr>
          <w:rFonts w:ascii="Arial" w:eastAsia="宋体" w:hAnsi="Arial" w:cs="Arial"/>
          <w:color w:val="000000"/>
          <w:sz w:val="20"/>
          <w:szCs w:val="20"/>
        </w:rPr>
        <w:t>We are exposed to credit</w:t>
      </w:r>
      <w:r>
        <w:rPr>
          <w:rFonts w:ascii="Arial" w:eastAsia="宋体" w:hAnsi="Arial" w:cs="Arial"/>
          <w:color w:val="000000"/>
          <w:sz w:val="20"/>
          <w:szCs w:val="20"/>
        </w:rPr>
        <w:t xml:space="preserve"> losses primarily through our receivables from sellers or advertisers. We develop estimates to reflect the risk of credit loss which are based on historical loss trends adjusted for asset specific attributes, current conditions and reasonable and supportab</w:t>
      </w:r>
      <w:r>
        <w:rPr>
          <w:rFonts w:ascii="Arial" w:eastAsia="宋体" w:hAnsi="Arial" w:cs="Arial"/>
          <w:color w:val="000000"/>
          <w:sz w:val="20"/>
          <w:szCs w:val="20"/>
        </w:rPr>
        <w:t>le forecasts of the economic conditions that will exist through the contractual life of the financial asset. Our receivables are recovered over a period of 0-180 days, therefore, forecasted changes to economic conditions are not expected to have a signific</w:t>
      </w:r>
      <w:r>
        <w:rPr>
          <w:rFonts w:ascii="Arial" w:eastAsia="宋体" w:hAnsi="Arial" w:cs="Arial"/>
          <w:color w:val="000000"/>
          <w:sz w:val="20"/>
          <w:szCs w:val="20"/>
        </w:rPr>
        <w:t>ant effect on the estimate of the allowance for doubtful accounts, except in extraordinary circumstances. We write off the asset when it is no longer deemed collectible or when it goes past due 180 days whichever is earlier, with certain limited exceptions</w:t>
      </w:r>
      <w:r>
        <w:rPr>
          <w:rFonts w:ascii="Arial" w:eastAsia="宋体" w:hAnsi="Arial" w:cs="Arial"/>
          <w:color w:val="000000"/>
          <w:sz w:val="20"/>
          <w:szCs w:val="20"/>
        </w:rPr>
        <w:t xml:space="preserve">. </w:t>
      </w:r>
    </w:p>
    <w:p w14:paraId="22CFB7A4" w14:textId="77777777" w:rsidR="002661BA" w:rsidRDefault="00D972BC">
      <w:pPr>
        <w:jc w:val="center"/>
      </w:pPr>
      <w:r>
        <w:rPr>
          <w:rFonts w:ascii="Arial" w:eastAsia="宋体" w:hAnsi="Arial" w:cs="Arial"/>
          <w:color w:val="000000"/>
          <w:sz w:val="18"/>
          <w:szCs w:val="18"/>
        </w:rPr>
        <w:t>66</w:t>
      </w:r>
    </w:p>
    <w:p w14:paraId="22CFB7A5" w14:textId="77777777" w:rsidR="002661BA" w:rsidRDefault="00D972BC">
      <w:r>
        <w:pict w14:anchorId="22CFE4F3">
          <v:rect id="_x0000_i1090" style="width:415.3pt;height:1.5pt" o:hralign="center" o:hrstd="t" o:hr="t" fillcolor="#a0a0a0" stroked="f"/>
        </w:pict>
      </w:r>
    </w:p>
    <w:p w14:paraId="22CFB7A6" w14:textId="77777777" w:rsidR="002661BA" w:rsidRDefault="00D972BC">
      <w:hyperlink r:id="rId101" w:anchor="id0d7a71b05ce452ea9fdb54f3cb359c7_7" w:history="1">
        <w:r>
          <w:rPr>
            <w:rStyle w:val="a5"/>
            <w:rFonts w:ascii="Arial" w:eastAsia="宋体" w:hAnsi="Arial" w:cs="Arial"/>
            <w:sz w:val="18"/>
            <w:szCs w:val="18"/>
          </w:rPr>
          <w:t>Table of Contents</w:t>
        </w:r>
      </w:hyperlink>
    </w:p>
    <w:p w14:paraId="22CFB7A7" w14:textId="77777777" w:rsidR="002661BA" w:rsidRDefault="00D972BC">
      <w:pPr>
        <w:jc w:val="center"/>
      </w:pPr>
      <w:r>
        <w:rPr>
          <w:rFonts w:ascii="Arial" w:eastAsia="宋体" w:hAnsi="Arial" w:cs="Arial"/>
          <w:b/>
          <w:bCs/>
          <w:color w:val="000000"/>
          <w:sz w:val="20"/>
          <w:szCs w:val="20"/>
        </w:rPr>
        <w:t>eBay Inc.</w:t>
      </w:r>
    </w:p>
    <w:p w14:paraId="22CFB7A8" w14:textId="77777777" w:rsidR="002661BA" w:rsidRDefault="00D972BC">
      <w:pPr>
        <w:spacing w:before="80"/>
        <w:jc w:val="center"/>
      </w:pPr>
      <w:r>
        <w:rPr>
          <w:rFonts w:ascii="Arial" w:eastAsia="宋体" w:hAnsi="Arial" w:cs="Arial"/>
          <w:b/>
          <w:bCs/>
          <w:color w:val="000000"/>
          <w:sz w:val="20"/>
          <w:szCs w:val="20"/>
        </w:rPr>
        <w:t xml:space="preserve">NOTES TO CONSOLIDATED FINANCIAL </w:t>
      </w:r>
      <w:r>
        <w:rPr>
          <w:rFonts w:ascii="Arial" w:eastAsia="宋体" w:hAnsi="Arial" w:cs="Arial"/>
          <w:b/>
          <w:bCs/>
          <w:color w:val="000000"/>
          <w:sz w:val="20"/>
          <w:szCs w:val="20"/>
        </w:rPr>
        <w:t>STATEMENTS—(Continued)</w:t>
      </w:r>
    </w:p>
    <w:p w14:paraId="22CFB7A9" w14:textId="77777777" w:rsidR="002661BA" w:rsidRDefault="00D972BC">
      <w:pPr>
        <w:jc w:val="both"/>
      </w:pPr>
      <w:r>
        <w:rPr>
          <w:rFonts w:ascii="Arial" w:eastAsia="宋体" w:hAnsi="Arial" w:cs="Arial"/>
          <w:color w:val="000000"/>
          <w:sz w:val="20"/>
          <w:szCs w:val="20"/>
        </w:rPr>
        <w:t xml:space="preserve">We monitor our ongoing credit exposure through an active review of collection trends. Our activities include monitoring the timeliness of payment collection, managing dispute resolution and performing timely account reconciliations. </w:t>
      </w:r>
      <w:r>
        <w:rPr>
          <w:rFonts w:ascii="Arial" w:eastAsia="宋体" w:hAnsi="Arial" w:cs="Arial"/>
          <w:color w:val="000000"/>
          <w:sz w:val="20"/>
          <w:szCs w:val="20"/>
        </w:rPr>
        <w:t xml:space="preserve">We may employ collection agencies to pursue recovery of defaulted receivables. </w:t>
      </w:r>
    </w:p>
    <w:p w14:paraId="22CFB7AA" w14:textId="77777777" w:rsidR="002661BA" w:rsidRDefault="002661BA">
      <w:pPr>
        <w:ind w:firstLine="540"/>
        <w:jc w:val="both"/>
      </w:pPr>
    </w:p>
    <w:p w14:paraId="22CFB7AB" w14:textId="77777777" w:rsidR="002661BA" w:rsidRDefault="00D972BC">
      <w:pPr>
        <w:jc w:val="both"/>
      </w:pPr>
      <w:r>
        <w:rPr>
          <w:rFonts w:ascii="Arial" w:eastAsia="宋体" w:hAnsi="Arial" w:cs="Arial"/>
          <w:b/>
          <w:bCs/>
          <w:i/>
          <w:iCs/>
          <w:color w:val="000000"/>
          <w:sz w:val="20"/>
          <w:szCs w:val="20"/>
        </w:rPr>
        <w:t>Customer accounts and funds receivable</w:t>
      </w:r>
    </w:p>
    <w:p w14:paraId="22CFB7AC" w14:textId="77777777" w:rsidR="002661BA" w:rsidRDefault="002661BA">
      <w:pPr>
        <w:jc w:val="both"/>
      </w:pPr>
    </w:p>
    <w:p w14:paraId="22CFB7AD" w14:textId="77777777" w:rsidR="002661BA" w:rsidRDefault="00D972BC">
      <w:pPr>
        <w:ind w:firstLine="540"/>
        <w:jc w:val="both"/>
      </w:pPr>
      <w:r>
        <w:rPr>
          <w:rFonts w:ascii="Arial" w:eastAsia="宋体" w:hAnsi="Arial" w:cs="Arial"/>
          <w:color w:val="222222"/>
          <w:sz w:val="20"/>
          <w:szCs w:val="20"/>
        </w:rPr>
        <w:t xml:space="preserve">These balances represent </w:t>
      </w:r>
      <w:r>
        <w:rPr>
          <w:rFonts w:ascii="Arial" w:eastAsia="宋体" w:hAnsi="Arial" w:cs="Arial"/>
          <w:color w:val="000000"/>
          <w:sz w:val="20"/>
          <w:szCs w:val="20"/>
        </w:rPr>
        <w:t xml:space="preserve">payments in transit and cash received and </w:t>
      </w:r>
      <w:r>
        <w:rPr>
          <w:rFonts w:ascii="Arial" w:eastAsia="宋体" w:hAnsi="Arial" w:cs="Arial"/>
          <w:color w:val="222222"/>
          <w:sz w:val="20"/>
          <w:szCs w:val="20"/>
        </w:rPr>
        <w:t xml:space="preserve">held by financial institutions and payment processors </w:t>
      </w:r>
      <w:r>
        <w:rPr>
          <w:rFonts w:ascii="Arial" w:eastAsia="宋体" w:hAnsi="Arial" w:cs="Arial"/>
          <w:color w:val="222222"/>
          <w:sz w:val="20"/>
          <w:szCs w:val="20"/>
        </w:rPr>
        <w:t>associated with marketplace activity and awaiting settlement or are installment collections from financial institutions.</w:t>
      </w:r>
    </w:p>
    <w:p w14:paraId="22CFB7AE" w14:textId="77777777" w:rsidR="002661BA" w:rsidRDefault="002661BA"/>
    <w:p w14:paraId="22CFB7AF" w14:textId="77777777" w:rsidR="002661BA" w:rsidRDefault="00D972BC">
      <w:pPr>
        <w:ind w:firstLine="540"/>
        <w:jc w:val="both"/>
      </w:pPr>
      <w:r>
        <w:rPr>
          <w:rFonts w:ascii="Arial" w:eastAsia="宋体" w:hAnsi="Arial" w:cs="Arial"/>
          <w:color w:val="222222"/>
          <w:sz w:val="20"/>
          <w:szCs w:val="20"/>
        </w:rPr>
        <w:t>We are exposed to credit losses from customer accounts and funds receivable balances held by third party financial institutions. We as</w:t>
      </w:r>
      <w:r>
        <w:rPr>
          <w:rFonts w:ascii="Arial" w:eastAsia="宋体" w:hAnsi="Arial" w:cs="Arial"/>
          <w:color w:val="222222"/>
          <w:sz w:val="20"/>
          <w:szCs w:val="20"/>
        </w:rPr>
        <w:t xml:space="preserve">sess these balances for credit loss based on a review of the average period for which the funds are held, credit ratings of the financial institutions and by assessing the probability of default and loss given default models. At </w:t>
      </w:r>
      <w:r>
        <w:rPr>
          <w:rFonts w:ascii="Arial" w:eastAsia="宋体" w:hAnsi="Arial" w:cs="Arial"/>
          <w:color w:val="000000"/>
          <w:sz w:val="20"/>
          <w:szCs w:val="20"/>
        </w:rPr>
        <w:t>December 31, 2021 and 2020</w:t>
      </w:r>
      <w:r>
        <w:rPr>
          <w:rFonts w:ascii="Arial" w:eastAsia="宋体" w:hAnsi="Arial" w:cs="Arial"/>
          <w:color w:val="222222"/>
          <w:sz w:val="20"/>
          <w:szCs w:val="20"/>
        </w:rPr>
        <w:t>,</w:t>
      </w:r>
      <w:r>
        <w:rPr>
          <w:rFonts w:ascii="Arial" w:eastAsia="宋体" w:hAnsi="Arial" w:cs="Arial"/>
          <w:color w:val="222222"/>
          <w:sz w:val="20"/>
          <w:szCs w:val="20"/>
        </w:rPr>
        <w:t xml:space="preserve"> we did not record any credit-related loss.</w:t>
      </w:r>
    </w:p>
    <w:p w14:paraId="22CFB7B0" w14:textId="77777777" w:rsidR="002661BA" w:rsidRDefault="002661BA">
      <w:pPr>
        <w:ind w:firstLine="270"/>
        <w:jc w:val="both"/>
      </w:pPr>
    </w:p>
    <w:p w14:paraId="22CFB7B1" w14:textId="77777777" w:rsidR="002661BA" w:rsidRDefault="00D972BC">
      <w:pPr>
        <w:ind w:firstLine="270"/>
      </w:pPr>
      <w:r>
        <w:rPr>
          <w:rFonts w:ascii="Arial" w:eastAsia="宋体" w:hAnsi="Arial" w:cs="Arial"/>
          <w:b/>
          <w:bCs/>
          <w:i/>
          <w:iCs/>
          <w:color w:val="000000"/>
          <w:sz w:val="20"/>
          <w:szCs w:val="20"/>
        </w:rPr>
        <w:t>Payment processor advances</w:t>
      </w:r>
    </w:p>
    <w:p w14:paraId="22CFB7B2" w14:textId="77777777" w:rsidR="002661BA" w:rsidRDefault="002661BA">
      <w:pPr>
        <w:ind w:firstLine="270"/>
        <w:jc w:val="both"/>
      </w:pPr>
    </w:p>
    <w:p w14:paraId="22CFB7B3" w14:textId="77777777" w:rsidR="002661BA" w:rsidRDefault="00D972BC">
      <w:pPr>
        <w:ind w:firstLine="540"/>
        <w:jc w:val="both"/>
      </w:pPr>
      <w:r>
        <w:rPr>
          <w:rFonts w:ascii="Arial" w:eastAsia="宋体" w:hAnsi="Arial" w:cs="Arial"/>
          <w:color w:val="000000"/>
          <w:sz w:val="20"/>
          <w:szCs w:val="20"/>
        </w:rPr>
        <w:t>Payment processor advances represent amounts prefunded to and held by payment processors in order to fund outflows in the normal course of the transaction lifecycle, including but not</w:t>
      </w:r>
      <w:r>
        <w:rPr>
          <w:rFonts w:ascii="Arial" w:eastAsia="宋体" w:hAnsi="Arial" w:cs="Arial"/>
          <w:color w:val="000000"/>
          <w:sz w:val="20"/>
          <w:szCs w:val="20"/>
        </w:rPr>
        <w:t xml:space="preserve"> limited to payment processor fees, seller account payouts, and incentives such as coupons or gift cards. Payment processor advances are recorded within other current assets in our consolidated balance sheet. Other accounts are used to collect and remit in</w:t>
      </w:r>
      <w:r>
        <w:rPr>
          <w:rFonts w:ascii="Arial" w:eastAsia="宋体" w:hAnsi="Arial" w:cs="Arial"/>
          <w:color w:val="000000"/>
          <w:sz w:val="20"/>
          <w:szCs w:val="20"/>
        </w:rPr>
        <w:t>direct taxes from the buyer to the local tax authorities and to transfer shipping label proceeds from the seller to the relevant shipping service providers. Generally, changes in balances that impact the determination of net income, such as payment process</w:t>
      </w:r>
      <w:r>
        <w:rPr>
          <w:rFonts w:ascii="Arial" w:eastAsia="宋体" w:hAnsi="Arial" w:cs="Arial"/>
          <w:color w:val="000000"/>
          <w:sz w:val="20"/>
          <w:szCs w:val="20"/>
        </w:rPr>
        <w:t>or fees and incentives are presented within operating activities in our consolidated statement of cash flows. Changes in balances that pertain solely to payment intermediation activities (e.g. seller pay-out services) are presented within financing activit</w:t>
      </w:r>
      <w:r>
        <w:rPr>
          <w:rFonts w:ascii="Arial" w:eastAsia="宋体" w:hAnsi="Arial" w:cs="Arial"/>
          <w:color w:val="000000"/>
          <w:sz w:val="20"/>
          <w:szCs w:val="20"/>
        </w:rPr>
        <w:t>ies in our consolidated statement of cash flows.</w:t>
      </w:r>
    </w:p>
    <w:p w14:paraId="22CFB7B4" w14:textId="77777777" w:rsidR="002661BA" w:rsidRDefault="002661BA">
      <w:pPr>
        <w:ind w:firstLine="540"/>
        <w:jc w:val="both"/>
      </w:pPr>
    </w:p>
    <w:p w14:paraId="22CFB7B5" w14:textId="77777777" w:rsidR="002661BA" w:rsidRDefault="00D972BC">
      <w:pPr>
        <w:ind w:firstLine="270"/>
      </w:pPr>
      <w:r>
        <w:rPr>
          <w:rFonts w:ascii="Arial" w:eastAsia="宋体" w:hAnsi="Arial" w:cs="Arial"/>
          <w:b/>
          <w:bCs/>
          <w:i/>
          <w:iCs/>
          <w:color w:val="000000"/>
          <w:sz w:val="20"/>
          <w:szCs w:val="20"/>
        </w:rPr>
        <w:t>Customer accounts and funds payable</w:t>
      </w:r>
    </w:p>
    <w:p w14:paraId="22CFB7B6" w14:textId="77777777" w:rsidR="002661BA" w:rsidRDefault="002661BA">
      <w:pPr>
        <w:ind w:firstLine="270"/>
        <w:jc w:val="both"/>
      </w:pPr>
    </w:p>
    <w:p w14:paraId="22CFB7B7" w14:textId="77777777" w:rsidR="002661BA" w:rsidRDefault="00D972BC">
      <w:pPr>
        <w:ind w:firstLine="540"/>
        <w:jc w:val="both"/>
      </w:pPr>
      <w:r>
        <w:rPr>
          <w:rFonts w:ascii="Arial" w:eastAsia="宋体" w:hAnsi="Arial" w:cs="Arial"/>
          <w:color w:val="000000"/>
          <w:sz w:val="20"/>
          <w:szCs w:val="20"/>
        </w:rPr>
        <w:t>These balances primarily represent the Company’s liability towards its customers to settle the funds from the completed transactions on the platform associated with mark</w:t>
      </w:r>
      <w:r>
        <w:rPr>
          <w:rFonts w:ascii="Arial" w:eastAsia="宋体" w:hAnsi="Arial" w:cs="Arial"/>
          <w:color w:val="000000"/>
          <w:sz w:val="20"/>
          <w:szCs w:val="20"/>
        </w:rPr>
        <w:t>etplace activity.</w:t>
      </w:r>
    </w:p>
    <w:p w14:paraId="22CFB7B8" w14:textId="77777777" w:rsidR="002661BA" w:rsidRDefault="002661BA">
      <w:pPr>
        <w:ind w:firstLine="540"/>
        <w:jc w:val="both"/>
      </w:pPr>
    </w:p>
    <w:p w14:paraId="22CFB7B9" w14:textId="77777777" w:rsidR="002661BA" w:rsidRDefault="00D972BC">
      <w:pPr>
        <w:jc w:val="both"/>
      </w:pPr>
      <w:r>
        <w:rPr>
          <w:rFonts w:ascii="Arial" w:eastAsia="宋体" w:hAnsi="Arial" w:cs="Arial"/>
          <w:b/>
          <w:bCs/>
          <w:i/>
          <w:iCs/>
          <w:color w:val="000000"/>
          <w:sz w:val="20"/>
          <w:szCs w:val="20"/>
        </w:rPr>
        <w:t>Income taxes</w:t>
      </w:r>
    </w:p>
    <w:p w14:paraId="22CFB7BA" w14:textId="77777777" w:rsidR="002661BA" w:rsidRDefault="002661BA">
      <w:pPr>
        <w:ind w:firstLine="540"/>
        <w:jc w:val="both"/>
      </w:pPr>
    </w:p>
    <w:p w14:paraId="22CFB7BB" w14:textId="77777777" w:rsidR="002661BA" w:rsidRDefault="00D972BC">
      <w:pPr>
        <w:ind w:firstLine="540"/>
        <w:jc w:val="both"/>
      </w:pPr>
      <w:r>
        <w:rPr>
          <w:rFonts w:ascii="Arial" w:eastAsia="宋体" w:hAnsi="Arial" w:cs="Arial"/>
          <w:color w:val="000000"/>
          <w:sz w:val="20"/>
          <w:szCs w:val="20"/>
        </w:rPr>
        <w:t xml:space="preserve">Significant judgment is required in determining our tax expense and in evaluating our tax positions, including evaluating uncertainties and the complexity of taxes on foreign earnings. We review our tax positions quarterly </w:t>
      </w:r>
      <w:r>
        <w:rPr>
          <w:rFonts w:ascii="Arial" w:eastAsia="宋体" w:hAnsi="Arial" w:cs="Arial"/>
          <w:color w:val="000000"/>
          <w:sz w:val="20"/>
          <w:szCs w:val="20"/>
        </w:rPr>
        <w:t>and adjust the balances as new information becomes available. Tax positions are evaluated for potential reserves for uncertainty based on the estimated probability of sustaining the position under examination. Our income tax rate is affected by the tax rat</w:t>
      </w:r>
      <w:r>
        <w:rPr>
          <w:rFonts w:ascii="Arial" w:eastAsia="宋体" w:hAnsi="Arial" w:cs="Arial"/>
          <w:color w:val="000000"/>
          <w:sz w:val="20"/>
          <w:szCs w:val="20"/>
        </w:rPr>
        <w:t xml:space="preserve">es that apply to our foreign earnings including U.S. minimum taxes on foreign earnings. The deferred tax benefit derived from the amortization of our intellectual property is based on the fair value, which has been agreed with foreign tax authorities. The </w:t>
      </w:r>
      <w:r>
        <w:rPr>
          <w:rFonts w:ascii="Arial" w:eastAsia="宋体" w:hAnsi="Arial" w:cs="Arial"/>
          <w:color w:val="000000"/>
          <w:sz w:val="20"/>
          <w:szCs w:val="20"/>
        </w:rPr>
        <w:t>deferred tax benefit may from time to time change based on changes in tax rates. </w:t>
      </w:r>
    </w:p>
    <w:p w14:paraId="22CFB7BC" w14:textId="77777777" w:rsidR="002661BA" w:rsidRDefault="002661BA">
      <w:pPr>
        <w:ind w:firstLine="540"/>
        <w:jc w:val="both"/>
      </w:pPr>
    </w:p>
    <w:p w14:paraId="22CFB7BD" w14:textId="77777777" w:rsidR="002661BA" w:rsidRDefault="00D972BC">
      <w:pPr>
        <w:ind w:firstLine="540"/>
        <w:jc w:val="both"/>
      </w:pPr>
      <w:r>
        <w:rPr>
          <w:rFonts w:ascii="Arial" w:eastAsia="宋体" w:hAnsi="Arial" w:cs="Arial"/>
          <w:color w:val="000000"/>
          <w:sz w:val="20"/>
          <w:szCs w:val="20"/>
        </w:rPr>
        <w:t>We account for income taxes using an asset and liability approach, which requires the recognition of taxes payable or refundable for the current year and deferred tax liabil</w:t>
      </w:r>
      <w:r>
        <w:rPr>
          <w:rFonts w:ascii="Arial" w:eastAsia="宋体" w:hAnsi="Arial" w:cs="Arial"/>
          <w:color w:val="000000"/>
          <w:sz w:val="20"/>
          <w:szCs w:val="20"/>
        </w:rPr>
        <w:t>ities and assets for the future tax consequences of events that have been recognized in our financial statements or tax returns. The measurement of current and deferred tax assets and liabilities is based on provisions of enacted tax laws; the effects of f</w:t>
      </w:r>
      <w:r>
        <w:rPr>
          <w:rFonts w:ascii="Arial" w:eastAsia="宋体" w:hAnsi="Arial" w:cs="Arial"/>
          <w:color w:val="000000"/>
          <w:sz w:val="20"/>
          <w:szCs w:val="20"/>
        </w:rPr>
        <w:t xml:space="preserve">uture changes in tax laws or rates are not anticipated. If necessary, the measurement of deferred tax assets is reduced by the amount of any tax benefits that are not expected to be realized based on available evidence. </w:t>
      </w:r>
    </w:p>
    <w:p w14:paraId="22CFB7BE" w14:textId="77777777" w:rsidR="002661BA" w:rsidRDefault="002661BA">
      <w:pPr>
        <w:ind w:firstLine="495"/>
        <w:jc w:val="both"/>
      </w:pPr>
    </w:p>
    <w:p w14:paraId="22CFB7BF" w14:textId="77777777" w:rsidR="002661BA" w:rsidRDefault="00D972BC">
      <w:pPr>
        <w:ind w:firstLine="540"/>
        <w:jc w:val="both"/>
      </w:pPr>
      <w:r>
        <w:rPr>
          <w:rFonts w:ascii="Arial" w:eastAsia="宋体" w:hAnsi="Arial" w:cs="Arial"/>
          <w:color w:val="000000"/>
          <w:sz w:val="20"/>
          <w:szCs w:val="20"/>
        </w:rPr>
        <w:t>We report a liability for unrecogn</w:t>
      </w:r>
      <w:r>
        <w:rPr>
          <w:rFonts w:ascii="Arial" w:eastAsia="宋体" w:hAnsi="Arial" w:cs="Arial"/>
          <w:color w:val="000000"/>
          <w:sz w:val="20"/>
          <w:szCs w:val="20"/>
        </w:rPr>
        <w:t xml:space="preserve">ized tax benefits resulting from uncertain tax positions taken or expected to be taken in a tax return. We recognize interest and penalties, if any, related to unrecognized tax benefits in income tax expense. </w:t>
      </w:r>
    </w:p>
    <w:p w14:paraId="22CFB7C0" w14:textId="77777777" w:rsidR="002661BA" w:rsidRDefault="002661BA">
      <w:pPr>
        <w:ind w:firstLine="450"/>
        <w:jc w:val="both"/>
      </w:pPr>
    </w:p>
    <w:p w14:paraId="22CFB7C1" w14:textId="77777777" w:rsidR="002661BA" w:rsidRDefault="002661BA"/>
    <w:p w14:paraId="22CFB7C2" w14:textId="77777777" w:rsidR="002661BA" w:rsidRDefault="00D972BC">
      <w:pPr>
        <w:jc w:val="center"/>
      </w:pPr>
      <w:r>
        <w:rPr>
          <w:rFonts w:ascii="Arial" w:eastAsia="宋体" w:hAnsi="Arial" w:cs="Arial"/>
          <w:color w:val="000000"/>
          <w:sz w:val="18"/>
          <w:szCs w:val="18"/>
        </w:rPr>
        <w:t>67</w:t>
      </w:r>
    </w:p>
    <w:p w14:paraId="22CFB7C3" w14:textId="77777777" w:rsidR="002661BA" w:rsidRDefault="00D972BC">
      <w:r>
        <w:pict w14:anchorId="22CFE4F4">
          <v:rect id="_x0000_i1091" style="width:415.3pt;height:1.5pt" o:hralign="center" o:hrstd="t" o:hr="t" fillcolor="#a0a0a0" stroked="f"/>
        </w:pict>
      </w:r>
    </w:p>
    <w:p w14:paraId="22CFB7C4" w14:textId="77777777" w:rsidR="002661BA" w:rsidRDefault="00D972BC">
      <w:hyperlink r:id="rId102" w:anchor="id0d7a71b05ce452ea9fdb54f3cb359c7_7" w:history="1">
        <w:r>
          <w:rPr>
            <w:rStyle w:val="a5"/>
            <w:rFonts w:ascii="Arial" w:eastAsia="宋体" w:hAnsi="Arial" w:cs="Arial"/>
            <w:sz w:val="18"/>
            <w:szCs w:val="18"/>
          </w:rPr>
          <w:t>Table of Contents</w:t>
        </w:r>
      </w:hyperlink>
    </w:p>
    <w:p w14:paraId="22CFB7C5" w14:textId="77777777" w:rsidR="002661BA" w:rsidRDefault="00D972BC">
      <w:pPr>
        <w:jc w:val="center"/>
      </w:pPr>
      <w:r>
        <w:rPr>
          <w:rFonts w:ascii="Arial" w:eastAsia="宋体" w:hAnsi="Arial" w:cs="Arial"/>
          <w:b/>
          <w:bCs/>
          <w:color w:val="000000"/>
          <w:sz w:val="20"/>
          <w:szCs w:val="20"/>
        </w:rPr>
        <w:t>eBay Inc.</w:t>
      </w:r>
    </w:p>
    <w:p w14:paraId="22CFB7C6" w14:textId="77777777" w:rsidR="002661BA" w:rsidRDefault="00D972BC">
      <w:pPr>
        <w:spacing w:before="80"/>
        <w:jc w:val="center"/>
      </w:pPr>
      <w:r>
        <w:rPr>
          <w:rFonts w:ascii="Arial" w:eastAsia="宋体" w:hAnsi="Arial" w:cs="Arial"/>
          <w:b/>
          <w:bCs/>
          <w:color w:val="000000"/>
          <w:sz w:val="20"/>
          <w:szCs w:val="20"/>
        </w:rPr>
        <w:t xml:space="preserve">NOTES TO CONSOLIDATED FINANCIAL </w:t>
      </w:r>
      <w:r>
        <w:rPr>
          <w:rFonts w:ascii="Arial" w:eastAsia="宋体" w:hAnsi="Arial" w:cs="Arial"/>
          <w:b/>
          <w:bCs/>
          <w:color w:val="000000"/>
          <w:sz w:val="20"/>
          <w:szCs w:val="20"/>
        </w:rPr>
        <w:t>STATEMENTS—(Continued)</w:t>
      </w:r>
    </w:p>
    <w:p w14:paraId="22CFB7C7" w14:textId="77777777" w:rsidR="002661BA" w:rsidRDefault="00D972BC">
      <w:r>
        <w:rPr>
          <w:rFonts w:ascii="Arial" w:eastAsia="宋体" w:hAnsi="Arial" w:cs="Arial"/>
          <w:b/>
          <w:bCs/>
          <w:i/>
          <w:iCs/>
          <w:color w:val="000000"/>
          <w:sz w:val="20"/>
          <w:szCs w:val="20"/>
        </w:rPr>
        <w:t>Cash, cash equivalents and restricted cash</w:t>
      </w:r>
    </w:p>
    <w:p w14:paraId="22CFB7C8" w14:textId="77777777" w:rsidR="002661BA" w:rsidRDefault="002661BA">
      <w:pPr>
        <w:ind w:firstLine="495"/>
        <w:jc w:val="both"/>
      </w:pPr>
    </w:p>
    <w:p w14:paraId="22CFB7C9" w14:textId="77777777" w:rsidR="002661BA" w:rsidRDefault="00D972BC">
      <w:pPr>
        <w:ind w:firstLine="540"/>
        <w:jc w:val="both"/>
      </w:pPr>
      <w:r>
        <w:rPr>
          <w:rFonts w:ascii="Arial" w:eastAsia="宋体" w:hAnsi="Arial" w:cs="Arial"/>
          <w:color w:val="000000"/>
          <w:sz w:val="20"/>
          <w:szCs w:val="20"/>
        </w:rPr>
        <w:t>Cash and cash equivalents are short-term, highly liquid investments with original maturities of three months or less when purchased, which may include bank deposits, U.S. Treasury securitie</w:t>
      </w:r>
      <w:r>
        <w:rPr>
          <w:rFonts w:ascii="Arial" w:eastAsia="宋体" w:hAnsi="Arial" w:cs="Arial"/>
          <w:color w:val="000000"/>
          <w:sz w:val="20"/>
          <w:szCs w:val="20"/>
        </w:rPr>
        <w:t xml:space="preserve">s, time deposits, and certificates of deposit. </w:t>
      </w:r>
    </w:p>
    <w:p w14:paraId="22CFB7CA" w14:textId="77777777" w:rsidR="002661BA" w:rsidRDefault="002661BA">
      <w:pPr>
        <w:ind w:firstLine="540"/>
        <w:jc w:val="both"/>
      </w:pPr>
    </w:p>
    <w:p w14:paraId="22CFB7CB" w14:textId="77777777" w:rsidR="002661BA" w:rsidRDefault="00D972BC">
      <w:pPr>
        <w:ind w:firstLine="540"/>
        <w:jc w:val="both"/>
      </w:pPr>
      <w:r>
        <w:rPr>
          <w:rFonts w:ascii="Arial" w:eastAsia="宋体" w:hAnsi="Arial" w:cs="Arial"/>
          <w:color w:val="000000"/>
          <w:sz w:val="20"/>
          <w:szCs w:val="20"/>
        </w:rPr>
        <w:t>We consider cash to be restricted when withdrawal or general use is legally restricted. Our restricted cash balance is primarily comprised of cash on deposit with banks restricted to safeguard seller payable</w:t>
      </w:r>
      <w:r>
        <w:rPr>
          <w:rFonts w:ascii="Arial" w:eastAsia="宋体" w:hAnsi="Arial" w:cs="Arial"/>
          <w:color w:val="000000"/>
          <w:sz w:val="20"/>
          <w:szCs w:val="20"/>
        </w:rPr>
        <w:t>s.</w:t>
      </w:r>
    </w:p>
    <w:p w14:paraId="22CFB7CC" w14:textId="77777777" w:rsidR="002661BA" w:rsidRDefault="002661BA">
      <w:pPr>
        <w:ind w:firstLine="450"/>
        <w:jc w:val="both"/>
      </w:pPr>
    </w:p>
    <w:p w14:paraId="22CFB7CD" w14:textId="77777777" w:rsidR="002661BA" w:rsidRDefault="00D972BC">
      <w:pPr>
        <w:ind w:firstLine="270"/>
        <w:jc w:val="both"/>
      </w:pPr>
      <w:r>
        <w:rPr>
          <w:rFonts w:ascii="Arial" w:eastAsia="宋体" w:hAnsi="Arial" w:cs="Arial"/>
          <w:b/>
          <w:bCs/>
          <w:i/>
          <w:iCs/>
          <w:color w:val="000000"/>
          <w:sz w:val="20"/>
          <w:szCs w:val="20"/>
        </w:rPr>
        <w:t>Investments</w:t>
      </w:r>
    </w:p>
    <w:p w14:paraId="22CFB7CE" w14:textId="77777777" w:rsidR="002661BA" w:rsidRDefault="002661BA">
      <w:pPr>
        <w:ind w:firstLine="270"/>
        <w:jc w:val="both"/>
      </w:pPr>
    </w:p>
    <w:p w14:paraId="22CFB7CF" w14:textId="77777777" w:rsidR="002661BA" w:rsidRDefault="00D972BC">
      <w:pPr>
        <w:ind w:firstLine="540"/>
        <w:jc w:val="both"/>
      </w:pPr>
      <w:r>
        <w:rPr>
          <w:rFonts w:ascii="Arial" w:eastAsia="宋体" w:hAnsi="Arial" w:cs="Arial"/>
          <w:color w:val="000000"/>
          <w:sz w:val="20"/>
          <w:szCs w:val="20"/>
        </w:rPr>
        <w:t>Short-term investments are primarily comprised of corporate debt securities, commercial paper and government and agency securities. Short-term investments are investments with original maturities of less than one year when purchased, are c</w:t>
      </w:r>
      <w:r>
        <w:rPr>
          <w:rFonts w:ascii="Arial" w:eastAsia="宋体" w:hAnsi="Arial" w:cs="Arial"/>
          <w:color w:val="000000"/>
          <w:sz w:val="20"/>
          <w:szCs w:val="20"/>
        </w:rPr>
        <w:t xml:space="preserve">lassified as available-for-sale and are reported at fair value using the specific identification method. Short-term investments also include equity securities with readily determinable fair values that can be sold in active markets. </w:t>
      </w:r>
    </w:p>
    <w:p w14:paraId="22CFB7D0" w14:textId="77777777" w:rsidR="002661BA" w:rsidRDefault="002661BA">
      <w:pPr>
        <w:ind w:firstLine="540"/>
        <w:jc w:val="both"/>
      </w:pPr>
    </w:p>
    <w:p w14:paraId="22CFB7D1" w14:textId="77777777" w:rsidR="002661BA" w:rsidRDefault="00D972BC">
      <w:pPr>
        <w:ind w:firstLine="540"/>
        <w:jc w:val="both"/>
      </w:pPr>
      <w:r>
        <w:rPr>
          <w:rFonts w:ascii="Arial" w:eastAsia="宋体" w:hAnsi="Arial" w:cs="Arial"/>
          <w:color w:val="000000"/>
          <w:sz w:val="20"/>
          <w:szCs w:val="20"/>
        </w:rPr>
        <w:t>Long-term investments</w:t>
      </w:r>
      <w:r>
        <w:rPr>
          <w:rFonts w:ascii="Arial" w:eastAsia="宋体" w:hAnsi="Arial" w:cs="Arial"/>
          <w:color w:val="000000"/>
          <w:sz w:val="20"/>
          <w:szCs w:val="20"/>
        </w:rPr>
        <w:t xml:space="preserve"> are primarily comprised of corporate debt securities, government and agency securities, equity investment under the fair value option, equity investments under the equity method of accounting and equity investments without readily determinable fair values</w:t>
      </w:r>
      <w:r>
        <w:rPr>
          <w:rFonts w:ascii="Arial" w:eastAsia="宋体" w:hAnsi="Arial" w:cs="Arial"/>
          <w:color w:val="000000"/>
          <w:sz w:val="20"/>
          <w:szCs w:val="20"/>
        </w:rPr>
        <w:t xml:space="preserve">. Debt securities are classified as available-for-sale and are reported at fair value using the specific identification method. </w:t>
      </w:r>
    </w:p>
    <w:p w14:paraId="22CFB7D2" w14:textId="77777777" w:rsidR="002661BA" w:rsidRDefault="002661BA">
      <w:pPr>
        <w:ind w:firstLine="540"/>
        <w:jc w:val="both"/>
      </w:pPr>
    </w:p>
    <w:p w14:paraId="22CFB7D3" w14:textId="77777777" w:rsidR="002661BA" w:rsidRDefault="00D972BC">
      <w:pPr>
        <w:ind w:firstLine="540"/>
        <w:jc w:val="both"/>
      </w:pPr>
      <w:r>
        <w:rPr>
          <w:rFonts w:ascii="Arial" w:eastAsia="宋体" w:hAnsi="Arial" w:cs="Arial"/>
          <w:color w:val="000000"/>
          <w:sz w:val="20"/>
          <w:szCs w:val="20"/>
        </w:rPr>
        <w:t>Unrealized gains and losses on our available-for-sale debt securities are excluded from earnings and reported as a component o</w:t>
      </w:r>
      <w:r>
        <w:rPr>
          <w:rFonts w:ascii="Arial" w:eastAsia="宋体" w:hAnsi="Arial" w:cs="Arial"/>
          <w:color w:val="000000"/>
          <w:sz w:val="20"/>
          <w:szCs w:val="20"/>
        </w:rPr>
        <w:t xml:space="preserve">f other comprehensive income (loss), net of related estimated income tax provisions or benefits. </w:t>
      </w:r>
      <w:r>
        <w:rPr>
          <w:rFonts w:ascii="Arial" w:eastAsia="宋体" w:hAnsi="Arial" w:cs="Arial"/>
          <w:color w:val="222222"/>
          <w:sz w:val="20"/>
          <w:szCs w:val="20"/>
        </w:rPr>
        <w:t>We periodically assess our portfolio of debt investments for impairment. For debt securities in an unrealized loss position, this assessment first takes into a</w:t>
      </w:r>
      <w:r>
        <w:rPr>
          <w:rFonts w:ascii="Arial" w:eastAsia="宋体" w:hAnsi="Arial" w:cs="Arial"/>
          <w:color w:val="222222"/>
          <w:sz w:val="20"/>
          <w:szCs w:val="20"/>
        </w:rPr>
        <w:t>ccount our intent to sell, or whether it is more likely than not that we will be required to sell the security before recovery of its amortized cost basis. If either of these criteria are met, the debt security’s amortized cost basis is written down to fai</w:t>
      </w:r>
      <w:r>
        <w:rPr>
          <w:rFonts w:ascii="Arial" w:eastAsia="宋体" w:hAnsi="Arial" w:cs="Arial"/>
          <w:color w:val="222222"/>
          <w:sz w:val="20"/>
          <w:szCs w:val="20"/>
        </w:rPr>
        <w:t>r value through interest and other, net. For debt securities in an unrealized loss position that do not meet the aforementioned criteria, we assess whether the decline in fair value has resulted from credit losses or other factors. In making this assessmen</w:t>
      </w:r>
      <w:r>
        <w:rPr>
          <w:rFonts w:ascii="Arial" w:eastAsia="宋体" w:hAnsi="Arial" w:cs="Arial"/>
          <w:color w:val="222222"/>
          <w:sz w:val="20"/>
          <w:szCs w:val="20"/>
        </w:rPr>
        <w:t>t, we consider the extent to which fair value is less than amortized cost, any changes to the rating of the security by a rating agency, and any adverse conditions specifically related to the security, among other factors. If this assessment indicates that</w:t>
      </w:r>
      <w:r>
        <w:rPr>
          <w:rFonts w:ascii="Arial" w:eastAsia="宋体" w:hAnsi="Arial" w:cs="Arial"/>
          <w:color w:val="222222"/>
          <w:sz w:val="20"/>
          <w:szCs w:val="20"/>
        </w:rPr>
        <w:t xml:space="preserve"> a credit loss may exist, the present value of cash flows expected to be collected from the security are compared to the amortized cost basis of the security. If the present value of cash flows expected to be collected is less than the amortized cost basis</w:t>
      </w:r>
      <w:r>
        <w:rPr>
          <w:rFonts w:ascii="Arial" w:eastAsia="宋体" w:hAnsi="Arial" w:cs="Arial"/>
          <w:color w:val="222222"/>
          <w:sz w:val="20"/>
          <w:szCs w:val="20"/>
        </w:rPr>
        <w:t>, a credit loss exists and an allowance for credit losses will be recorded through interest and other, net, limited by the amount that the fair value is less than the amortized cost basis. Any additional impairment not recorded through an allowance for cre</w:t>
      </w:r>
      <w:r>
        <w:rPr>
          <w:rFonts w:ascii="Arial" w:eastAsia="宋体" w:hAnsi="Arial" w:cs="Arial"/>
          <w:color w:val="222222"/>
          <w:sz w:val="20"/>
          <w:szCs w:val="20"/>
        </w:rPr>
        <w:t>dit losses is recognized in other comprehensive income. Changes in the allowance for credit losses are recorded as provision for (or reversal of) credit loss expense. Losses are charged against the allowance when management believes the uncollectability of</w:t>
      </w:r>
      <w:r>
        <w:rPr>
          <w:rFonts w:ascii="Arial" w:eastAsia="宋体" w:hAnsi="Arial" w:cs="Arial"/>
          <w:color w:val="222222"/>
          <w:sz w:val="20"/>
          <w:szCs w:val="20"/>
        </w:rPr>
        <w:t xml:space="preserve"> an available-for-sale security is confirmed or when either of the criteria regarding intent or requirement to sell is met. These changes are recorded in gain (loss) on equity investments and warrant, net.</w:t>
      </w:r>
    </w:p>
    <w:p w14:paraId="22CFB7D4" w14:textId="77777777" w:rsidR="002661BA" w:rsidRDefault="002661BA">
      <w:pPr>
        <w:ind w:firstLine="540"/>
        <w:jc w:val="both"/>
      </w:pPr>
    </w:p>
    <w:p w14:paraId="22CFB7D5" w14:textId="77777777" w:rsidR="002661BA" w:rsidRDefault="00D972BC">
      <w:pPr>
        <w:ind w:firstLine="540"/>
        <w:jc w:val="both"/>
      </w:pPr>
      <w:r>
        <w:rPr>
          <w:rFonts w:ascii="Arial" w:eastAsia="宋体" w:hAnsi="Arial" w:cs="Arial"/>
          <w:color w:val="000000"/>
          <w:sz w:val="20"/>
          <w:szCs w:val="20"/>
        </w:rPr>
        <w:t>Our equity investments include equity investments</w:t>
      </w:r>
      <w:r>
        <w:rPr>
          <w:rFonts w:ascii="Arial" w:eastAsia="宋体" w:hAnsi="Arial" w:cs="Arial"/>
          <w:color w:val="000000"/>
          <w:sz w:val="20"/>
          <w:szCs w:val="20"/>
        </w:rPr>
        <w:t xml:space="preserve"> with readily determinable fair values, equity investments without readily determinable fair values and equity investments under the equity method of accounting, including those in which the fair value option has been elected. Our equity investment in Adev</w:t>
      </w:r>
      <w:r>
        <w:rPr>
          <w:rFonts w:ascii="Arial" w:eastAsia="宋体" w:hAnsi="Arial" w:cs="Arial"/>
          <w:color w:val="000000"/>
          <w:sz w:val="20"/>
          <w:szCs w:val="20"/>
        </w:rPr>
        <w:t xml:space="preserve">inta is described in a separate section under “Equity investment in Adevinta” in this Note. </w:t>
      </w:r>
    </w:p>
    <w:p w14:paraId="22CFB7D6" w14:textId="77777777" w:rsidR="002661BA" w:rsidRDefault="002661BA">
      <w:pPr>
        <w:ind w:firstLine="540"/>
        <w:jc w:val="both"/>
      </w:pPr>
    </w:p>
    <w:p w14:paraId="22CFB7D7" w14:textId="77777777" w:rsidR="002661BA" w:rsidRDefault="00D972BC">
      <w:pPr>
        <w:ind w:firstLine="540"/>
        <w:jc w:val="both"/>
      </w:pPr>
      <w:r>
        <w:rPr>
          <w:rFonts w:ascii="Arial" w:eastAsia="宋体" w:hAnsi="Arial" w:cs="Arial"/>
          <w:color w:val="000000"/>
          <w:sz w:val="20"/>
          <w:szCs w:val="20"/>
        </w:rPr>
        <w:t>Equity investments with readily determinable fair values are investments in publicly-traded companies for which we do not exercise significant influence and are m</w:t>
      </w:r>
      <w:r>
        <w:rPr>
          <w:rFonts w:ascii="Arial" w:eastAsia="宋体" w:hAnsi="Arial" w:cs="Arial"/>
          <w:color w:val="000000"/>
          <w:sz w:val="20"/>
          <w:szCs w:val="20"/>
        </w:rPr>
        <w:t>easured at fair value based on the respective closing stock price and prevailing foreign exchange rate, as applicable, at the period end date. Equity investments with readily determinable fair values are classified within Level 1 in the fair value hierarch</w:t>
      </w:r>
      <w:r>
        <w:rPr>
          <w:rFonts w:ascii="Arial" w:eastAsia="宋体" w:hAnsi="Arial" w:cs="Arial"/>
          <w:color w:val="000000"/>
          <w:sz w:val="20"/>
          <w:szCs w:val="20"/>
        </w:rPr>
        <w:t xml:space="preserve">y as the valuation can be obtained from real time quotes in active markets. Subsequent changes in fair value are recognized in </w:t>
      </w:r>
      <w:r>
        <w:rPr>
          <w:rFonts w:ascii="Arial" w:eastAsia="宋体" w:hAnsi="Arial" w:cs="Arial"/>
          <w:color w:val="222222"/>
          <w:sz w:val="20"/>
          <w:szCs w:val="20"/>
        </w:rPr>
        <w:t>gain (loss) on equity investments and warrant</w:t>
      </w:r>
      <w:r>
        <w:rPr>
          <w:rFonts w:ascii="Arial" w:eastAsia="宋体" w:hAnsi="Arial" w:cs="Arial"/>
          <w:color w:val="000000"/>
          <w:sz w:val="20"/>
          <w:szCs w:val="20"/>
        </w:rPr>
        <w:t>, net.</w:t>
      </w:r>
    </w:p>
    <w:p w14:paraId="22CFB7D8" w14:textId="77777777" w:rsidR="002661BA" w:rsidRDefault="002661BA">
      <w:pPr>
        <w:ind w:firstLine="540"/>
        <w:jc w:val="both"/>
      </w:pPr>
    </w:p>
    <w:p w14:paraId="22CFB7D9" w14:textId="77777777" w:rsidR="002661BA" w:rsidRDefault="00D972BC">
      <w:pPr>
        <w:ind w:firstLine="540"/>
        <w:jc w:val="both"/>
      </w:pPr>
      <w:r>
        <w:rPr>
          <w:rFonts w:ascii="Arial" w:eastAsia="宋体" w:hAnsi="Arial" w:cs="Arial"/>
          <w:color w:val="222222"/>
          <w:sz w:val="20"/>
          <w:szCs w:val="20"/>
        </w:rPr>
        <w:t xml:space="preserve">Equity investments </w:t>
      </w:r>
      <w:r>
        <w:rPr>
          <w:rFonts w:ascii="Arial" w:eastAsia="宋体" w:hAnsi="Arial" w:cs="Arial"/>
          <w:color w:val="000000"/>
          <w:sz w:val="20"/>
          <w:szCs w:val="20"/>
        </w:rPr>
        <w:t xml:space="preserve">without readily determinable fair values </w:t>
      </w:r>
      <w:r>
        <w:rPr>
          <w:rFonts w:ascii="Arial" w:eastAsia="宋体" w:hAnsi="Arial" w:cs="Arial"/>
          <w:color w:val="222222"/>
          <w:sz w:val="20"/>
          <w:szCs w:val="20"/>
        </w:rPr>
        <w:t>are non-marketable equity securities, which are investments in privately-held companies for which we do not exercise significant influence and are accounted for under the measurement alternative. Under the measureme</w:t>
      </w:r>
      <w:r>
        <w:rPr>
          <w:rFonts w:ascii="Arial" w:eastAsia="宋体" w:hAnsi="Arial" w:cs="Arial"/>
          <w:color w:val="222222"/>
          <w:sz w:val="20"/>
          <w:szCs w:val="20"/>
        </w:rPr>
        <w:t xml:space="preserve">nt alternative, the carrying value is measured at cost </w:t>
      </w:r>
    </w:p>
    <w:p w14:paraId="22CFB7DA" w14:textId="77777777" w:rsidR="002661BA" w:rsidRDefault="00D972BC">
      <w:pPr>
        <w:jc w:val="center"/>
      </w:pPr>
      <w:r>
        <w:rPr>
          <w:rFonts w:ascii="Arial" w:eastAsia="宋体" w:hAnsi="Arial" w:cs="Arial"/>
          <w:color w:val="000000"/>
          <w:sz w:val="18"/>
          <w:szCs w:val="18"/>
        </w:rPr>
        <w:t>68</w:t>
      </w:r>
    </w:p>
    <w:p w14:paraId="22CFB7DB" w14:textId="77777777" w:rsidR="002661BA" w:rsidRDefault="00D972BC">
      <w:r>
        <w:pict w14:anchorId="22CFE4F5">
          <v:rect id="_x0000_i1092" style="width:415.3pt;height:1.5pt" o:hralign="center" o:hrstd="t" o:hr="t" fillcolor="#a0a0a0" stroked="f"/>
        </w:pict>
      </w:r>
    </w:p>
    <w:p w14:paraId="22CFB7DC" w14:textId="77777777" w:rsidR="002661BA" w:rsidRDefault="00D972BC">
      <w:hyperlink r:id="rId103" w:anchor="id0d7a71b05ce452ea9fdb54f3cb359c7_7" w:history="1">
        <w:r>
          <w:rPr>
            <w:rStyle w:val="a5"/>
            <w:rFonts w:ascii="Arial" w:eastAsia="宋体" w:hAnsi="Arial" w:cs="Arial"/>
            <w:sz w:val="18"/>
            <w:szCs w:val="18"/>
          </w:rPr>
          <w:t>Table of Contents</w:t>
        </w:r>
      </w:hyperlink>
    </w:p>
    <w:p w14:paraId="22CFB7DD" w14:textId="77777777" w:rsidR="002661BA" w:rsidRDefault="00D972BC">
      <w:pPr>
        <w:jc w:val="center"/>
      </w:pPr>
      <w:r>
        <w:rPr>
          <w:rFonts w:ascii="Arial" w:eastAsia="宋体" w:hAnsi="Arial" w:cs="Arial"/>
          <w:b/>
          <w:bCs/>
          <w:color w:val="000000"/>
          <w:sz w:val="20"/>
          <w:szCs w:val="20"/>
        </w:rPr>
        <w:t>eBay Inc.</w:t>
      </w:r>
    </w:p>
    <w:p w14:paraId="22CFB7DE" w14:textId="77777777" w:rsidR="002661BA" w:rsidRDefault="00D972BC">
      <w:pPr>
        <w:spacing w:before="80"/>
        <w:jc w:val="center"/>
      </w:pPr>
      <w:r>
        <w:rPr>
          <w:rFonts w:ascii="Arial" w:eastAsia="宋体" w:hAnsi="Arial" w:cs="Arial"/>
          <w:b/>
          <w:bCs/>
          <w:color w:val="000000"/>
          <w:sz w:val="20"/>
          <w:szCs w:val="20"/>
        </w:rPr>
        <w:t xml:space="preserve">NOTES TO </w:t>
      </w:r>
      <w:r>
        <w:rPr>
          <w:rFonts w:ascii="Arial" w:eastAsia="宋体" w:hAnsi="Arial" w:cs="Arial"/>
          <w:b/>
          <w:bCs/>
          <w:color w:val="000000"/>
          <w:sz w:val="20"/>
          <w:szCs w:val="20"/>
        </w:rPr>
        <w:t>CONSOLIDATED FINANCIAL STATEMENTS—(Continued)</w:t>
      </w:r>
    </w:p>
    <w:p w14:paraId="22CFB7DF" w14:textId="77777777" w:rsidR="002661BA" w:rsidRDefault="00D972BC">
      <w:pPr>
        <w:jc w:val="both"/>
      </w:pPr>
      <w:r>
        <w:rPr>
          <w:rFonts w:ascii="Arial" w:eastAsia="宋体" w:hAnsi="Arial" w:cs="Arial"/>
          <w:color w:val="222222"/>
          <w:sz w:val="20"/>
          <w:szCs w:val="20"/>
        </w:rPr>
        <w:t xml:space="preserve">minus impairment, if any, plus or minus changes resulting from observable price changes in orderly transactions for the identical or a similar investment of the same issuer. </w:t>
      </w:r>
      <w:r>
        <w:rPr>
          <w:rFonts w:ascii="Arial" w:eastAsia="宋体" w:hAnsi="Arial" w:cs="Arial"/>
          <w:color w:val="000000"/>
          <w:sz w:val="20"/>
          <w:szCs w:val="20"/>
        </w:rPr>
        <w:t xml:space="preserve">We perform a qualitative fair value </w:t>
      </w:r>
      <w:r>
        <w:rPr>
          <w:rFonts w:ascii="Arial" w:eastAsia="宋体" w:hAnsi="Arial" w:cs="Arial"/>
          <w:color w:val="000000"/>
          <w:sz w:val="20"/>
          <w:szCs w:val="20"/>
        </w:rPr>
        <w:t>assessment on a quarterly basis over our equity investments without readily determinable fair values to identify any changes in basis or impairments. Equity investments without readily determinable fair values are considered impaired when there is an indic</w:t>
      </w:r>
      <w:r>
        <w:rPr>
          <w:rFonts w:ascii="Arial" w:eastAsia="宋体" w:hAnsi="Arial" w:cs="Arial"/>
          <w:color w:val="000000"/>
          <w:sz w:val="20"/>
          <w:szCs w:val="20"/>
        </w:rPr>
        <w:t xml:space="preserve">ation that the fair value of our interest is less than the carrying amount. Changes in value and impairments of equity investments without readily determinable fair values are recognized in </w:t>
      </w:r>
      <w:r>
        <w:rPr>
          <w:rFonts w:ascii="Arial" w:eastAsia="宋体" w:hAnsi="Arial" w:cs="Arial"/>
          <w:color w:val="222222"/>
          <w:sz w:val="20"/>
          <w:szCs w:val="20"/>
        </w:rPr>
        <w:t>gain (loss) on equity investments and warrant</w:t>
      </w:r>
      <w:r>
        <w:rPr>
          <w:rFonts w:ascii="Arial" w:eastAsia="宋体" w:hAnsi="Arial" w:cs="Arial"/>
          <w:color w:val="000000"/>
          <w:sz w:val="20"/>
          <w:szCs w:val="20"/>
        </w:rPr>
        <w:t>, net.</w:t>
      </w:r>
    </w:p>
    <w:p w14:paraId="22CFB7E0" w14:textId="77777777" w:rsidR="002661BA" w:rsidRDefault="002661BA"/>
    <w:p w14:paraId="22CFB7E1" w14:textId="77777777" w:rsidR="002661BA" w:rsidRDefault="00D972BC">
      <w:pPr>
        <w:ind w:firstLine="540"/>
        <w:jc w:val="both"/>
      </w:pPr>
      <w:r>
        <w:rPr>
          <w:rFonts w:ascii="Arial" w:eastAsia="宋体" w:hAnsi="Arial" w:cs="Arial"/>
          <w:color w:val="222222"/>
          <w:sz w:val="20"/>
          <w:szCs w:val="20"/>
        </w:rPr>
        <w:t>We account fo</w:t>
      </w:r>
      <w:r>
        <w:rPr>
          <w:rFonts w:ascii="Arial" w:eastAsia="宋体" w:hAnsi="Arial" w:cs="Arial"/>
          <w:color w:val="222222"/>
          <w:sz w:val="20"/>
          <w:szCs w:val="20"/>
        </w:rPr>
        <w:t>r equity investments through which we exercise significant influence but do not have control over the investee under the equity method or under the fair value option. For equity method investments, our consolidated results of operations include, as a compo</w:t>
      </w:r>
      <w:r>
        <w:rPr>
          <w:rFonts w:ascii="Arial" w:eastAsia="宋体" w:hAnsi="Arial" w:cs="Arial"/>
          <w:color w:val="222222"/>
          <w:sz w:val="20"/>
          <w:szCs w:val="20"/>
        </w:rPr>
        <w:t xml:space="preserve">nent of </w:t>
      </w:r>
      <w:r>
        <w:rPr>
          <w:rFonts w:ascii="Arial" w:eastAsia="宋体" w:hAnsi="Arial" w:cs="Arial"/>
          <w:color w:val="000000"/>
          <w:sz w:val="20"/>
          <w:szCs w:val="20"/>
        </w:rPr>
        <w:t>gain (loss) on equity investments and warrant</w:t>
      </w:r>
      <w:r>
        <w:rPr>
          <w:rFonts w:ascii="Arial" w:eastAsia="宋体" w:hAnsi="Arial" w:cs="Arial"/>
          <w:color w:val="222222"/>
          <w:sz w:val="20"/>
          <w:szCs w:val="20"/>
        </w:rPr>
        <w:t xml:space="preserve">, net, our share of the net income or loss of the equity investments accounted for under the equity method of accounting. Our share of equity method investees’ results of operations was not material for </w:t>
      </w:r>
      <w:r>
        <w:rPr>
          <w:rFonts w:ascii="Arial" w:eastAsia="宋体" w:hAnsi="Arial" w:cs="Arial"/>
          <w:color w:val="222222"/>
          <w:sz w:val="20"/>
          <w:szCs w:val="20"/>
        </w:rPr>
        <w:t>any period presented. We perform a qualitative impairment assessment on a quarterly basis over our equity method investments. Equity method investments are considered impaired when there is an indication of an other-than-temporary decline in value below th</w:t>
      </w:r>
      <w:r>
        <w:rPr>
          <w:rFonts w:ascii="Arial" w:eastAsia="宋体" w:hAnsi="Arial" w:cs="Arial"/>
          <w:color w:val="222222"/>
          <w:sz w:val="20"/>
          <w:szCs w:val="20"/>
        </w:rPr>
        <w:t xml:space="preserve">e carrying amount. Impairments and </w:t>
      </w:r>
      <w:r>
        <w:rPr>
          <w:rFonts w:ascii="Arial" w:eastAsia="宋体" w:hAnsi="Arial" w:cs="Arial"/>
          <w:color w:val="000000"/>
          <w:sz w:val="20"/>
          <w:szCs w:val="20"/>
        </w:rPr>
        <w:t>any other adjustments to</w:t>
      </w:r>
      <w:r>
        <w:rPr>
          <w:rFonts w:ascii="Arial" w:eastAsia="宋体" w:hAnsi="Arial" w:cs="Arial"/>
          <w:color w:val="222222"/>
          <w:sz w:val="20"/>
          <w:szCs w:val="20"/>
        </w:rPr>
        <w:t xml:space="preserve"> equity method investments are recorded in gain (loss) on equity investments and warrant, net. </w:t>
      </w:r>
    </w:p>
    <w:p w14:paraId="22CFB7E2" w14:textId="77777777" w:rsidR="002661BA" w:rsidRDefault="002661BA">
      <w:pPr>
        <w:ind w:firstLine="540"/>
        <w:jc w:val="both"/>
      </w:pPr>
    </w:p>
    <w:p w14:paraId="22CFB7E3" w14:textId="77777777" w:rsidR="002661BA" w:rsidRDefault="00D972BC">
      <w:pPr>
        <w:ind w:firstLine="540"/>
        <w:jc w:val="both"/>
      </w:pPr>
      <w:r>
        <w:rPr>
          <w:rFonts w:ascii="Arial" w:eastAsia="宋体" w:hAnsi="Arial" w:cs="Arial"/>
          <w:color w:val="222222"/>
          <w:sz w:val="20"/>
          <w:szCs w:val="20"/>
        </w:rPr>
        <w:t>Equity investment under the fair value option is measured at fair value based on a quarterly valuati</w:t>
      </w:r>
      <w:r>
        <w:rPr>
          <w:rFonts w:ascii="Arial" w:eastAsia="宋体" w:hAnsi="Arial" w:cs="Arial"/>
          <w:color w:val="222222"/>
          <w:sz w:val="20"/>
          <w:szCs w:val="20"/>
        </w:rPr>
        <w:t>on analysis and</w:t>
      </w:r>
      <w:r>
        <w:rPr>
          <w:rFonts w:ascii="Arial" w:eastAsia="宋体" w:hAnsi="Arial" w:cs="Arial"/>
          <w:color w:val="000000"/>
          <w:sz w:val="20"/>
          <w:szCs w:val="20"/>
        </w:rPr>
        <w:t xml:space="preserve"> is classified within Level 3 in the fair value hierarchy as the valuation reflects management’s estimate of assumptions that market participants would use in pricing the equity investment. </w:t>
      </w:r>
      <w:r>
        <w:rPr>
          <w:rFonts w:ascii="Arial" w:eastAsia="宋体" w:hAnsi="Arial" w:cs="Arial"/>
          <w:color w:val="222222"/>
          <w:sz w:val="20"/>
          <w:szCs w:val="20"/>
        </w:rPr>
        <w:t>S</w:t>
      </w:r>
      <w:r>
        <w:rPr>
          <w:rFonts w:ascii="Arial" w:eastAsia="宋体" w:hAnsi="Arial" w:cs="Arial"/>
          <w:color w:val="000000"/>
          <w:sz w:val="20"/>
          <w:szCs w:val="20"/>
        </w:rPr>
        <w:t xml:space="preserve">ubsequent changes in fair value are recognized in </w:t>
      </w:r>
      <w:r>
        <w:rPr>
          <w:rFonts w:ascii="Arial" w:eastAsia="宋体" w:hAnsi="Arial" w:cs="Arial"/>
          <w:color w:val="222222"/>
          <w:sz w:val="20"/>
          <w:szCs w:val="20"/>
        </w:rPr>
        <w:t>gain (loss) on equity investments and warrant</w:t>
      </w:r>
      <w:r>
        <w:rPr>
          <w:rFonts w:ascii="Arial" w:eastAsia="宋体" w:hAnsi="Arial" w:cs="Arial"/>
          <w:color w:val="000000"/>
          <w:sz w:val="20"/>
          <w:szCs w:val="20"/>
        </w:rPr>
        <w:t>, net.</w:t>
      </w:r>
    </w:p>
    <w:p w14:paraId="22CFB7E4" w14:textId="77777777" w:rsidR="002661BA" w:rsidRDefault="002661BA">
      <w:pPr>
        <w:ind w:firstLine="540"/>
        <w:jc w:val="both"/>
      </w:pPr>
    </w:p>
    <w:p w14:paraId="22CFB7E5" w14:textId="77777777" w:rsidR="002661BA" w:rsidRDefault="00D972BC">
      <w:pPr>
        <w:ind w:firstLine="540"/>
        <w:jc w:val="both"/>
      </w:pPr>
      <w:r>
        <w:rPr>
          <w:rFonts w:ascii="Arial" w:eastAsia="宋体" w:hAnsi="Arial" w:cs="Arial"/>
          <w:color w:val="000000"/>
          <w:sz w:val="20"/>
          <w:szCs w:val="20"/>
        </w:rPr>
        <w:t xml:space="preserve">We describe our accounting policy for our equity investment in Adevinta in a separate section under “Equity investment in Adevinta.” </w:t>
      </w:r>
    </w:p>
    <w:p w14:paraId="22CFB7E6" w14:textId="77777777" w:rsidR="002661BA" w:rsidRDefault="002661BA">
      <w:pPr>
        <w:ind w:firstLine="540"/>
        <w:jc w:val="both"/>
      </w:pPr>
    </w:p>
    <w:p w14:paraId="22CFB7E7" w14:textId="77777777" w:rsidR="002661BA" w:rsidRDefault="00D972BC">
      <w:pPr>
        <w:ind w:firstLine="540"/>
        <w:jc w:val="both"/>
      </w:pPr>
      <w:r>
        <w:rPr>
          <w:rFonts w:ascii="Arial" w:eastAsia="宋体" w:hAnsi="Arial" w:cs="Arial"/>
          <w:color w:val="000000"/>
          <w:sz w:val="20"/>
          <w:szCs w:val="20"/>
        </w:rPr>
        <w:t>Refer to “Note 6 — Investments” and “Note 8 — Fair Value Measurement</w:t>
      </w:r>
      <w:r>
        <w:rPr>
          <w:rFonts w:ascii="Arial" w:eastAsia="宋体" w:hAnsi="Arial" w:cs="Arial"/>
          <w:color w:val="000000"/>
          <w:sz w:val="20"/>
          <w:szCs w:val="20"/>
        </w:rPr>
        <w:t xml:space="preserve"> of Assets and Liabilities” for additional details.</w:t>
      </w:r>
    </w:p>
    <w:p w14:paraId="22CFB7E8" w14:textId="77777777" w:rsidR="002661BA" w:rsidRDefault="002661BA">
      <w:pPr>
        <w:ind w:firstLine="540"/>
        <w:jc w:val="both"/>
      </w:pPr>
    </w:p>
    <w:p w14:paraId="22CFB7E9" w14:textId="77777777" w:rsidR="002661BA" w:rsidRDefault="00D972BC">
      <w:pPr>
        <w:ind w:firstLine="270"/>
        <w:jc w:val="both"/>
      </w:pPr>
      <w:r>
        <w:rPr>
          <w:rFonts w:ascii="Arial" w:eastAsia="宋体" w:hAnsi="Arial" w:cs="Arial"/>
          <w:b/>
          <w:bCs/>
          <w:i/>
          <w:iCs/>
          <w:color w:val="000000"/>
          <w:sz w:val="20"/>
          <w:szCs w:val="20"/>
        </w:rPr>
        <w:t xml:space="preserve">Equity investment in Adevinta </w:t>
      </w:r>
    </w:p>
    <w:p w14:paraId="22CFB7EA" w14:textId="77777777" w:rsidR="002661BA" w:rsidRDefault="002661BA">
      <w:pPr>
        <w:ind w:firstLine="270"/>
        <w:jc w:val="both"/>
      </w:pPr>
    </w:p>
    <w:p w14:paraId="22CFB7EB" w14:textId="77777777" w:rsidR="002661BA" w:rsidRDefault="00D972BC">
      <w:pPr>
        <w:ind w:firstLine="540"/>
        <w:jc w:val="both"/>
      </w:pPr>
      <w:r>
        <w:rPr>
          <w:rFonts w:ascii="Arial" w:eastAsia="宋体" w:hAnsi="Arial" w:cs="Arial"/>
          <w:color w:val="000000"/>
          <w:sz w:val="20"/>
          <w:szCs w:val="20"/>
        </w:rPr>
        <w:t>At the initial recognition of our equity investment in Adevinta on June 24, 2021, we elected the fair value option where subsequent changes in fair value are recognized in</w:t>
      </w:r>
      <w:r>
        <w:rPr>
          <w:rFonts w:ascii="Arial" w:eastAsia="宋体" w:hAnsi="Arial" w:cs="Arial"/>
          <w:color w:val="000000"/>
          <w:sz w:val="20"/>
          <w:szCs w:val="20"/>
        </w:rPr>
        <w:t xml:space="preserve"> </w:t>
      </w:r>
      <w:r>
        <w:rPr>
          <w:rFonts w:ascii="Arial" w:eastAsia="宋体" w:hAnsi="Arial" w:cs="Arial"/>
          <w:color w:val="222222"/>
          <w:sz w:val="20"/>
          <w:szCs w:val="20"/>
        </w:rPr>
        <w:t>gain (loss) on equity investments and warrant</w:t>
      </w:r>
      <w:r>
        <w:rPr>
          <w:rFonts w:ascii="Arial" w:eastAsia="宋体" w:hAnsi="Arial" w:cs="Arial"/>
          <w:color w:val="000000"/>
          <w:sz w:val="20"/>
          <w:szCs w:val="20"/>
        </w:rPr>
        <w:t>, net in the consolidated statement of income. We report the investment at fair value within equity investment in Adevinta in our consolidated balance sheet. The investment is classified within Level 1 in the f</w:t>
      </w:r>
      <w:r>
        <w:rPr>
          <w:rFonts w:ascii="Arial" w:eastAsia="宋体" w:hAnsi="Arial" w:cs="Arial"/>
          <w:color w:val="000000"/>
          <w:sz w:val="20"/>
          <w:szCs w:val="20"/>
        </w:rPr>
        <w:t>air value hierarchy as the valuation can be obtained from real time quotes in active markets. The fair value of the equity investment is measured based on Adevinta’s closing stock price and prevailing foreign exchange rate. We believe the fair value option</w:t>
      </w:r>
      <w:r>
        <w:rPr>
          <w:rFonts w:ascii="Arial" w:eastAsia="宋体" w:hAnsi="Arial" w:cs="Arial"/>
          <w:color w:val="000000"/>
          <w:sz w:val="20"/>
          <w:szCs w:val="20"/>
        </w:rPr>
        <w:t xml:space="preserve"> election creates more transparency of the current value of our shares in the equity investment for Adevinta.</w:t>
      </w:r>
    </w:p>
    <w:p w14:paraId="22CFB7EC" w14:textId="77777777" w:rsidR="002661BA" w:rsidRDefault="002661BA">
      <w:pPr>
        <w:jc w:val="both"/>
      </w:pPr>
    </w:p>
    <w:p w14:paraId="22CFB7ED" w14:textId="77777777" w:rsidR="002661BA" w:rsidRDefault="00D972BC">
      <w:pPr>
        <w:ind w:firstLine="540"/>
        <w:jc w:val="both"/>
      </w:pPr>
      <w:r>
        <w:rPr>
          <w:rFonts w:ascii="Arial" w:eastAsia="宋体" w:hAnsi="Arial" w:cs="Arial"/>
          <w:color w:val="000000"/>
          <w:sz w:val="20"/>
          <w:szCs w:val="20"/>
        </w:rPr>
        <w:t>Refer to “Note 6 — Investments” and “Note 8 — Fair Value Measurement of Assets and Liabilities” for additional details.</w:t>
      </w:r>
    </w:p>
    <w:p w14:paraId="22CFB7EE" w14:textId="77777777" w:rsidR="002661BA" w:rsidRDefault="002661BA">
      <w:pPr>
        <w:ind w:firstLine="540"/>
        <w:jc w:val="both"/>
      </w:pPr>
    </w:p>
    <w:p w14:paraId="22CFB7EF" w14:textId="77777777" w:rsidR="002661BA" w:rsidRDefault="00D972BC">
      <w:pPr>
        <w:ind w:firstLine="270"/>
        <w:jc w:val="both"/>
      </w:pPr>
      <w:r>
        <w:rPr>
          <w:rFonts w:ascii="Arial" w:eastAsia="宋体" w:hAnsi="Arial" w:cs="Arial"/>
          <w:b/>
          <w:bCs/>
          <w:i/>
          <w:iCs/>
          <w:color w:val="000000"/>
          <w:sz w:val="20"/>
          <w:szCs w:val="20"/>
        </w:rPr>
        <w:t>Leases</w:t>
      </w:r>
    </w:p>
    <w:p w14:paraId="22CFB7F0" w14:textId="77777777" w:rsidR="002661BA" w:rsidRDefault="002661BA">
      <w:pPr>
        <w:ind w:firstLine="720"/>
        <w:jc w:val="both"/>
      </w:pPr>
    </w:p>
    <w:p w14:paraId="22CFB7F1" w14:textId="77777777" w:rsidR="002661BA" w:rsidRDefault="00D972BC">
      <w:pPr>
        <w:ind w:firstLine="540"/>
        <w:jc w:val="both"/>
      </w:pPr>
      <w:r>
        <w:rPr>
          <w:rFonts w:ascii="Arial" w:eastAsia="宋体" w:hAnsi="Arial" w:cs="Arial"/>
          <w:color w:val="000000"/>
          <w:sz w:val="20"/>
          <w:szCs w:val="20"/>
        </w:rPr>
        <w:t xml:space="preserve">We </w:t>
      </w:r>
      <w:r>
        <w:rPr>
          <w:rFonts w:ascii="Arial" w:eastAsia="宋体" w:hAnsi="Arial" w:cs="Arial"/>
          <w:color w:val="000000"/>
          <w:sz w:val="20"/>
          <w:szCs w:val="20"/>
        </w:rPr>
        <w:t>determine if an arrangement is a lease or contains a lease at inception. Operating lease liabilities are recognized based on the present value of the remaining lease payments, discounted using the discount rate for the lease at the commencement date. As th</w:t>
      </w:r>
      <w:r>
        <w:rPr>
          <w:rFonts w:ascii="Arial" w:eastAsia="宋体" w:hAnsi="Arial" w:cs="Arial"/>
          <w:color w:val="000000"/>
          <w:sz w:val="20"/>
          <w:szCs w:val="20"/>
        </w:rPr>
        <w:t>e rate implicit in the lease is not readily determinable for our operating leases, we generally use an incremental borrowing rate based on information available at the commencement date to determine the present value of future lease payments. Operating rig</w:t>
      </w:r>
      <w:r>
        <w:rPr>
          <w:rFonts w:ascii="Arial" w:eastAsia="宋体" w:hAnsi="Arial" w:cs="Arial"/>
          <w:color w:val="000000"/>
          <w:sz w:val="20"/>
          <w:szCs w:val="20"/>
        </w:rPr>
        <w:t>ht-of-use (“ROU”) assets are generally recognized based on the amount of the initial measurement of the lease liability. Our leases have remaining lease terms of up to eight years, some of which include options to extend the leases for up to five years, an</w:t>
      </w:r>
      <w:r>
        <w:rPr>
          <w:rFonts w:ascii="Arial" w:eastAsia="宋体" w:hAnsi="Arial" w:cs="Arial"/>
          <w:color w:val="000000"/>
          <w:sz w:val="20"/>
          <w:szCs w:val="20"/>
        </w:rPr>
        <w:t>d some of which include options to terminate the leases within one year. Lease expense is recognized on a straight-line basis over the lease term. We account for lease and non-lease components as a single lease component for our data center leases. Lease a</w:t>
      </w:r>
      <w:r>
        <w:rPr>
          <w:rFonts w:ascii="Arial" w:eastAsia="宋体" w:hAnsi="Arial" w:cs="Arial"/>
          <w:color w:val="000000"/>
          <w:sz w:val="20"/>
          <w:szCs w:val="20"/>
        </w:rPr>
        <w:t>nd non-lease components for all other leases are accounted for separately.</w:t>
      </w:r>
    </w:p>
    <w:p w14:paraId="22CFB7F2" w14:textId="77777777" w:rsidR="002661BA" w:rsidRDefault="002661BA">
      <w:pPr>
        <w:ind w:firstLine="540"/>
        <w:jc w:val="both"/>
      </w:pPr>
    </w:p>
    <w:p w14:paraId="22CFB7F3" w14:textId="77777777" w:rsidR="002661BA" w:rsidRDefault="00D972BC">
      <w:pPr>
        <w:ind w:firstLine="540"/>
        <w:jc w:val="both"/>
      </w:pPr>
      <w:r>
        <w:rPr>
          <w:rFonts w:ascii="Arial" w:eastAsia="宋体" w:hAnsi="Arial" w:cs="Arial"/>
          <w:color w:val="000000"/>
          <w:sz w:val="20"/>
          <w:szCs w:val="20"/>
        </w:rPr>
        <w:t>Operating leases are included in operating lease right-of-use assets, other current liabilities and operating lease liabilities on our consolidated balance sheets.</w:t>
      </w:r>
    </w:p>
    <w:p w14:paraId="22CFB7F4" w14:textId="77777777" w:rsidR="002661BA" w:rsidRDefault="00D972BC">
      <w:pPr>
        <w:jc w:val="center"/>
      </w:pPr>
      <w:r>
        <w:rPr>
          <w:rFonts w:ascii="Arial" w:eastAsia="宋体" w:hAnsi="Arial" w:cs="Arial"/>
          <w:color w:val="000000"/>
          <w:sz w:val="18"/>
          <w:szCs w:val="18"/>
        </w:rPr>
        <w:t>69</w:t>
      </w:r>
    </w:p>
    <w:p w14:paraId="22CFB7F5" w14:textId="77777777" w:rsidR="002661BA" w:rsidRDefault="00D972BC">
      <w:r>
        <w:pict w14:anchorId="22CFE4F6">
          <v:rect id="_x0000_i1093" style="width:415.3pt;height:1.5pt" o:hralign="center" o:hrstd="t" o:hr="t" fillcolor="#a0a0a0" stroked="f"/>
        </w:pict>
      </w:r>
    </w:p>
    <w:p w14:paraId="22CFB7F6" w14:textId="77777777" w:rsidR="002661BA" w:rsidRDefault="00D972BC">
      <w:hyperlink r:id="rId104" w:anchor="id0d7a71b05ce452ea9fdb54f3cb359c7_7" w:history="1">
        <w:r>
          <w:rPr>
            <w:rStyle w:val="a5"/>
            <w:rFonts w:ascii="Arial" w:eastAsia="宋体" w:hAnsi="Arial" w:cs="Arial"/>
            <w:sz w:val="18"/>
            <w:szCs w:val="18"/>
          </w:rPr>
          <w:t>Table of Contents</w:t>
        </w:r>
      </w:hyperlink>
    </w:p>
    <w:p w14:paraId="22CFB7F7" w14:textId="77777777" w:rsidR="002661BA" w:rsidRDefault="00D972BC">
      <w:pPr>
        <w:jc w:val="center"/>
      </w:pPr>
      <w:r>
        <w:rPr>
          <w:rFonts w:ascii="Arial" w:eastAsia="宋体" w:hAnsi="Arial" w:cs="Arial"/>
          <w:b/>
          <w:bCs/>
          <w:color w:val="000000"/>
          <w:sz w:val="20"/>
          <w:szCs w:val="20"/>
        </w:rPr>
        <w:t>eBay Inc.</w:t>
      </w:r>
    </w:p>
    <w:p w14:paraId="22CFB7F8"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B7F9" w14:textId="77777777" w:rsidR="002661BA" w:rsidRDefault="002661BA">
      <w:pPr>
        <w:jc w:val="both"/>
      </w:pPr>
    </w:p>
    <w:p w14:paraId="22CFB7FA" w14:textId="77777777" w:rsidR="002661BA" w:rsidRDefault="00D972BC">
      <w:pPr>
        <w:jc w:val="both"/>
      </w:pPr>
      <w:r>
        <w:rPr>
          <w:rFonts w:ascii="Arial" w:eastAsia="宋体" w:hAnsi="Arial" w:cs="Arial"/>
          <w:b/>
          <w:bCs/>
          <w:i/>
          <w:iCs/>
          <w:color w:val="000000"/>
          <w:sz w:val="20"/>
          <w:szCs w:val="20"/>
        </w:rPr>
        <w:t xml:space="preserve">Property and equipment </w:t>
      </w:r>
    </w:p>
    <w:p w14:paraId="22CFB7FB" w14:textId="77777777" w:rsidR="002661BA" w:rsidRDefault="002661BA">
      <w:pPr>
        <w:ind w:firstLine="495"/>
        <w:jc w:val="both"/>
      </w:pPr>
    </w:p>
    <w:p w14:paraId="22CFB7FC" w14:textId="77777777" w:rsidR="002661BA" w:rsidRDefault="00D972BC">
      <w:pPr>
        <w:ind w:firstLine="540"/>
        <w:jc w:val="both"/>
      </w:pPr>
      <w:r>
        <w:rPr>
          <w:rFonts w:ascii="Arial" w:eastAsia="宋体" w:hAnsi="Arial" w:cs="Arial"/>
          <w:color w:val="000000"/>
          <w:sz w:val="20"/>
          <w:szCs w:val="20"/>
        </w:rPr>
        <w:t>Prope</w:t>
      </w:r>
      <w:r>
        <w:rPr>
          <w:rFonts w:ascii="Arial" w:eastAsia="宋体" w:hAnsi="Arial" w:cs="Arial"/>
          <w:color w:val="000000"/>
          <w:sz w:val="20"/>
          <w:szCs w:val="20"/>
        </w:rPr>
        <w:t>rty and equipment are stated at historical cost less accumulated depreciation. Depreciation for equipment, buildings and leasehold improvements commences once they are ready for our intended use. Depreciation is computed using the straight-line method over</w:t>
      </w:r>
      <w:r>
        <w:rPr>
          <w:rFonts w:ascii="Arial" w:eastAsia="宋体" w:hAnsi="Arial" w:cs="Arial"/>
          <w:color w:val="000000"/>
          <w:sz w:val="20"/>
          <w:szCs w:val="20"/>
        </w:rPr>
        <w:t xml:space="preserve"> the estimated useful lives of the assets, generally, one to three years for computer equipment and software, up to thirty years for buildings and building improvements, the shorter of five years or the term of the lease for leasehold improvements and thre</w:t>
      </w:r>
      <w:r>
        <w:rPr>
          <w:rFonts w:ascii="Arial" w:eastAsia="宋体" w:hAnsi="Arial" w:cs="Arial"/>
          <w:color w:val="000000"/>
          <w:sz w:val="20"/>
          <w:szCs w:val="20"/>
        </w:rPr>
        <w:t xml:space="preserve">e years for furniture, fixtures and vehicles. Land is not depreciated. </w:t>
      </w:r>
    </w:p>
    <w:p w14:paraId="22CFB7FD" w14:textId="77777777" w:rsidR="002661BA" w:rsidRDefault="002661BA">
      <w:pPr>
        <w:ind w:firstLine="495"/>
        <w:jc w:val="both"/>
      </w:pPr>
    </w:p>
    <w:p w14:paraId="22CFB7FE" w14:textId="77777777" w:rsidR="002661BA" w:rsidRDefault="00D972BC">
      <w:pPr>
        <w:jc w:val="both"/>
      </w:pPr>
      <w:r>
        <w:rPr>
          <w:rFonts w:ascii="Arial" w:eastAsia="宋体" w:hAnsi="Arial" w:cs="Arial"/>
          <w:b/>
          <w:bCs/>
          <w:i/>
          <w:iCs/>
          <w:color w:val="000000"/>
          <w:sz w:val="20"/>
          <w:szCs w:val="20"/>
        </w:rPr>
        <w:t xml:space="preserve">Goodwill and intangible assets </w:t>
      </w:r>
    </w:p>
    <w:p w14:paraId="22CFB7FF" w14:textId="77777777" w:rsidR="002661BA" w:rsidRDefault="002661BA">
      <w:pPr>
        <w:ind w:firstLine="495"/>
        <w:jc w:val="both"/>
      </w:pPr>
    </w:p>
    <w:p w14:paraId="22CFB800" w14:textId="77777777" w:rsidR="002661BA" w:rsidRDefault="00D972BC">
      <w:pPr>
        <w:ind w:firstLine="540"/>
        <w:jc w:val="both"/>
      </w:pPr>
      <w:r>
        <w:rPr>
          <w:rFonts w:ascii="Arial" w:eastAsia="宋体" w:hAnsi="Arial" w:cs="Arial"/>
          <w:color w:val="000000"/>
          <w:sz w:val="20"/>
          <w:szCs w:val="20"/>
        </w:rPr>
        <w:t xml:space="preserve">Goodwill is tested for impairment at a minimum on an annual basis at the reporting unit level. A qualitative assessment can be performed to determine </w:t>
      </w:r>
      <w:r>
        <w:rPr>
          <w:rFonts w:ascii="Arial" w:eastAsia="宋体" w:hAnsi="Arial" w:cs="Arial"/>
          <w:color w:val="000000"/>
          <w:sz w:val="20"/>
          <w:szCs w:val="20"/>
        </w:rPr>
        <w:t>whether it is more likely than not that the fair value of the reporting unit is less than its carrying value. If the reporting unit does not pass the qualitative assessment, then the reporting unit’s carrying value is compared to its fair value. The fair v</w:t>
      </w:r>
      <w:r>
        <w:rPr>
          <w:rFonts w:ascii="Arial" w:eastAsia="宋体" w:hAnsi="Arial" w:cs="Arial"/>
          <w:color w:val="000000"/>
          <w:sz w:val="20"/>
          <w:szCs w:val="20"/>
        </w:rPr>
        <w:t>alue of the reporting unit is estimated using income and market approaches. Goodwill is considered impaired if the carrying value of the reporting unit exceeds its fair value. The discounted cash flow method, a form of the income approach, uses expected fu</w:t>
      </w:r>
      <w:r>
        <w:rPr>
          <w:rFonts w:ascii="Arial" w:eastAsia="宋体" w:hAnsi="Arial" w:cs="Arial"/>
          <w:color w:val="000000"/>
          <w:sz w:val="20"/>
          <w:szCs w:val="20"/>
        </w:rPr>
        <w:t>ture operating results and a market participant discount rate. The market approach uses comparable company prices and other relevant information generated by market transactions (either publicly traded entities or mergers and acquisitions) to develop prici</w:t>
      </w:r>
      <w:r>
        <w:rPr>
          <w:rFonts w:ascii="Arial" w:eastAsia="宋体" w:hAnsi="Arial" w:cs="Arial"/>
          <w:color w:val="000000"/>
          <w:sz w:val="20"/>
          <w:szCs w:val="20"/>
        </w:rPr>
        <w:t>ng metrics to be applied to historical and expected future operating results of our reporting unit. Failure to achieve these expected results, changes in the discount rate or market pricing metrics may cause a future impairment of goodwill at the reporting</w:t>
      </w:r>
      <w:r>
        <w:rPr>
          <w:rFonts w:ascii="Arial" w:eastAsia="宋体" w:hAnsi="Arial" w:cs="Arial"/>
          <w:color w:val="000000"/>
          <w:sz w:val="20"/>
          <w:szCs w:val="20"/>
        </w:rPr>
        <w:t xml:space="preserve"> unit. We conducted our annual impairment test of goodwill as of August 31, 2021 and 2020 and determined that no adjustment to the carrying value of goodwill for any reporting unit was required. </w:t>
      </w:r>
    </w:p>
    <w:p w14:paraId="22CFB801" w14:textId="77777777" w:rsidR="002661BA" w:rsidRDefault="002661BA">
      <w:pPr>
        <w:ind w:firstLine="540"/>
        <w:jc w:val="both"/>
      </w:pPr>
    </w:p>
    <w:p w14:paraId="22CFB802" w14:textId="77777777" w:rsidR="002661BA" w:rsidRDefault="00D972BC">
      <w:pPr>
        <w:ind w:firstLine="540"/>
        <w:jc w:val="both"/>
      </w:pPr>
      <w:r>
        <w:rPr>
          <w:rFonts w:ascii="Arial" w:eastAsia="宋体" w:hAnsi="Arial" w:cs="Arial"/>
          <w:color w:val="000000"/>
          <w:sz w:val="20"/>
          <w:szCs w:val="20"/>
        </w:rPr>
        <w:t>Intangible assets consist of purchased customer lists and u</w:t>
      </w:r>
      <w:r>
        <w:rPr>
          <w:rFonts w:ascii="Arial" w:eastAsia="宋体" w:hAnsi="Arial" w:cs="Arial"/>
          <w:color w:val="000000"/>
          <w:sz w:val="20"/>
          <w:szCs w:val="20"/>
        </w:rPr>
        <w:t>ser base, marketing related, developed technologies and other intangible assets, including patents and contractual agreements. Intangible assets are amortized over the period of estimated benefit using the straight-line method and estimated useful lives ra</w:t>
      </w:r>
      <w:r>
        <w:rPr>
          <w:rFonts w:ascii="Arial" w:eastAsia="宋体" w:hAnsi="Arial" w:cs="Arial"/>
          <w:color w:val="000000"/>
          <w:sz w:val="20"/>
          <w:szCs w:val="20"/>
        </w:rPr>
        <w:t xml:space="preserve">nging from one to three years. No significant residual value is estimated for intangible assets. </w:t>
      </w:r>
    </w:p>
    <w:p w14:paraId="22CFB803" w14:textId="77777777" w:rsidR="002661BA" w:rsidRDefault="002661BA">
      <w:pPr>
        <w:ind w:firstLine="495"/>
        <w:jc w:val="both"/>
      </w:pPr>
    </w:p>
    <w:p w14:paraId="22CFB804" w14:textId="77777777" w:rsidR="002661BA" w:rsidRDefault="00D972BC">
      <w:pPr>
        <w:jc w:val="both"/>
      </w:pPr>
      <w:r>
        <w:rPr>
          <w:rFonts w:ascii="Arial" w:eastAsia="宋体" w:hAnsi="Arial" w:cs="Arial"/>
          <w:b/>
          <w:bCs/>
          <w:i/>
          <w:iCs/>
          <w:color w:val="000000"/>
          <w:sz w:val="20"/>
          <w:szCs w:val="20"/>
        </w:rPr>
        <w:t xml:space="preserve">Impairment of long-lived assets </w:t>
      </w:r>
    </w:p>
    <w:p w14:paraId="22CFB805" w14:textId="77777777" w:rsidR="002661BA" w:rsidRDefault="002661BA">
      <w:pPr>
        <w:ind w:firstLine="450"/>
        <w:jc w:val="both"/>
      </w:pPr>
    </w:p>
    <w:p w14:paraId="22CFB806" w14:textId="77777777" w:rsidR="002661BA" w:rsidRDefault="00D972BC">
      <w:pPr>
        <w:ind w:firstLine="540"/>
        <w:jc w:val="both"/>
      </w:pPr>
      <w:r>
        <w:rPr>
          <w:rFonts w:ascii="Arial" w:eastAsia="宋体" w:hAnsi="Arial" w:cs="Arial"/>
          <w:color w:val="000000"/>
          <w:sz w:val="20"/>
          <w:szCs w:val="20"/>
        </w:rPr>
        <w:t>We evaluate long-lived assets (including leases and intangible assets) for impairment whenever events or changes in circums</w:t>
      </w:r>
      <w:r>
        <w:rPr>
          <w:rFonts w:ascii="Arial" w:eastAsia="宋体" w:hAnsi="Arial" w:cs="Arial"/>
          <w:color w:val="000000"/>
          <w:sz w:val="20"/>
          <w:szCs w:val="20"/>
        </w:rPr>
        <w:t>tances indicate that the carrying amount of a long-lived asset may not be recoverable. An asset is considered impaired if its carrying amount exceeds the undiscounted future net cash flow the asset is expected to generate. In 2021 and 2020, we recorded imm</w:t>
      </w:r>
      <w:r>
        <w:rPr>
          <w:rFonts w:ascii="Arial" w:eastAsia="宋体" w:hAnsi="Arial" w:cs="Arial"/>
          <w:color w:val="000000"/>
          <w:sz w:val="20"/>
          <w:szCs w:val="20"/>
        </w:rPr>
        <w:t>aterial impairment charges and in 2019, no impairment was recorded.</w:t>
      </w:r>
    </w:p>
    <w:p w14:paraId="22CFB807" w14:textId="77777777" w:rsidR="002661BA" w:rsidRDefault="002661BA">
      <w:pPr>
        <w:ind w:firstLine="495"/>
        <w:jc w:val="both"/>
      </w:pPr>
    </w:p>
    <w:p w14:paraId="22CFB808" w14:textId="77777777" w:rsidR="002661BA" w:rsidRDefault="00D972BC">
      <w:pPr>
        <w:ind w:firstLine="270"/>
        <w:jc w:val="both"/>
      </w:pPr>
      <w:r>
        <w:rPr>
          <w:rFonts w:ascii="Arial" w:eastAsia="宋体" w:hAnsi="Arial" w:cs="Arial"/>
          <w:b/>
          <w:bCs/>
          <w:i/>
          <w:iCs/>
          <w:color w:val="000000"/>
          <w:sz w:val="20"/>
          <w:szCs w:val="20"/>
        </w:rPr>
        <w:t>Foreign currency</w:t>
      </w:r>
    </w:p>
    <w:p w14:paraId="22CFB809" w14:textId="77777777" w:rsidR="002661BA" w:rsidRDefault="002661BA">
      <w:pPr>
        <w:jc w:val="both"/>
      </w:pPr>
    </w:p>
    <w:p w14:paraId="22CFB80A" w14:textId="77777777" w:rsidR="002661BA" w:rsidRDefault="00D972BC">
      <w:pPr>
        <w:ind w:firstLine="540"/>
        <w:jc w:val="both"/>
      </w:pPr>
      <w:r>
        <w:rPr>
          <w:rFonts w:ascii="Arial" w:eastAsia="宋体" w:hAnsi="Arial" w:cs="Arial"/>
          <w:color w:val="000000"/>
          <w:sz w:val="20"/>
          <w:szCs w:val="20"/>
        </w:rPr>
        <w:t>Most of our foreign subsidiaries use the local currency of their respective countries as their functional currency. Assets and liabilities are translated into U.S. dollars using exchange rates prevailing at the balance sheet date, while revenues and expens</w:t>
      </w:r>
      <w:r>
        <w:rPr>
          <w:rFonts w:ascii="Arial" w:eastAsia="宋体" w:hAnsi="Arial" w:cs="Arial"/>
          <w:color w:val="000000"/>
          <w:sz w:val="20"/>
          <w:szCs w:val="20"/>
        </w:rPr>
        <w:t xml:space="preserve">es are translated at average exchange rates during the year. Gains and losses resulting from the translation of our consolidated balance sheet are recorded as a component of accumulated other comprehensive income. </w:t>
      </w:r>
    </w:p>
    <w:p w14:paraId="22CFB80B" w14:textId="77777777" w:rsidR="002661BA" w:rsidRDefault="002661BA">
      <w:pPr>
        <w:ind w:firstLine="495"/>
        <w:jc w:val="both"/>
      </w:pPr>
    </w:p>
    <w:p w14:paraId="22CFB80C" w14:textId="77777777" w:rsidR="002661BA" w:rsidRDefault="00D972BC">
      <w:pPr>
        <w:ind w:firstLine="540"/>
        <w:jc w:val="both"/>
      </w:pPr>
      <w:r>
        <w:rPr>
          <w:rFonts w:ascii="Arial" w:eastAsia="宋体" w:hAnsi="Arial" w:cs="Arial"/>
          <w:color w:val="000000"/>
          <w:sz w:val="20"/>
          <w:szCs w:val="20"/>
        </w:rPr>
        <w:t>Gains and losses from foreign currency t</w:t>
      </w:r>
      <w:r>
        <w:rPr>
          <w:rFonts w:ascii="Arial" w:eastAsia="宋体" w:hAnsi="Arial" w:cs="Arial"/>
          <w:color w:val="000000"/>
          <w:sz w:val="20"/>
          <w:szCs w:val="20"/>
        </w:rPr>
        <w:t xml:space="preserve">ransactions are recognized as interest and other, net. </w:t>
      </w:r>
    </w:p>
    <w:p w14:paraId="22CFB80D" w14:textId="77777777" w:rsidR="002661BA" w:rsidRDefault="002661BA">
      <w:pPr>
        <w:jc w:val="both"/>
      </w:pPr>
    </w:p>
    <w:p w14:paraId="22CFB80E" w14:textId="77777777" w:rsidR="002661BA" w:rsidRDefault="00D972BC">
      <w:pPr>
        <w:jc w:val="both"/>
      </w:pPr>
      <w:r>
        <w:rPr>
          <w:rFonts w:ascii="Arial" w:eastAsia="宋体" w:hAnsi="Arial" w:cs="Arial"/>
          <w:b/>
          <w:bCs/>
          <w:i/>
          <w:iCs/>
          <w:color w:val="000000"/>
          <w:sz w:val="20"/>
          <w:szCs w:val="20"/>
        </w:rPr>
        <w:t xml:space="preserve">Derivative instruments </w:t>
      </w:r>
    </w:p>
    <w:p w14:paraId="22CFB80F" w14:textId="77777777" w:rsidR="002661BA" w:rsidRDefault="002661BA">
      <w:pPr>
        <w:ind w:firstLine="495"/>
        <w:jc w:val="both"/>
      </w:pPr>
    </w:p>
    <w:p w14:paraId="22CFB810" w14:textId="77777777" w:rsidR="002661BA" w:rsidRDefault="00D972BC">
      <w:pPr>
        <w:ind w:firstLine="540"/>
        <w:jc w:val="both"/>
      </w:pPr>
      <w:r>
        <w:rPr>
          <w:rFonts w:ascii="Arial" w:eastAsia="宋体" w:hAnsi="Arial" w:cs="Arial"/>
          <w:color w:val="000000"/>
          <w:sz w:val="20"/>
          <w:szCs w:val="20"/>
        </w:rPr>
        <w:t xml:space="preserve">We use derivative financial instruments, primarily forwards, options and swaps, to hedge certain foreign currency and interest rate exposures. We may also use other </w:t>
      </w:r>
      <w:r>
        <w:rPr>
          <w:rFonts w:ascii="Arial" w:eastAsia="宋体" w:hAnsi="Arial" w:cs="Arial"/>
          <w:color w:val="000000"/>
          <w:sz w:val="20"/>
          <w:szCs w:val="20"/>
        </w:rPr>
        <w:t>derivative instruments not designated as hedges, such as forwards to hedge foreign currency balance sheet exposures. We do not use derivative financial instruments for trading purposes. </w:t>
      </w:r>
    </w:p>
    <w:p w14:paraId="22CFB811" w14:textId="77777777" w:rsidR="002661BA" w:rsidRDefault="002661BA">
      <w:pPr>
        <w:ind w:firstLine="540"/>
        <w:jc w:val="both"/>
      </w:pPr>
    </w:p>
    <w:p w14:paraId="22CFB812" w14:textId="77777777" w:rsidR="002661BA" w:rsidRDefault="00D972BC">
      <w:pPr>
        <w:ind w:firstLine="540"/>
        <w:jc w:val="both"/>
      </w:pPr>
      <w:r>
        <w:rPr>
          <w:rFonts w:ascii="Arial" w:eastAsia="宋体" w:hAnsi="Arial" w:cs="Arial"/>
          <w:color w:val="000000"/>
          <w:sz w:val="20"/>
          <w:szCs w:val="20"/>
        </w:rPr>
        <w:t>We also entered into a warrant agreement in addition to a commercial</w:t>
      </w:r>
      <w:r>
        <w:rPr>
          <w:rFonts w:ascii="Arial" w:eastAsia="宋体" w:hAnsi="Arial" w:cs="Arial"/>
          <w:color w:val="000000"/>
          <w:sz w:val="20"/>
          <w:szCs w:val="20"/>
        </w:rPr>
        <w:t xml:space="preserve"> agreement with Adyen that, subject to meeting certain conditions, entitles us to acquire a fixed number of shares up to 5% of Adyen’s fully diluted issued </w:t>
      </w:r>
    </w:p>
    <w:p w14:paraId="22CFB813" w14:textId="77777777" w:rsidR="002661BA" w:rsidRDefault="00D972BC">
      <w:pPr>
        <w:jc w:val="center"/>
      </w:pPr>
      <w:r>
        <w:rPr>
          <w:rFonts w:ascii="Arial" w:eastAsia="宋体" w:hAnsi="Arial" w:cs="Arial"/>
          <w:color w:val="000000"/>
          <w:sz w:val="18"/>
          <w:szCs w:val="18"/>
        </w:rPr>
        <w:t>70</w:t>
      </w:r>
    </w:p>
    <w:p w14:paraId="22CFB814" w14:textId="77777777" w:rsidR="002661BA" w:rsidRDefault="00D972BC">
      <w:r>
        <w:pict w14:anchorId="22CFE4F7">
          <v:rect id="_x0000_i1094" style="width:415.3pt;height:1.5pt" o:hralign="center" o:hrstd="t" o:hr="t" fillcolor="#a0a0a0" stroked="f"/>
        </w:pict>
      </w:r>
    </w:p>
    <w:p w14:paraId="22CFB815" w14:textId="77777777" w:rsidR="002661BA" w:rsidRDefault="00D972BC">
      <w:hyperlink r:id="rId105" w:anchor="id0d7a71b05ce452ea9fdb54f3cb359c7_7" w:history="1">
        <w:r>
          <w:rPr>
            <w:rStyle w:val="a5"/>
            <w:rFonts w:ascii="Arial" w:eastAsia="宋体" w:hAnsi="Arial" w:cs="Arial"/>
            <w:sz w:val="18"/>
            <w:szCs w:val="18"/>
          </w:rPr>
          <w:t>Table of Contents</w:t>
        </w:r>
      </w:hyperlink>
    </w:p>
    <w:p w14:paraId="22CFB816" w14:textId="77777777" w:rsidR="002661BA" w:rsidRDefault="00D972BC">
      <w:pPr>
        <w:jc w:val="center"/>
      </w:pPr>
      <w:r>
        <w:rPr>
          <w:rFonts w:ascii="Arial" w:eastAsia="宋体" w:hAnsi="Arial" w:cs="Arial"/>
          <w:b/>
          <w:bCs/>
          <w:color w:val="000000"/>
          <w:sz w:val="20"/>
          <w:szCs w:val="20"/>
        </w:rPr>
        <w:t>eBay Inc.</w:t>
      </w:r>
    </w:p>
    <w:p w14:paraId="22CFB817"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B818" w14:textId="77777777" w:rsidR="002661BA" w:rsidRDefault="00D972BC">
      <w:pPr>
        <w:jc w:val="both"/>
      </w:pPr>
      <w:r>
        <w:rPr>
          <w:rFonts w:ascii="Arial" w:eastAsia="宋体" w:hAnsi="Arial" w:cs="Arial"/>
          <w:color w:val="000000"/>
          <w:sz w:val="20"/>
          <w:szCs w:val="20"/>
        </w:rPr>
        <w:t>and outstanding share capital at a specific date. The warrant is accounted for as a derivative instrument under AS</w:t>
      </w:r>
      <w:r>
        <w:rPr>
          <w:rFonts w:ascii="Arial" w:eastAsia="宋体" w:hAnsi="Arial" w:cs="Arial"/>
          <w:color w:val="000000"/>
          <w:sz w:val="20"/>
          <w:szCs w:val="20"/>
        </w:rPr>
        <w:t xml:space="preserve">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xml:space="preserve">. </w:t>
      </w:r>
    </w:p>
    <w:p w14:paraId="22CFB819" w14:textId="77777777" w:rsidR="002661BA" w:rsidRDefault="002661BA">
      <w:pPr>
        <w:ind w:firstLine="540"/>
        <w:jc w:val="both"/>
      </w:pPr>
    </w:p>
    <w:p w14:paraId="22CFB81A" w14:textId="77777777" w:rsidR="002661BA" w:rsidRDefault="00D972BC">
      <w:pPr>
        <w:ind w:firstLine="540"/>
        <w:jc w:val="both"/>
      </w:pPr>
      <w:r>
        <w:rPr>
          <w:rFonts w:ascii="Arial" w:eastAsia="宋体" w:hAnsi="Arial" w:cs="Arial"/>
          <w:color w:val="000000"/>
          <w:sz w:val="20"/>
          <w:szCs w:val="20"/>
        </w:rPr>
        <w:t>See “Note 7 — Derivative Instruments” for a full description of our derivative instrument activities and related accounting policies.</w:t>
      </w:r>
    </w:p>
    <w:p w14:paraId="22CFB81B" w14:textId="77777777" w:rsidR="002661BA" w:rsidRDefault="002661BA">
      <w:pPr>
        <w:ind w:firstLine="495"/>
        <w:jc w:val="both"/>
      </w:pPr>
    </w:p>
    <w:p w14:paraId="22CFB81C" w14:textId="77777777" w:rsidR="002661BA" w:rsidRDefault="00D972BC">
      <w:pPr>
        <w:jc w:val="both"/>
      </w:pPr>
      <w:r>
        <w:rPr>
          <w:rFonts w:ascii="Arial" w:eastAsia="宋体" w:hAnsi="Arial" w:cs="Arial"/>
          <w:b/>
          <w:bCs/>
          <w:i/>
          <w:iCs/>
          <w:color w:val="000000"/>
          <w:sz w:val="20"/>
          <w:szCs w:val="20"/>
        </w:rPr>
        <w:t xml:space="preserve">Concentration of credit risk </w:t>
      </w:r>
    </w:p>
    <w:p w14:paraId="22CFB81D" w14:textId="77777777" w:rsidR="002661BA" w:rsidRDefault="002661BA">
      <w:pPr>
        <w:ind w:firstLine="495"/>
        <w:jc w:val="both"/>
      </w:pPr>
    </w:p>
    <w:p w14:paraId="22CFB81E" w14:textId="77777777" w:rsidR="002661BA" w:rsidRDefault="00D972BC">
      <w:pPr>
        <w:ind w:firstLine="540"/>
        <w:jc w:val="both"/>
      </w:pPr>
      <w:r>
        <w:rPr>
          <w:rFonts w:ascii="Arial" w:eastAsia="宋体" w:hAnsi="Arial" w:cs="Arial"/>
          <w:color w:val="000000"/>
          <w:sz w:val="20"/>
          <w:szCs w:val="20"/>
        </w:rPr>
        <w:t xml:space="preserve">Our cash, cash equivalents, accounts </w:t>
      </w:r>
      <w:r>
        <w:rPr>
          <w:rFonts w:ascii="Arial" w:eastAsia="宋体" w:hAnsi="Arial" w:cs="Arial"/>
          <w:color w:val="000000"/>
          <w:sz w:val="20"/>
          <w:szCs w:val="20"/>
        </w:rPr>
        <w:t>receivable, customer accounts and funds receivable, available-for-sale debt securities and derivative instruments are potentially subject to concentration of credit risk. Cash and cash equivalents are placed with financial institutions that management beli</w:t>
      </w:r>
      <w:r>
        <w:rPr>
          <w:rFonts w:ascii="Arial" w:eastAsia="宋体" w:hAnsi="Arial" w:cs="Arial"/>
          <w:color w:val="000000"/>
          <w:sz w:val="20"/>
          <w:szCs w:val="20"/>
        </w:rPr>
        <w:t>eves are of high credit quality. Our accounts receivable are derived from revenue earned from customers. In each of the years ended December 31, 2021, 2020 and 2019, no customer accounted for more than 10% of net revenues. Our derivative instruments expose</w:t>
      </w:r>
      <w:r>
        <w:rPr>
          <w:rFonts w:ascii="Arial" w:eastAsia="宋体" w:hAnsi="Arial" w:cs="Arial"/>
          <w:color w:val="000000"/>
          <w:sz w:val="20"/>
          <w:szCs w:val="20"/>
        </w:rPr>
        <w:t xml:space="preserve"> us to credit risk to the extent that our counterparties may be unable to meet the terms of the agreements.</w:t>
      </w:r>
    </w:p>
    <w:p w14:paraId="22CFB81F" w14:textId="77777777" w:rsidR="002661BA" w:rsidRDefault="002661BA">
      <w:pPr>
        <w:jc w:val="both"/>
      </w:pPr>
    </w:p>
    <w:p w14:paraId="22CFB820" w14:textId="77777777" w:rsidR="002661BA" w:rsidRDefault="00D972BC">
      <w:pPr>
        <w:ind w:firstLine="270"/>
        <w:jc w:val="both"/>
      </w:pPr>
      <w:r>
        <w:rPr>
          <w:rFonts w:ascii="Arial" w:eastAsia="宋体" w:hAnsi="Arial" w:cs="Arial"/>
          <w:b/>
          <w:bCs/>
          <w:i/>
          <w:iCs/>
          <w:color w:val="000000"/>
          <w:sz w:val="20"/>
          <w:szCs w:val="20"/>
        </w:rPr>
        <w:t>Recently Adopted Accounting Pronouncements</w:t>
      </w:r>
    </w:p>
    <w:p w14:paraId="22CFB821" w14:textId="77777777" w:rsidR="002661BA" w:rsidRDefault="002661BA">
      <w:pPr>
        <w:ind w:firstLine="540"/>
        <w:jc w:val="both"/>
      </w:pPr>
    </w:p>
    <w:p w14:paraId="22CFB822" w14:textId="77777777" w:rsidR="002661BA" w:rsidRDefault="00D972BC">
      <w:pPr>
        <w:ind w:firstLine="540"/>
        <w:jc w:val="both"/>
      </w:pPr>
      <w:r>
        <w:rPr>
          <w:rFonts w:ascii="Arial" w:eastAsia="宋体" w:hAnsi="Arial" w:cs="Arial"/>
          <w:color w:val="000000"/>
          <w:sz w:val="20"/>
          <w:szCs w:val="20"/>
        </w:rPr>
        <w:t xml:space="preserve">In 2019, the Financial Accounting Standards Board (“FASB”) issued new guidance to simplify the </w:t>
      </w:r>
      <w:r>
        <w:rPr>
          <w:rFonts w:ascii="Arial" w:eastAsia="宋体" w:hAnsi="Arial" w:cs="Arial"/>
          <w:color w:val="000000"/>
          <w:sz w:val="20"/>
          <w:szCs w:val="20"/>
        </w:rPr>
        <w:t>accounting for income taxes by removing certain exceptions to the general principles and also simplification of areas such as franchise taxes, step-up in tax basis goodwill, separate entity financial statements and interim recognition of enactment of tax l</w:t>
      </w:r>
      <w:r>
        <w:rPr>
          <w:rFonts w:ascii="Arial" w:eastAsia="宋体" w:hAnsi="Arial" w:cs="Arial"/>
          <w:color w:val="000000"/>
          <w:sz w:val="20"/>
          <w:szCs w:val="20"/>
        </w:rPr>
        <w:t>aws or rate changes. The standard is effective for annual reporting periods beginning after December 15, 2020, including interim reporting periods within those fiscal years. We adopted this guidance in the first quarter of 2021 with no material impact on o</w:t>
      </w:r>
      <w:r>
        <w:rPr>
          <w:rFonts w:ascii="Arial" w:eastAsia="宋体" w:hAnsi="Arial" w:cs="Arial"/>
          <w:color w:val="000000"/>
          <w:sz w:val="20"/>
          <w:szCs w:val="20"/>
        </w:rPr>
        <w:t>ur consolidated financial statements.</w:t>
      </w:r>
    </w:p>
    <w:p w14:paraId="22CFB823" w14:textId="77777777" w:rsidR="002661BA" w:rsidRDefault="002661BA">
      <w:pPr>
        <w:ind w:firstLine="540"/>
        <w:jc w:val="both"/>
      </w:pPr>
    </w:p>
    <w:p w14:paraId="22CFB824" w14:textId="77777777" w:rsidR="002661BA" w:rsidRDefault="00D972BC">
      <w:pPr>
        <w:ind w:firstLine="540"/>
        <w:jc w:val="both"/>
      </w:pPr>
      <w:r>
        <w:rPr>
          <w:rFonts w:ascii="Arial" w:eastAsia="宋体" w:hAnsi="Arial" w:cs="Arial"/>
          <w:color w:val="000000"/>
          <w:sz w:val="20"/>
          <w:szCs w:val="20"/>
        </w:rPr>
        <w:t>In 2020, the FASB issued new guidance to decrease diversity in practice and increase comparability for the accounting of certain equity securities and investments under the equity method of accounting. The standard is</w:t>
      </w:r>
      <w:r>
        <w:rPr>
          <w:rFonts w:ascii="Arial" w:eastAsia="宋体" w:hAnsi="Arial" w:cs="Arial"/>
          <w:color w:val="000000"/>
          <w:sz w:val="20"/>
          <w:szCs w:val="20"/>
        </w:rPr>
        <w:t xml:space="preserve"> effective for fiscal years, and interim periods within those fiscal years, beginning after December 15, 2020. We adopted this guidance in the first quarter of 2021 with no material impact on our consolidated financial statements.</w:t>
      </w:r>
    </w:p>
    <w:p w14:paraId="22CFB825" w14:textId="77777777" w:rsidR="002661BA" w:rsidRDefault="002661BA">
      <w:pPr>
        <w:ind w:firstLine="540"/>
        <w:jc w:val="both"/>
      </w:pPr>
    </w:p>
    <w:p w14:paraId="22CFB826" w14:textId="77777777" w:rsidR="002661BA" w:rsidRDefault="002661BA">
      <w:pPr>
        <w:ind w:firstLine="540"/>
        <w:jc w:val="both"/>
      </w:pPr>
    </w:p>
    <w:p w14:paraId="22CFB827" w14:textId="77777777" w:rsidR="002661BA" w:rsidRDefault="002661BA">
      <w:pPr>
        <w:ind w:firstLine="540"/>
        <w:jc w:val="both"/>
      </w:pPr>
    </w:p>
    <w:p w14:paraId="22CFB828" w14:textId="77777777" w:rsidR="002661BA" w:rsidRDefault="002661BA">
      <w:pPr>
        <w:ind w:firstLine="540"/>
        <w:jc w:val="both"/>
      </w:pPr>
    </w:p>
    <w:p w14:paraId="22CFB829" w14:textId="77777777" w:rsidR="002661BA" w:rsidRDefault="00D972BC">
      <w:pPr>
        <w:jc w:val="center"/>
      </w:pPr>
      <w:r>
        <w:rPr>
          <w:rFonts w:ascii="Arial" w:eastAsia="宋体" w:hAnsi="Arial" w:cs="Arial"/>
          <w:color w:val="000000"/>
          <w:sz w:val="18"/>
          <w:szCs w:val="18"/>
        </w:rPr>
        <w:t>71</w:t>
      </w:r>
    </w:p>
    <w:p w14:paraId="22CFB82A" w14:textId="77777777" w:rsidR="002661BA" w:rsidRDefault="00D972BC">
      <w:r>
        <w:pict w14:anchorId="22CFE4F8">
          <v:rect id="_x0000_i1095" style="width:415.3pt;height:1.5pt" o:hralign="center" o:hrstd="t" o:hr="t" fillcolor="#a0a0a0" stroked="f"/>
        </w:pict>
      </w:r>
    </w:p>
    <w:p w14:paraId="22CFB82B" w14:textId="77777777" w:rsidR="002661BA" w:rsidRDefault="00D972BC">
      <w:hyperlink r:id="rId106" w:anchor="id0d7a71b05ce452ea9fdb54f3cb359c7_7" w:history="1">
        <w:r>
          <w:rPr>
            <w:rStyle w:val="a5"/>
            <w:rFonts w:ascii="Arial" w:eastAsia="宋体" w:hAnsi="Arial" w:cs="Arial"/>
            <w:sz w:val="18"/>
            <w:szCs w:val="18"/>
          </w:rPr>
          <w:t>Table of Contents</w:t>
        </w:r>
      </w:hyperlink>
    </w:p>
    <w:p w14:paraId="22CFB82C" w14:textId="77777777" w:rsidR="002661BA" w:rsidRDefault="00D972BC">
      <w:pPr>
        <w:jc w:val="center"/>
      </w:pPr>
      <w:r>
        <w:rPr>
          <w:rFonts w:ascii="Arial" w:eastAsia="宋体" w:hAnsi="Arial" w:cs="Arial"/>
          <w:b/>
          <w:bCs/>
          <w:color w:val="000000"/>
          <w:sz w:val="20"/>
          <w:szCs w:val="20"/>
        </w:rPr>
        <w:t>eBay Inc.</w:t>
      </w:r>
    </w:p>
    <w:p w14:paraId="22CFB82D"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B82E" w14:textId="77777777" w:rsidR="002661BA" w:rsidRDefault="00D972BC">
      <w:pPr>
        <w:jc w:val="both"/>
      </w:pPr>
      <w:r>
        <w:rPr>
          <w:rFonts w:ascii="Arial" w:eastAsia="宋体" w:hAnsi="Arial" w:cs="Arial"/>
          <w:b/>
          <w:bCs/>
          <w:color w:val="000000"/>
          <w:sz w:val="20"/>
          <w:szCs w:val="20"/>
        </w:rPr>
        <w:t>Note 2 — Net Income Per Share</w:t>
      </w:r>
    </w:p>
    <w:p w14:paraId="22CFB82F" w14:textId="77777777" w:rsidR="002661BA" w:rsidRDefault="002661BA">
      <w:pPr>
        <w:jc w:val="both"/>
      </w:pPr>
    </w:p>
    <w:p w14:paraId="22CFB830" w14:textId="77777777" w:rsidR="002661BA" w:rsidRDefault="00D972BC">
      <w:pPr>
        <w:ind w:firstLine="540"/>
        <w:jc w:val="both"/>
      </w:pPr>
      <w:r>
        <w:rPr>
          <w:rFonts w:ascii="Arial" w:eastAsia="宋体" w:hAnsi="Arial" w:cs="Arial"/>
          <w:color w:val="000000"/>
          <w:sz w:val="20"/>
          <w:szCs w:val="20"/>
        </w:rPr>
        <w:t>Basic</w:t>
      </w:r>
      <w:r>
        <w:rPr>
          <w:rFonts w:ascii="Arial" w:eastAsia="宋体" w:hAnsi="Arial" w:cs="Arial"/>
          <w:color w:val="000000"/>
          <w:sz w:val="20"/>
          <w:szCs w:val="20"/>
        </w:rPr>
        <w:t xml:space="preserve"> net income per share is computed by dividing net income for the period by the weighted average number of common shares outstanding during the period. Diluted net income per share is computed by dividing net income for the period by the weighted average nu</w:t>
      </w:r>
      <w:r>
        <w:rPr>
          <w:rFonts w:ascii="Arial" w:eastAsia="宋体" w:hAnsi="Arial" w:cs="Arial"/>
          <w:color w:val="000000"/>
          <w:sz w:val="20"/>
          <w:szCs w:val="20"/>
        </w:rPr>
        <w:t>mber of shares of common stock and potentially dilutive common stock outstanding during the period. The dilutive effect of outstanding options and equity incentive awards is reflected in diluted net income per share by application of the treasury stock met</w:t>
      </w:r>
      <w:r>
        <w:rPr>
          <w:rFonts w:ascii="Arial" w:eastAsia="宋体" w:hAnsi="Arial" w:cs="Arial"/>
          <w:color w:val="000000"/>
          <w:sz w:val="20"/>
          <w:szCs w:val="20"/>
        </w:rPr>
        <w:t xml:space="preserve">hod. The calculation of diluted net income per share excludes all anti-dilutive common shares. </w:t>
      </w:r>
    </w:p>
    <w:p w14:paraId="22CFB831" w14:textId="77777777" w:rsidR="002661BA" w:rsidRDefault="002661BA">
      <w:pPr>
        <w:ind w:firstLine="540"/>
        <w:jc w:val="both"/>
      </w:pPr>
    </w:p>
    <w:p w14:paraId="22CFB832" w14:textId="77777777" w:rsidR="002661BA" w:rsidRDefault="00D972BC">
      <w:pPr>
        <w:spacing w:after="120"/>
        <w:ind w:firstLine="540"/>
        <w:jc w:val="both"/>
      </w:pPr>
      <w:r>
        <w:rPr>
          <w:rFonts w:ascii="Arial" w:eastAsia="宋体" w:hAnsi="Arial" w:cs="Arial"/>
          <w:color w:val="000000"/>
          <w:sz w:val="20"/>
          <w:szCs w:val="20"/>
        </w:rPr>
        <w:t>The following table presents the computation of basic and diluted net income per share (in millions,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40"/>
        <w:gridCol w:w="4873"/>
        <w:gridCol w:w="38"/>
        <w:gridCol w:w="121"/>
        <w:gridCol w:w="898"/>
        <w:gridCol w:w="36"/>
        <w:gridCol w:w="36"/>
        <w:gridCol w:w="36"/>
        <w:gridCol w:w="36"/>
        <w:gridCol w:w="121"/>
        <w:gridCol w:w="899"/>
        <w:gridCol w:w="36"/>
        <w:gridCol w:w="36"/>
        <w:gridCol w:w="36"/>
        <w:gridCol w:w="36"/>
        <w:gridCol w:w="121"/>
        <w:gridCol w:w="901"/>
        <w:gridCol w:w="36"/>
      </w:tblGrid>
      <w:tr w:rsidR="002661BA" w14:paraId="22CFB845" w14:textId="77777777">
        <w:tc>
          <w:tcPr>
            <w:tcW w:w="50" w:type="pct"/>
            <w:shd w:val="clear" w:color="auto" w:fill="auto"/>
            <w:vAlign w:val="bottom"/>
          </w:tcPr>
          <w:p w14:paraId="22CFB833" w14:textId="77777777" w:rsidR="002661BA" w:rsidRDefault="002661BA">
            <w:pPr>
              <w:rPr>
                <w:rFonts w:ascii="宋体"/>
              </w:rPr>
            </w:pPr>
          </w:p>
        </w:tc>
        <w:tc>
          <w:tcPr>
            <w:tcW w:w="2978" w:type="pct"/>
            <w:shd w:val="clear" w:color="auto" w:fill="auto"/>
            <w:vAlign w:val="bottom"/>
          </w:tcPr>
          <w:p w14:paraId="22CFB834" w14:textId="77777777" w:rsidR="002661BA" w:rsidRDefault="002661BA">
            <w:pPr>
              <w:rPr>
                <w:rFonts w:ascii="宋体"/>
              </w:rPr>
            </w:pPr>
          </w:p>
        </w:tc>
        <w:tc>
          <w:tcPr>
            <w:tcW w:w="5" w:type="pct"/>
            <w:shd w:val="clear" w:color="auto" w:fill="auto"/>
            <w:vAlign w:val="bottom"/>
          </w:tcPr>
          <w:p w14:paraId="22CFB835" w14:textId="77777777" w:rsidR="002661BA" w:rsidRDefault="002661BA">
            <w:pPr>
              <w:rPr>
                <w:rFonts w:ascii="宋体"/>
              </w:rPr>
            </w:pPr>
          </w:p>
        </w:tc>
        <w:tc>
          <w:tcPr>
            <w:tcW w:w="50" w:type="pct"/>
            <w:shd w:val="clear" w:color="auto" w:fill="auto"/>
            <w:vAlign w:val="bottom"/>
          </w:tcPr>
          <w:p w14:paraId="22CFB836" w14:textId="77777777" w:rsidR="002661BA" w:rsidRDefault="002661BA">
            <w:pPr>
              <w:rPr>
                <w:rFonts w:ascii="宋体"/>
              </w:rPr>
            </w:pPr>
          </w:p>
        </w:tc>
        <w:tc>
          <w:tcPr>
            <w:tcW w:w="580" w:type="pct"/>
            <w:shd w:val="clear" w:color="auto" w:fill="auto"/>
            <w:vAlign w:val="bottom"/>
          </w:tcPr>
          <w:p w14:paraId="22CFB837" w14:textId="77777777" w:rsidR="002661BA" w:rsidRDefault="002661BA">
            <w:pPr>
              <w:rPr>
                <w:rFonts w:ascii="宋体"/>
              </w:rPr>
            </w:pPr>
          </w:p>
        </w:tc>
        <w:tc>
          <w:tcPr>
            <w:tcW w:w="5" w:type="pct"/>
            <w:shd w:val="clear" w:color="auto" w:fill="auto"/>
            <w:vAlign w:val="bottom"/>
          </w:tcPr>
          <w:p w14:paraId="22CFB838" w14:textId="77777777" w:rsidR="002661BA" w:rsidRDefault="002661BA">
            <w:pPr>
              <w:rPr>
                <w:rFonts w:ascii="宋体"/>
              </w:rPr>
            </w:pPr>
          </w:p>
        </w:tc>
        <w:tc>
          <w:tcPr>
            <w:tcW w:w="5" w:type="pct"/>
            <w:shd w:val="clear" w:color="auto" w:fill="auto"/>
            <w:vAlign w:val="bottom"/>
          </w:tcPr>
          <w:p w14:paraId="22CFB839" w14:textId="77777777" w:rsidR="002661BA" w:rsidRDefault="002661BA">
            <w:pPr>
              <w:rPr>
                <w:rFonts w:ascii="宋体"/>
              </w:rPr>
            </w:pPr>
          </w:p>
        </w:tc>
        <w:tc>
          <w:tcPr>
            <w:tcW w:w="19" w:type="pct"/>
            <w:shd w:val="clear" w:color="auto" w:fill="auto"/>
            <w:vAlign w:val="bottom"/>
          </w:tcPr>
          <w:p w14:paraId="22CFB83A" w14:textId="77777777" w:rsidR="002661BA" w:rsidRDefault="002661BA">
            <w:pPr>
              <w:rPr>
                <w:rFonts w:ascii="宋体"/>
              </w:rPr>
            </w:pPr>
          </w:p>
        </w:tc>
        <w:tc>
          <w:tcPr>
            <w:tcW w:w="5" w:type="pct"/>
            <w:shd w:val="clear" w:color="auto" w:fill="auto"/>
            <w:vAlign w:val="bottom"/>
          </w:tcPr>
          <w:p w14:paraId="22CFB83B" w14:textId="77777777" w:rsidR="002661BA" w:rsidRDefault="002661BA">
            <w:pPr>
              <w:rPr>
                <w:rFonts w:ascii="宋体"/>
              </w:rPr>
            </w:pPr>
          </w:p>
        </w:tc>
        <w:tc>
          <w:tcPr>
            <w:tcW w:w="50" w:type="pct"/>
            <w:shd w:val="clear" w:color="auto" w:fill="auto"/>
            <w:vAlign w:val="bottom"/>
          </w:tcPr>
          <w:p w14:paraId="22CFB83C" w14:textId="77777777" w:rsidR="002661BA" w:rsidRDefault="002661BA">
            <w:pPr>
              <w:rPr>
                <w:rFonts w:ascii="宋体"/>
              </w:rPr>
            </w:pPr>
          </w:p>
        </w:tc>
        <w:tc>
          <w:tcPr>
            <w:tcW w:w="580" w:type="pct"/>
            <w:shd w:val="clear" w:color="auto" w:fill="auto"/>
            <w:vAlign w:val="bottom"/>
          </w:tcPr>
          <w:p w14:paraId="22CFB83D" w14:textId="77777777" w:rsidR="002661BA" w:rsidRDefault="002661BA">
            <w:pPr>
              <w:rPr>
                <w:rFonts w:ascii="宋体"/>
              </w:rPr>
            </w:pPr>
          </w:p>
        </w:tc>
        <w:tc>
          <w:tcPr>
            <w:tcW w:w="5" w:type="pct"/>
            <w:shd w:val="clear" w:color="auto" w:fill="auto"/>
            <w:vAlign w:val="bottom"/>
          </w:tcPr>
          <w:p w14:paraId="22CFB83E" w14:textId="77777777" w:rsidR="002661BA" w:rsidRDefault="002661BA">
            <w:pPr>
              <w:rPr>
                <w:rFonts w:ascii="宋体"/>
              </w:rPr>
            </w:pPr>
          </w:p>
        </w:tc>
        <w:tc>
          <w:tcPr>
            <w:tcW w:w="5" w:type="pct"/>
            <w:shd w:val="clear" w:color="auto" w:fill="auto"/>
            <w:vAlign w:val="bottom"/>
          </w:tcPr>
          <w:p w14:paraId="22CFB83F" w14:textId="77777777" w:rsidR="002661BA" w:rsidRDefault="002661BA">
            <w:pPr>
              <w:rPr>
                <w:rFonts w:ascii="宋体"/>
              </w:rPr>
            </w:pPr>
          </w:p>
        </w:tc>
        <w:tc>
          <w:tcPr>
            <w:tcW w:w="19" w:type="pct"/>
            <w:shd w:val="clear" w:color="auto" w:fill="auto"/>
            <w:vAlign w:val="bottom"/>
          </w:tcPr>
          <w:p w14:paraId="22CFB840" w14:textId="77777777" w:rsidR="002661BA" w:rsidRDefault="002661BA">
            <w:pPr>
              <w:rPr>
                <w:rFonts w:ascii="宋体"/>
              </w:rPr>
            </w:pPr>
          </w:p>
        </w:tc>
        <w:tc>
          <w:tcPr>
            <w:tcW w:w="5" w:type="pct"/>
            <w:shd w:val="clear" w:color="auto" w:fill="auto"/>
            <w:vAlign w:val="bottom"/>
          </w:tcPr>
          <w:p w14:paraId="22CFB841" w14:textId="77777777" w:rsidR="002661BA" w:rsidRDefault="002661BA">
            <w:pPr>
              <w:rPr>
                <w:rFonts w:ascii="宋体"/>
              </w:rPr>
            </w:pPr>
          </w:p>
        </w:tc>
        <w:tc>
          <w:tcPr>
            <w:tcW w:w="50" w:type="pct"/>
            <w:shd w:val="clear" w:color="auto" w:fill="auto"/>
            <w:vAlign w:val="bottom"/>
          </w:tcPr>
          <w:p w14:paraId="22CFB842" w14:textId="77777777" w:rsidR="002661BA" w:rsidRDefault="002661BA">
            <w:pPr>
              <w:rPr>
                <w:rFonts w:ascii="宋体"/>
              </w:rPr>
            </w:pPr>
          </w:p>
        </w:tc>
        <w:tc>
          <w:tcPr>
            <w:tcW w:w="581" w:type="pct"/>
            <w:shd w:val="clear" w:color="auto" w:fill="auto"/>
            <w:vAlign w:val="bottom"/>
          </w:tcPr>
          <w:p w14:paraId="22CFB843" w14:textId="77777777" w:rsidR="002661BA" w:rsidRDefault="002661BA">
            <w:pPr>
              <w:rPr>
                <w:rFonts w:ascii="宋体"/>
              </w:rPr>
            </w:pPr>
          </w:p>
        </w:tc>
        <w:tc>
          <w:tcPr>
            <w:tcW w:w="5" w:type="pct"/>
            <w:shd w:val="clear" w:color="auto" w:fill="auto"/>
            <w:vAlign w:val="bottom"/>
          </w:tcPr>
          <w:p w14:paraId="22CFB844" w14:textId="77777777" w:rsidR="002661BA" w:rsidRDefault="002661BA">
            <w:pPr>
              <w:rPr>
                <w:rFonts w:ascii="宋体"/>
              </w:rPr>
            </w:pPr>
          </w:p>
        </w:tc>
      </w:tr>
      <w:tr w:rsidR="002661BA" w14:paraId="22CFB848" w14:textId="77777777">
        <w:tc>
          <w:tcPr>
            <w:tcW w:w="0" w:type="auto"/>
            <w:gridSpan w:val="3"/>
            <w:shd w:val="clear" w:color="auto" w:fill="auto"/>
            <w:tcMar>
              <w:top w:w="40" w:type="dxa"/>
              <w:left w:w="20" w:type="dxa"/>
              <w:bottom w:w="40" w:type="dxa"/>
              <w:right w:w="20" w:type="dxa"/>
            </w:tcMar>
            <w:vAlign w:val="bottom"/>
          </w:tcPr>
          <w:p w14:paraId="22CFB846" w14:textId="77777777" w:rsidR="002661BA" w:rsidRDefault="00D972BC">
            <w:pPr>
              <w:textAlignment w:val="bottom"/>
            </w:pPr>
            <w:r>
              <w:rPr>
                <w:rFonts w:ascii="Arial" w:eastAsia="宋体" w:hAnsi="Arial" w:cs="Arial"/>
                <w:color w:val="000000"/>
                <w:sz w:val="16"/>
                <w:szCs w:val="16"/>
              </w:rPr>
              <w:t> </w:t>
            </w:r>
          </w:p>
        </w:tc>
        <w:tc>
          <w:tcPr>
            <w:tcW w:w="0" w:type="auto"/>
            <w:gridSpan w:val="15"/>
            <w:shd w:val="clear" w:color="auto" w:fill="auto"/>
            <w:tcMar>
              <w:top w:w="40" w:type="dxa"/>
              <w:left w:w="20" w:type="dxa"/>
              <w:bottom w:w="40" w:type="dxa"/>
              <w:right w:w="20" w:type="dxa"/>
            </w:tcMar>
            <w:vAlign w:val="bottom"/>
          </w:tcPr>
          <w:p w14:paraId="22CFB847" w14:textId="77777777" w:rsidR="002661BA" w:rsidRDefault="00D972BC">
            <w:pPr>
              <w:jc w:val="center"/>
              <w:textAlignment w:val="bottom"/>
            </w:pPr>
            <w:r>
              <w:rPr>
                <w:rFonts w:ascii="Arial" w:eastAsia="宋体" w:hAnsi="Arial" w:cs="Arial"/>
                <w:b/>
                <w:bCs/>
                <w:color w:val="000000"/>
                <w:sz w:val="17"/>
                <w:szCs w:val="17"/>
              </w:rPr>
              <w:t xml:space="preserve">Year </w:t>
            </w:r>
            <w:r>
              <w:rPr>
                <w:rFonts w:ascii="Arial" w:eastAsia="宋体" w:hAnsi="Arial" w:cs="Arial"/>
                <w:b/>
                <w:bCs/>
                <w:color w:val="000000"/>
                <w:sz w:val="17"/>
                <w:szCs w:val="17"/>
              </w:rPr>
              <w:t>Ended December 31,</w:t>
            </w:r>
          </w:p>
        </w:tc>
      </w:tr>
      <w:tr w:rsidR="002661BA" w14:paraId="22CFB84F" w14:textId="77777777">
        <w:tc>
          <w:tcPr>
            <w:tcW w:w="0" w:type="auto"/>
            <w:gridSpan w:val="3"/>
            <w:shd w:val="clear" w:color="auto" w:fill="auto"/>
            <w:tcMar>
              <w:top w:w="40" w:type="dxa"/>
              <w:left w:w="20" w:type="dxa"/>
              <w:bottom w:w="40" w:type="dxa"/>
              <w:right w:w="20" w:type="dxa"/>
            </w:tcMar>
            <w:vAlign w:val="bottom"/>
          </w:tcPr>
          <w:p w14:paraId="22CFB849" w14:textId="77777777" w:rsidR="002661BA" w:rsidRDefault="00D972BC">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84A"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84B"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84C"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84D"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84E"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B856" w14:textId="77777777">
        <w:tc>
          <w:tcPr>
            <w:tcW w:w="0" w:type="auto"/>
            <w:gridSpan w:val="3"/>
            <w:shd w:val="clear" w:color="auto" w:fill="FFFFFF"/>
            <w:tcMar>
              <w:top w:w="40" w:type="dxa"/>
              <w:left w:w="20" w:type="dxa"/>
              <w:bottom w:w="40" w:type="dxa"/>
              <w:right w:w="20" w:type="dxa"/>
            </w:tcMar>
            <w:vAlign w:val="bottom"/>
          </w:tcPr>
          <w:p w14:paraId="22CFB850" w14:textId="77777777" w:rsidR="002661BA" w:rsidRDefault="00D972BC">
            <w:pPr>
              <w:textAlignment w:val="bottom"/>
            </w:pPr>
            <w:r>
              <w:rPr>
                <w:rFonts w:ascii="Arial" w:eastAsia="宋体" w:hAnsi="Arial" w:cs="Arial"/>
                <w:color w:val="000000"/>
                <w:sz w:val="18"/>
                <w:szCs w:val="18"/>
              </w:rPr>
              <w:t>Numerator:</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851"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852" w14:textId="77777777" w:rsidR="002661BA" w:rsidRDefault="002661B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853"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854" w14:textId="77777777" w:rsidR="002661BA" w:rsidRDefault="002661B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855" w14:textId="77777777" w:rsidR="002661BA" w:rsidRDefault="002661BA">
            <w:pPr>
              <w:rPr>
                <w:rFonts w:ascii="宋体"/>
              </w:rPr>
            </w:pPr>
          </w:p>
        </w:tc>
      </w:tr>
      <w:tr w:rsidR="002661BA" w14:paraId="22CFB863" w14:textId="77777777">
        <w:tc>
          <w:tcPr>
            <w:tcW w:w="0" w:type="auto"/>
            <w:gridSpan w:val="3"/>
            <w:shd w:val="clear" w:color="auto" w:fill="E2E2E2"/>
            <w:tcMar>
              <w:top w:w="40" w:type="dxa"/>
              <w:left w:w="515" w:type="dxa"/>
              <w:bottom w:w="40" w:type="dxa"/>
              <w:right w:w="20" w:type="dxa"/>
            </w:tcMar>
            <w:vAlign w:val="bottom"/>
          </w:tcPr>
          <w:p w14:paraId="22CFB857" w14:textId="77777777" w:rsidR="002661BA" w:rsidRDefault="00D972BC">
            <w:pPr>
              <w:textAlignment w:val="bottom"/>
            </w:pPr>
            <w:r>
              <w:rPr>
                <w:rFonts w:ascii="Arial" w:eastAsia="宋体" w:hAnsi="Arial" w:cs="Arial"/>
                <w:color w:val="000000"/>
                <w:sz w:val="18"/>
                <w:szCs w:val="18"/>
              </w:rPr>
              <w:t>Income from continuing operations</w:t>
            </w:r>
          </w:p>
        </w:tc>
        <w:tc>
          <w:tcPr>
            <w:tcW w:w="0" w:type="auto"/>
            <w:shd w:val="clear" w:color="auto" w:fill="E2E2E2"/>
            <w:tcMar>
              <w:top w:w="40" w:type="dxa"/>
              <w:left w:w="20" w:type="dxa"/>
              <w:bottom w:w="40" w:type="dxa"/>
              <w:right w:w="0" w:type="dxa"/>
            </w:tcMar>
            <w:vAlign w:val="bottom"/>
          </w:tcPr>
          <w:p w14:paraId="22CFB858"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B859" w14:textId="77777777" w:rsidR="002661BA" w:rsidRDefault="00D972BC">
            <w:pPr>
              <w:jc w:val="right"/>
              <w:textAlignment w:val="bottom"/>
            </w:pPr>
            <w:r>
              <w:rPr>
                <w:rFonts w:ascii="Arial" w:eastAsia="宋体" w:hAnsi="Arial" w:cs="Arial"/>
                <w:color w:val="000000"/>
                <w:sz w:val="18"/>
                <w:szCs w:val="18"/>
              </w:rPr>
              <w:t>252 </w:t>
            </w:r>
          </w:p>
        </w:tc>
        <w:tc>
          <w:tcPr>
            <w:tcW w:w="0" w:type="auto"/>
            <w:shd w:val="clear" w:color="auto" w:fill="E2E2E2"/>
            <w:tcMar>
              <w:top w:w="40" w:type="dxa"/>
              <w:left w:w="0" w:type="dxa"/>
              <w:bottom w:w="40" w:type="dxa"/>
              <w:right w:w="20" w:type="dxa"/>
            </w:tcMar>
            <w:vAlign w:val="bottom"/>
          </w:tcPr>
          <w:p w14:paraId="22CFB85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85B"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B85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B85D" w14:textId="77777777" w:rsidR="002661BA" w:rsidRDefault="00D972BC">
            <w:pPr>
              <w:jc w:val="right"/>
              <w:textAlignment w:val="bottom"/>
            </w:pPr>
            <w:r>
              <w:rPr>
                <w:rFonts w:ascii="Arial" w:eastAsia="宋体" w:hAnsi="Arial" w:cs="Arial"/>
                <w:color w:val="000000"/>
                <w:sz w:val="18"/>
                <w:szCs w:val="18"/>
              </w:rPr>
              <w:t>2,487 </w:t>
            </w:r>
          </w:p>
        </w:tc>
        <w:tc>
          <w:tcPr>
            <w:tcW w:w="0" w:type="auto"/>
            <w:shd w:val="clear" w:color="auto" w:fill="E2E2E2"/>
            <w:tcMar>
              <w:top w:w="40" w:type="dxa"/>
              <w:left w:w="0" w:type="dxa"/>
              <w:bottom w:w="40" w:type="dxa"/>
              <w:right w:w="20" w:type="dxa"/>
            </w:tcMar>
            <w:vAlign w:val="bottom"/>
          </w:tcPr>
          <w:p w14:paraId="22CFB85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85F"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B860"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B861" w14:textId="77777777" w:rsidR="002661BA" w:rsidRDefault="00D972BC">
            <w:pPr>
              <w:jc w:val="right"/>
              <w:textAlignment w:val="bottom"/>
            </w:pPr>
            <w:r>
              <w:rPr>
                <w:rFonts w:ascii="Arial" w:eastAsia="宋体" w:hAnsi="Arial" w:cs="Arial"/>
                <w:color w:val="000000"/>
                <w:sz w:val="18"/>
                <w:szCs w:val="18"/>
              </w:rPr>
              <w:t>1,433 </w:t>
            </w:r>
          </w:p>
        </w:tc>
        <w:tc>
          <w:tcPr>
            <w:tcW w:w="0" w:type="auto"/>
            <w:shd w:val="clear" w:color="auto" w:fill="E2E2E2"/>
            <w:tcMar>
              <w:top w:w="40" w:type="dxa"/>
              <w:left w:w="0" w:type="dxa"/>
              <w:bottom w:w="40" w:type="dxa"/>
              <w:right w:w="20" w:type="dxa"/>
            </w:tcMar>
            <w:vAlign w:val="bottom"/>
          </w:tcPr>
          <w:p w14:paraId="22CFB862" w14:textId="77777777" w:rsidR="002661BA" w:rsidRDefault="002661BA">
            <w:pPr>
              <w:jc w:val="right"/>
              <w:rPr>
                <w:rFonts w:ascii="宋体"/>
              </w:rPr>
            </w:pPr>
          </w:p>
        </w:tc>
      </w:tr>
      <w:tr w:rsidR="002661BA" w14:paraId="22CFB86D" w14:textId="77777777">
        <w:tc>
          <w:tcPr>
            <w:tcW w:w="0" w:type="auto"/>
            <w:gridSpan w:val="3"/>
            <w:shd w:val="clear" w:color="auto" w:fill="FFFFFF"/>
            <w:tcMar>
              <w:top w:w="40" w:type="dxa"/>
              <w:left w:w="515" w:type="dxa"/>
              <w:bottom w:w="40" w:type="dxa"/>
              <w:right w:w="20" w:type="dxa"/>
            </w:tcMar>
            <w:vAlign w:val="bottom"/>
          </w:tcPr>
          <w:p w14:paraId="22CFB864" w14:textId="77777777" w:rsidR="002661BA" w:rsidRDefault="00D972BC">
            <w:pPr>
              <w:textAlignment w:val="bottom"/>
            </w:pPr>
            <w:r>
              <w:rPr>
                <w:rFonts w:ascii="Arial" w:eastAsia="宋体" w:hAnsi="Arial" w:cs="Arial"/>
                <w:color w:val="000000"/>
                <w:sz w:val="18"/>
                <w:szCs w:val="18"/>
              </w:rPr>
              <w:t>Income from discontinued operations, net of income taxes</w:t>
            </w:r>
          </w:p>
        </w:tc>
        <w:tc>
          <w:tcPr>
            <w:tcW w:w="0" w:type="auto"/>
            <w:gridSpan w:val="2"/>
            <w:shd w:val="clear" w:color="auto" w:fill="FFFFFF"/>
            <w:tcMar>
              <w:top w:w="40" w:type="dxa"/>
              <w:left w:w="20" w:type="dxa"/>
              <w:bottom w:w="40" w:type="dxa"/>
              <w:right w:w="0" w:type="dxa"/>
            </w:tcMar>
            <w:vAlign w:val="bottom"/>
          </w:tcPr>
          <w:p w14:paraId="22CFB865" w14:textId="77777777" w:rsidR="002661BA" w:rsidRDefault="00D972BC">
            <w:pPr>
              <w:jc w:val="right"/>
              <w:textAlignment w:val="bottom"/>
            </w:pPr>
            <w:r>
              <w:rPr>
                <w:rFonts w:ascii="Arial" w:eastAsia="宋体" w:hAnsi="Arial" w:cs="Arial"/>
                <w:color w:val="000000"/>
                <w:sz w:val="18"/>
                <w:szCs w:val="18"/>
              </w:rPr>
              <w:t>13,356 </w:t>
            </w:r>
          </w:p>
        </w:tc>
        <w:tc>
          <w:tcPr>
            <w:tcW w:w="0" w:type="auto"/>
            <w:shd w:val="clear" w:color="auto" w:fill="FFFFFF"/>
            <w:tcMar>
              <w:top w:w="40" w:type="dxa"/>
              <w:left w:w="0" w:type="dxa"/>
              <w:bottom w:w="40" w:type="dxa"/>
              <w:right w:w="20" w:type="dxa"/>
            </w:tcMar>
            <w:vAlign w:val="bottom"/>
          </w:tcPr>
          <w:p w14:paraId="22CFB86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867"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868" w14:textId="77777777" w:rsidR="002661BA" w:rsidRDefault="00D972BC">
            <w:pPr>
              <w:jc w:val="right"/>
              <w:textAlignment w:val="bottom"/>
            </w:pPr>
            <w:r>
              <w:rPr>
                <w:rFonts w:ascii="Arial" w:eastAsia="宋体" w:hAnsi="Arial" w:cs="Arial"/>
                <w:color w:val="000000"/>
                <w:sz w:val="18"/>
                <w:szCs w:val="18"/>
              </w:rPr>
              <w:t>3,180 </w:t>
            </w:r>
          </w:p>
        </w:tc>
        <w:tc>
          <w:tcPr>
            <w:tcW w:w="0" w:type="auto"/>
            <w:shd w:val="clear" w:color="auto" w:fill="FFFFFF"/>
            <w:tcMar>
              <w:top w:w="40" w:type="dxa"/>
              <w:left w:w="0" w:type="dxa"/>
              <w:bottom w:w="40" w:type="dxa"/>
              <w:right w:w="20" w:type="dxa"/>
            </w:tcMar>
            <w:vAlign w:val="bottom"/>
          </w:tcPr>
          <w:p w14:paraId="22CFB86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86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86B" w14:textId="77777777" w:rsidR="002661BA" w:rsidRDefault="00D972BC">
            <w:pPr>
              <w:jc w:val="right"/>
              <w:textAlignment w:val="bottom"/>
            </w:pPr>
            <w:r>
              <w:rPr>
                <w:rFonts w:ascii="Arial" w:eastAsia="宋体" w:hAnsi="Arial" w:cs="Arial"/>
                <w:color w:val="000000"/>
                <w:sz w:val="18"/>
                <w:szCs w:val="18"/>
              </w:rPr>
              <w:t>353 </w:t>
            </w:r>
          </w:p>
        </w:tc>
        <w:tc>
          <w:tcPr>
            <w:tcW w:w="0" w:type="auto"/>
            <w:shd w:val="clear" w:color="auto" w:fill="FFFFFF"/>
            <w:tcMar>
              <w:top w:w="40" w:type="dxa"/>
              <w:left w:w="0" w:type="dxa"/>
              <w:bottom w:w="40" w:type="dxa"/>
              <w:right w:w="20" w:type="dxa"/>
            </w:tcMar>
            <w:vAlign w:val="bottom"/>
          </w:tcPr>
          <w:p w14:paraId="22CFB86C" w14:textId="77777777" w:rsidR="002661BA" w:rsidRDefault="002661BA">
            <w:pPr>
              <w:jc w:val="right"/>
              <w:rPr>
                <w:rFonts w:ascii="宋体"/>
              </w:rPr>
            </w:pPr>
          </w:p>
        </w:tc>
      </w:tr>
      <w:tr w:rsidR="002661BA" w14:paraId="22CFB87A" w14:textId="77777777">
        <w:tc>
          <w:tcPr>
            <w:tcW w:w="0" w:type="auto"/>
            <w:gridSpan w:val="3"/>
            <w:shd w:val="clear" w:color="auto" w:fill="E2E2E2"/>
            <w:tcMar>
              <w:top w:w="40" w:type="dxa"/>
              <w:left w:w="20" w:type="dxa"/>
              <w:bottom w:w="40" w:type="dxa"/>
              <w:right w:w="20" w:type="dxa"/>
            </w:tcMar>
            <w:vAlign w:val="bottom"/>
          </w:tcPr>
          <w:p w14:paraId="22CFB86E" w14:textId="77777777" w:rsidR="002661BA" w:rsidRDefault="00D972BC">
            <w:pPr>
              <w:textAlignment w:val="bottom"/>
            </w:pPr>
            <w:r>
              <w:rPr>
                <w:rFonts w:ascii="Arial" w:eastAsia="宋体" w:hAnsi="Arial" w:cs="Arial"/>
                <w:color w:val="000000"/>
                <w:sz w:val="18"/>
                <w:szCs w:val="18"/>
              </w:rPr>
              <w:t>Net income</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B86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B870" w14:textId="77777777" w:rsidR="002661BA" w:rsidRDefault="00D972BC">
            <w:pPr>
              <w:jc w:val="right"/>
              <w:textAlignment w:val="bottom"/>
            </w:pPr>
            <w:r>
              <w:rPr>
                <w:rFonts w:ascii="Arial" w:eastAsia="宋体" w:hAnsi="Arial" w:cs="Arial"/>
                <w:color w:val="000000"/>
                <w:sz w:val="18"/>
                <w:szCs w:val="18"/>
              </w:rPr>
              <w:t>13,608 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871"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872"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B87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B874" w14:textId="77777777" w:rsidR="002661BA" w:rsidRDefault="00D972BC">
            <w:pPr>
              <w:jc w:val="right"/>
              <w:textAlignment w:val="bottom"/>
            </w:pPr>
            <w:r>
              <w:rPr>
                <w:rFonts w:ascii="Arial" w:eastAsia="宋体" w:hAnsi="Arial" w:cs="Arial"/>
                <w:color w:val="000000"/>
                <w:sz w:val="18"/>
                <w:szCs w:val="18"/>
              </w:rPr>
              <w:t>5,667 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87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876"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B87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B878" w14:textId="77777777" w:rsidR="002661BA" w:rsidRDefault="00D972BC">
            <w:pPr>
              <w:jc w:val="right"/>
              <w:textAlignment w:val="bottom"/>
            </w:pPr>
            <w:r>
              <w:rPr>
                <w:rFonts w:ascii="Arial" w:eastAsia="宋体" w:hAnsi="Arial" w:cs="Arial"/>
                <w:color w:val="000000"/>
                <w:sz w:val="18"/>
                <w:szCs w:val="18"/>
              </w:rPr>
              <w:t>1,786 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879" w14:textId="77777777" w:rsidR="002661BA" w:rsidRDefault="002661BA">
            <w:pPr>
              <w:jc w:val="right"/>
              <w:rPr>
                <w:rFonts w:ascii="宋体"/>
              </w:rPr>
            </w:pPr>
          </w:p>
        </w:tc>
      </w:tr>
      <w:tr w:rsidR="002661BA" w14:paraId="22CFB881" w14:textId="77777777">
        <w:tc>
          <w:tcPr>
            <w:tcW w:w="0" w:type="auto"/>
            <w:gridSpan w:val="3"/>
            <w:shd w:val="clear" w:color="auto" w:fill="FFFFFF"/>
            <w:tcMar>
              <w:top w:w="40" w:type="dxa"/>
              <w:left w:w="20" w:type="dxa"/>
              <w:bottom w:w="40" w:type="dxa"/>
              <w:right w:w="20" w:type="dxa"/>
            </w:tcMar>
            <w:vAlign w:val="bottom"/>
          </w:tcPr>
          <w:p w14:paraId="22CFB87B" w14:textId="77777777" w:rsidR="002661BA" w:rsidRDefault="00D972BC">
            <w:pPr>
              <w:textAlignment w:val="bottom"/>
            </w:pPr>
            <w:r>
              <w:rPr>
                <w:rFonts w:ascii="Arial" w:eastAsia="宋体" w:hAnsi="Arial" w:cs="Arial"/>
                <w:color w:val="000000"/>
                <w:sz w:val="18"/>
                <w:szCs w:val="18"/>
              </w:rPr>
              <w:t>Denominator:</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B87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87D" w14:textId="77777777" w:rsidR="002661BA" w:rsidRDefault="002661B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B87E"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87F" w14:textId="77777777" w:rsidR="002661BA" w:rsidRDefault="002661B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B880" w14:textId="77777777" w:rsidR="002661BA" w:rsidRDefault="002661BA">
            <w:pPr>
              <w:rPr>
                <w:rFonts w:ascii="宋体"/>
              </w:rPr>
            </w:pPr>
          </w:p>
        </w:tc>
      </w:tr>
      <w:tr w:rsidR="002661BA" w14:paraId="22CFB88B" w14:textId="77777777">
        <w:tc>
          <w:tcPr>
            <w:tcW w:w="0" w:type="auto"/>
            <w:gridSpan w:val="3"/>
            <w:shd w:val="clear" w:color="auto" w:fill="E2E2E2"/>
            <w:tcMar>
              <w:top w:w="40" w:type="dxa"/>
              <w:left w:w="515" w:type="dxa"/>
              <w:bottom w:w="40" w:type="dxa"/>
              <w:right w:w="20" w:type="dxa"/>
            </w:tcMar>
            <w:vAlign w:val="bottom"/>
          </w:tcPr>
          <w:p w14:paraId="22CFB882" w14:textId="77777777" w:rsidR="002661BA" w:rsidRDefault="00D972BC">
            <w:pPr>
              <w:textAlignment w:val="bottom"/>
            </w:pPr>
            <w:r>
              <w:rPr>
                <w:rFonts w:ascii="Arial" w:eastAsia="宋体" w:hAnsi="Arial" w:cs="Arial"/>
                <w:color w:val="000000"/>
                <w:sz w:val="18"/>
                <w:szCs w:val="18"/>
              </w:rPr>
              <w:t>Weighted average shares of common stock - basic</w:t>
            </w:r>
          </w:p>
        </w:tc>
        <w:tc>
          <w:tcPr>
            <w:tcW w:w="0" w:type="auto"/>
            <w:gridSpan w:val="2"/>
            <w:shd w:val="clear" w:color="auto" w:fill="E2E2E2"/>
            <w:tcMar>
              <w:top w:w="40" w:type="dxa"/>
              <w:left w:w="20" w:type="dxa"/>
              <w:bottom w:w="40" w:type="dxa"/>
              <w:right w:w="0" w:type="dxa"/>
            </w:tcMar>
            <w:vAlign w:val="bottom"/>
          </w:tcPr>
          <w:p w14:paraId="22CFB883" w14:textId="77777777" w:rsidR="002661BA" w:rsidRDefault="00D972BC">
            <w:pPr>
              <w:jc w:val="right"/>
              <w:textAlignment w:val="bottom"/>
            </w:pPr>
            <w:r>
              <w:rPr>
                <w:rFonts w:ascii="Arial" w:eastAsia="宋体" w:hAnsi="Arial" w:cs="Arial"/>
                <w:color w:val="000000"/>
                <w:sz w:val="18"/>
                <w:szCs w:val="18"/>
              </w:rPr>
              <w:t>652 </w:t>
            </w:r>
          </w:p>
        </w:tc>
        <w:tc>
          <w:tcPr>
            <w:tcW w:w="0" w:type="auto"/>
            <w:shd w:val="clear" w:color="auto" w:fill="E2E2E2"/>
            <w:tcMar>
              <w:top w:w="40" w:type="dxa"/>
              <w:left w:w="0" w:type="dxa"/>
              <w:bottom w:w="40" w:type="dxa"/>
              <w:right w:w="20" w:type="dxa"/>
            </w:tcMar>
            <w:vAlign w:val="bottom"/>
          </w:tcPr>
          <w:p w14:paraId="22CFB884"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885"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886" w14:textId="77777777" w:rsidR="002661BA" w:rsidRDefault="00D972BC">
            <w:pPr>
              <w:jc w:val="right"/>
              <w:textAlignment w:val="bottom"/>
            </w:pPr>
            <w:r>
              <w:rPr>
                <w:rFonts w:ascii="Arial" w:eastAsia="宋体" w:hAnsi="Arial" w:cs="Arial"/>
                <w:color w:val="000000"/>
                <w:sz w:val="18"/>
                <w:szCs w:val="18"/>
              </w:rPr>
              <w:t>710 </w:t>
            </w:r>
          </w:p>
        </w:tc>
        <w:tc>
          <w:tcPr>
            <w:tcW w:w="0" w:type="auto"/>
            <w:shd w:val="clear" w:color="auto" w:fill="E2E2E2"/>
            <w:tcMar>
              <w:top w:w="40" w:type="dxa"/>
              <w:left w:w="0" w:type="dxa"/>
              <w:bottom w:w="40" w:type="dxa"/>
              <w:right w:w="20" w:type="dxa"/>
            </w:tcMar>
            <w:vAlign w:val="bottom"/>
          </w:tcPr>
          <w:p w14:paraId="22CFB887"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888"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889" w14:textId="77777777" w:rsidR="002661BA" w:rsidRDefault="00D972BC">
            <w:pPr>
              <w:jc w:val="right"/>
              <w:textAlignment w:val="bottom"/>
            </w:pPr>
            <w:r>
              <w:rPr>
                <w:rFonts w:ascii="Arial" w:eastAsia="宋体" w:hAnsi="Arial" w:cs="Arial"/>
                <w:color w:val="000000"/>
                <w:sz w:val="18"/>
                <w:szCs w:val="18"/>
              </w:rPr>
              <w:t>849 </w:t>
            </w:r>
          </w:p>
        </w:tc>
        <w:tc>
          <w:tcPr>
            <w:tcW w:w="0" w:type="auto"/>
            <w:shd w:val="clear" w:color="auto" w:fill="E2E2E2"/>
            <w:tcMar>
              <w:top w:w="40" w:type="dxa"/>
              <w:left w:w="0" w:type="dxa"/>
              <w:bottom w:w="40" w:type="dxa"/>
              <w:right w:w="20" w:type="dxa"/>
            </w:tcMar>
            <w:vAlign w:val="bottom"/>
          </w:tcPr>
          <w:p w14:paraId="22CFB88A" w14:textId="77777777" w:rsidR="002661BA" w:rsidRDefault="002661BA">
            <w:pPr>
              <w:jc w:val="right"/>
              <w:rPr>
                <w:rFonts w:ascii="宋体"/>
              </w:rPr>
            </w:pPr>
          </w:p>
        </w:tc>
      </w:tr>
      <w:tr w:rsidR="002661BA" w14:paraId="22CFB895" w14:textId="77777777">
        <w:tc>
          <w:tcPr>
            <w:tcW w:w="0" w:type="auto"/>
            <w:gridSpan w:val="3"/>
            <w:shd w:val="clear" w:color="auto" w:fill="FFFFFF"/>
            <w:tcMar>
              <w:top w:w="40" w:type="dxa"/>
              <w:left w:w="875" w:type="dxa"/>
              <w:bottom w:w="40" w:type="dxa"/>
              <w:right w:w="20" w:type="dxa"/>
            </w:tcMar>
            <w:vAlign w:val="bottom"/>
          </w:tcPr>
          <w:p w14:paraId="22CFB88C" w14:textId="77777777" w:rsidR="002661BA" w:rsidRDefault="00D972BC">
            <w:pPr>
              <w:textAlignment w:val="bottom"/>
            </w:pPr>
            <w:r>
              <w:rPr>
                <w:rFonts w:ascii="Arial" w:eastAsia="宋体" w:hAnsi="Arial" w:cs="Arial"/>
                <w:color w:val="000000"/>
                <w:sz w:val="18"/>
                <w:szCs w:val="18"/>
              </w:rPr>
              <w:t>Dilutive effect of equity incentive awards</w:t>
            </w:r>
          </w:p>
        </w:tc>
        <w:tc>
          <w:tcPr>
            <w:tcW w:w="0" w:type="auto"/>
            <w:gridSpan w:val="2"/>
            <w:shd w:val="clear" w:color="auto" w:fill="FFFFFF"/>
            <w:tcMar>
              <w:top w:w="40" w:type="dxa"/>
              <w:left w:w="20" w:type="dxa"/>
              <w:bottom w:w="40" w:type="dxa"/>
              <w:right w:w="0" w:type="dxa"/>
            </w:tcMar>
            <w:vAlign w:val="bottom"/>
          </w:tcPr>
          <w:p w14:paraId="22CFB88D" w14:textId="77777777" w:rsidR="002661BA" w:rsidRDefault="00D972BC">
            <w:pPr>
              <w:jc w:val="right"/>
              <w:textAlignment w:val="bottom"/>
            </w:pPr>
            <w:r>
              <w:rPr>
                <w:rFonts w:ascii="Arial" w:eastAsia="宋体" w:hAnsi="Arial" w:cs="Arial"/>
                <w:color w:val="000000"/>
                <w:sz w:val="18"/>
                <w:szCs w:val="18"/>
              </w:rPr>
              <w:t>11 </w:t>
            </w:r>
          </w:p>
        </w:tc>
        <w:tc>
          <w:tcPr>
            <w:tcW w:w="0" w:type="auto"/>
            <w:shd w:val="clear" w:color="auto" w:fill="FFFFFF"/>
            <w:tcMar>
              <w:top w:w="40" w:type="dxa"/>
              <w:left w:w="0" w:type="dxa"/>
              <w:bottom w:w="40" w:type="dxa"/>
              <w:right w:w="20" w:type="dxa"/>
            </w:tcMar>
            <w:vAlign w:val="bottom"/>
          </w:tcPr>
          <w:p w14:paraId="22CFB88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88F"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890" w14:textId="77777777" w:rsidR="002661BA" w:rsidRDefault="00D972BC">
            <w:pPr>
              <w:jc w:val="right"/>
              <w:textAlignment w:val="bottom"/>
            </w:pPr>
            <w:r>
              <w:rPr>
                <w:rFonts w:ascii="Arial" w:eastAsia="宋体" w:hAnsi="Arial" w:cs="Arial"/>
                <w:color w:val="000000"/>
                <w:sz w:val="18"/>
                <w:szCs w:val="18"/>
              </w:rPr>
              <w:t>8 </w:t>
            </w:r>
          </w:p>
        </w:tc>
        <w:tc>
          <w:tcPr>
            <w:tcW w:w="0" w:type="auto"/>
            <w:shd w:val="clear" w:color="auto" w:fill="FFFFFF"/>
            <w:tcMar>
              <w:top w:w="40" w:type="dxa"/>
              <w:left w:w="0" w:type="dxa"/>
              <w:bottom w:w="40" w:type="dxa"/>
              <w:right w:w="20" w:type="dxa"/>
            </w:tcMar>
            <w:vAlign w:val="bottom"/>
          </w:tcPr>
          <w:p w14:paraId="22CFB89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892"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893" w14:textId="77777777" w:rsidR="002661BA" w:rsidRDefault="00D972BC">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22CFB894" w14:textId="77777777" w:rsidR="002661BA" w:rsidRDefault="002661BA">
            <w:pPr>
              <w:jc w:val="right"/>
              <w:rPr>
                <w:rFonts w:ascii="宋体"/>
              </w:rPr>
            </w:pPr>
          </w:p>
        </w:tc>
      </w:tr>
      <w:tr w:rsidR="002661BA" w14:paraId="22CFB89F" w14:textId="77777777">
        <w:tc>
          <w:tcPr>
            <w:tcW w:w="0" w:type="auto"/>
            <w:gridSpan w:val="3"/>
            <w:shd w:val="clear" w:color="auto" w:fill="E2E2E2"/>
            <w:tcMar>
              <w:top w:w="40" w:type="dxa"/>
              <w:left w:w="515" w:type="dxa"/>
              <w:bottom w:w="40" w:type="dxa"/>
              <w:right w:w="20" w:type="dxa"/>
            </w:tcMar>
            <w:vAlign w:val="bottom"/>
          </w:tcPr>
          <w:p w14:paraId="22CFB896" w14:textId="77777777" w:rsidR="002661BA" w:rsidRDefault="00D972BC">
            <w:pPr>
              <w:textAlignment w:val="bottom"/>
            </w:pPr>
            <w:r>
              <w:rPr>
                <w:rFonts w:ascii="Arial" w:eastAsia="宋体" w:hAnsi="Arial" w:cs="Arial"/>
                <w:color w:val="000000"/>
                <w:sz w:val="18"/>
                <w:szCs w:val="18"/>
              </w:rPr>
              <w:t>Weighted average shares of common stock - diluted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897" w14:textId="77777777" w:rsidR="002661BA" w:rsidRDefault="00D972BC">
            <w:pPr>
              <w:jc w:val="right"/>
              <w:textAlignment w:val="bottom"/>
            </w:pPr>
            <w:r>
              <w:rPr>
                <w:rFonts w:ascii="Arial" w:eastAsia="宋体" w:hAnsi="Arial" w:cs="Arial"/>
                <w:color w:val="000000"/>
                <w:sz w:val="18"/>
                <w:szCs w:val="18"/>
              </w:rPr>
              <w:t>663 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898"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899"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89A" w14:textId="77777777" w:rsidR="002661BA" w:rsidRDefault="00D972BC">
            <w:pPr>
              <w:jc w:val="right"/>
              <w:textAlignment w:val="bottom"/>
            </w:pPr>
            <w:r>
              <w:rPr>
                <w:rFonts w:ascii="Arial" w:eastAsia="宋体" w:hAnsi="Arial" w:cs="Arial"/>
                <w:color w:val="000000"/>
                <w:sz w:val="18"/>
                <w:szCs w:val="18"/>
              </w:rPr>
              <w:t>718 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89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89C"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B89D" w14:textId="77777777" w:rsidR="002661BA" w:rsidRDefault="00D972BC">
            <w:pPr>
              <w:jc w:val="right"/>
              <w:textAlignment w:val="bottom"/>
            </w:pPr>
            <w:r>
              <w:rPr>
                <w:rFonts w:ascii="Arial" w:eastAsia="宋体" w:hAnsi="Arial" w:cs="Arial"/>
                <w:color w:val="000000"/>
                <w:sz w:val="18"/>
                <w:szCs w:val="18"/>
              </w:rPr>
              <w:t>856 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89E" w14:textId="77777777" w:rsidR="002661BA" w:rsidRDefault="002661BA">
            <w:pPr>
              <w:jc w:val="right"/>
              <w:rPr>
                <w:rFonts w:ascii="宋体"/>
              </w:rPr>
            </w:pPr>
          </w:p>
        </w:tc>
      </w:tr>
      <w:tr w:rsidR="002661BA" w14:paraId="22CFB8A6" w14:textId="77777777">
        <w:tc>
          <w:tcPr>
            <w:tcW w:w="0" w:type="auto"/>
            <w:gridSpan w:val="3"/>
            <w:shd w:val="clear" w:color="auto" w:fill="FFFFFF"/>
            <w:tcMar>
              <w:top w:w="40" w:type="dxa"/>
              <w:left w:w="20" w:type="dxa"/>
              <w:bottom w:w="40" w:type="dxa"/>
              <w:right w:w="20" w:type="dxa"/>
            </w:tcMar>
            <w:vAlign w:val="bottom"/>
          </w:tcPr>
          <w:p w14:paraId="22CFB8A0" w14:textId="77777777" w:rsidR="002661BA" w:rsidRDefault="00D972BC">
            <w:pPr>
              <w:textAlignment w:val="bottom"/>
            </w:pPr>
            <w:r>
              <w:rPr>
                <w:rFonts w:ascii="Arial" w:eastAsia="宋体" w:hAnsi="Arial" w:cs="Arial"/>
                <w:color w:val="000000"/>
                <w:sz w:val="18"/>
                <w:szCs w:val="18"/>
              </w:rPr>
              <w:t>Income per share - basic:</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B8A1"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8A2" w14:textId="77777777" w:rsidR="002661BA" w:rsidRDefault="002661B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B8A3"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8A4" w14:textId="77777777" w:rsidR="002661BA" w:rsidRDefault="002661B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B8A5" w14:textId="77777777" w:rsidR="002661BA" w:rsidRDefault="002661BA">
            <w:pPr>
              <w:rPr>
                <w:rFonts w:ascii="宋体"/>
              </w:rPr>
            </w:pPr>
          </w:p>
        </w:tc>
      </w:tr>
      <w:tr w:rsidR="002661BA" w14:paraId="22CFB8B3" w14:textId="77777777">
        <w:tc>
          <w:tcPr>
            <w:tcW w:w="0" w:type="auto"/>
            <w:gridSpan w:val="3"/>
            <w:shd w:val="clear" w:color="auto" w:fill="E2E2E2"/>
            <w:tcMar>
              <w:top w:w="40" w:type="dxa"/>
              <w:left w:w="515" w:type="dxa"/>
              <w:bottom w:w="40" w:type="dxa"/>
              <w:right w:w="20" w:type="dxa"/>
            </w:tcMar>
            <w:vAlign w:val="bottom"/>
          </w:tcPr>
          <w:p w14:paraId="22CFB8A7" w14:textId="77777777" w:rsidR="002661BA" w:rsidRDefault="00D972BC">
            <w:pPr>
              <w:textAlignment w:val="bottom"/>
            </w:pPr>
            <w:r>
              <w:rPr>
                <w:rFonts w:ascii="Arial" w:eastAsia="宋体" w:hAnsi="Arial" w:cs="Arial"/>
                <w:color w:val="000000"/>
                <w:sz w:val="18"/>
                <w:szCs w:val="18"/>
              </w:rPr>
              <w:t>Continuing operations</w:t>
            </w:r>
          </w:p>
        </w:tc>
        <w:tc>
          <w:tcPr>
            <w:tcW w:w="0" w:type="auto"/>
            <w:shd w:val="clear" w:color="auto" w:fill="E2E2E2"/>
            <w:tcMar>
              <w:top w:w="40" w:type="dxa"/>
              <w:left w:w="20" w:type="dxa"/>
              <w:bottom w:w="40" w:type="dxa"/>
              <w:right w:w="0" w:type="dxa"/>
            </w:tcMar>
            <w:vAlign w:val="bottom"/>
          </w:tcPr>
          <w:p w14:paraId="22CFB8A8"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B8A9" w14:textId="77777777" w:rsidR="002661BA" w:rsidRDefault="00D972BC">
            <w:pPr>
              <w:jc w:val="right"/>
              <w:textAlignment w:val="bottom"/>
            </w:pPr>
            <w:r>
              <w:rPr>
                <w:rFonts w:ascii="Arial" w:eastAsia="宋体" w:hAnsi="Arial" w:cs="Arial"/>
                <w:color w:val="000000"/>
                <w:sz w:val="18"/>
                <w:szCs w:val="18"/>
              </w:rPr>
              <w:t>0.39 </w:t>
            </w:r>
          </w:p>
        </w:tc>
        <w:tc>
          <w:tcPr>
            <w:tcW w:w="0" w:type="auto"/>
            <w:shd w:val="clear" w:color="auto" w:fill="E2E2E2"/>
            <w:tcMar>
              <w:top w:w="40" w:type="dxa"/>
              <w:left w:w="0" w:type="dxa"/>
              <w:bottom w:w="40" w:type="dxa"/>
              <w:right w:w="20" w:type="dxa"/>
            </w:tcMar>
            <w:vAlign w:val="bottom"/>
          </w:tcPr>
          <w:p w14:paraId="22CFB8A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8AB"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B8A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B8AD" w14:textId="77777777" w:rsidR="002661BA" w:rsidRDefault="00D972BC">
            <w:pPr>
              <w:jc w:val="right"/>
              <w:textAlignment w:val="bottom"/>
            </w:pPr>
            <w:r>
              <w:rPr>
                <w:rFonts w:ascii="Arial" w:eastAsia="宋体" w:hAnsi="Arial" w:cs="Arial"/>
                <w:color w:val="000000"/>
                <w:sz w:val="18"/>
                <w:szCs w:val="18"/>
              </w:rPr>
              <w:t>3.50 </w:t>
            </w:r>
          </w:p>
        </w:tc>
        <w:tc>
          <w:tcPr>
            <w:tcW w:w="0" w:type="auto"/>
            <w:shd w:val="clear" w:color="auto" w:fill="E2E2E2"/>
            <w:tcMar>
              <w:top w:w="40" w:type="dxa"/>
              <w:left w:w="0" w:type="dxa"/>
              <w:bottom w:w="40" w:type="dxa"/>
              <w:right w:w="20" w:type="dxa"/>
            </w:tcMar>
            <w:vAlign w:val="bottom"/>
          </w:tcPr>
          <w:p w14:paraId="22CFB8A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8AF"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B8B0"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B8B1" w14:textId="77777777" w:rsidR="002661BA" w:rsidRDefault="00D972BC">
            <w:pPr>
              <w:jc w:val="right"/>
              <w:textAlignment w:val="bottom"/>
            </w:pPr>
            <w:r>
              <w:rPr>
                <w:rFonts w:ascii="Arial" w:eastAsia="宋体" w:hAnsi="Arial" w:cs="Arial"/>
                <w:color w:val="000000"/>
                <w:sz w:val="18"/>
                <w:szCs w:val="18"/>
              </w:rPr>
              <w:t>1.69 </w:t>
            </w:r>
          </w:p>
        </w:tc>
        <w:tc>
          <w:tcPr>
            <w:tcW w:w="0" w:type="auto"/>
            <w:shd w:val="clear" w:color="auto" w:fill="E2E2E2"/>
            <w:tcMar>
              <w:top w:w="40" w:type="dxa"/>
              <w:left w:w="0" w:type="dxa"/>
              <w:bottom w:w="40" w:type="dxa"/>
              <w:right w:w="20" w:type="dxa"/>
            </w:tcMar>
            <w:vAlign w:val="bottom"/>
          </w:tcPr>
          <w:p w14:paraId="22CFB8B2" w14:textId="77777777" w:rsidR="002661BA" w:rsidRDefault="002661BA">
            <w:pPr>
              <w:jc w:val="right"/>
              <w:rPr>
                <w:rFonts w:ascii="宋体"/>
              </w:rPr>
            </w:pPr>
          </w:p>
        </w:tc>
      </w:tr>
      <w:tr w:rsidR="002661BA" w14:paraId="22CFB8BD" w14:textId="77777777">
        <w:tc>
          <w:tcPr>
            <w:tcW w:w="0" w:type="auto"/>
            <w:gridSpan w:val="3"/>
            <w:shd w:val="clear" w:color="auto" w:fill="FFFFFF"/>
            <w:tcMar>
              <w:top w:w="40" w:type="dxa"/>
              <w:left w:w="515" w:type="dxa"/>
              <w:bottom w:w="40" w:type="dxa"/>
              <w:right w:w="20" w:type="dxa"/>
            </w:tcMar>
            <w:vAlign w:val="bottom"/>
          </w:tcPr>
          <w:p w14:paraId="22CFB8B4" w14:textId="77777777" w:rsidR="002661BA" w:rsidRDefault="00D972BC">
            <w:pPr>
              <w:textAlignment w:val="bottom"/>
            </w:pPr>
            <w:r>
              <w:rPr>
                <w:rFonts w:ascii="Arial" w:eastAsia="宋体" w:hAnsi="Arial" w:cs="Arial"/>
                <w:color w:val="000000"/>
                <w:sz w:val="18"/>
                <w:szCs w:val="18"/>
              </w:rPr>
              <w:t>Discontinued operations</w:t>
            </w:r>
          </w:p>
        </w:tc>
        <w:tc>
          <w:tcPr>
            <w:tcW w:w="0" w:type="auto"/>
            <w:gridSpan w:val="2"/>
            <w:shd w:val="clear" w:color="auto" w:fill="FFFFFF"/>
            <w:tcMar>
              <w:top w:w="40" w:type="dxa"/>
              <w:left w:w="20" w:type="dxa"/>
              <w:bottom w:w="40" w:type="dxa"/>
              <w:right w:w="0" w:type="dxa"/>
            </w:tcMar>
            <w:vAlign w:val="bottom"/>
          </w:tcPr>
          <w:p w14:paraId="22CFB8B5" w14:textId="77777777" w:rsidR="002661BA" w:rsidRDefault="00D972BC">
            <w:pPr>
              <w:jc w:val="right"/>
              <w:textAlignment w:val="bottom"/>
            </w:pPr>
            <w:r>
              <w:rPr>
                <w:rFonts w:ascii="Arial" w:eastAsia="宋体" w:hAnsi="Arial" w:cs="Arial"/>
                <w:color w:val="000000"/>
                <w:sz w:val="18"/>
                <w:szCs w:val="18"/>
              </w:rPr>
              <w:t>20.48 </w:t>
            </w:r>
          </w:p>
        </w:tc>
        <w:tc>
          <w:tcPr>
            <w:tcW w:w="0" w:type="auto"/>
            <w:shd w:val="clear" w:color="auto" w:fill="FFFFFF"/>
            <w:tcMar>
              <w:top w:w="40" w:type="dxa"/>
              <w:left w:w="0" w:type="dxa"/>
              <w:bottom w:w="40" w:type="dxa"/>
              <w:right w:w="20" w:type="dxa"/>
            </w:tcMar>
            <w:vAlign w:val="bottom"/>
          </w:tcPr>
          <w:p w14:paraId="22CFB8B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8B7"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8B8" w14:textId="77777777" w:rsidR="002661BA" w:rsidRDefault="00D972BC">
            <w:pPr>
              <w:jc w:val="right"/>
              <w:textAlignment w:val="bottom"/>
            </w:pPr>
            <w:r>
              <w:rPr>
                <w:rFonts w:ascii="Arial" w:eastAsia="宋体" w:hAnsi="Arial" w:cs="Arial"/>
                <w:color w:val="000000"/>
                <w:sz w:val="18"/>
                <w:szCs w:val="18"/>
              </w:rPr>
              <w:t>4.48 </w:t>
            </w:r>
          </w:p>
        </w:tc>
        <w:tc>
          <w:tcPr>
            <w:tcW w:w="0" w:type="auto"/>
            <w:shd w:val="clear" w:color="auto" w:fill="FFFFFF"/>
            <w:tcMar>
              <w:top w:w="40" w:type="dxa"/>
              <w:left w:w="0" w:type="dxa"/>
              <w:bottom w:w="40" w:type="dxa"/>
              <w:right w:w="20" w:type="dxa"/>
            </w:tcMar>
            <w:vAlign w:val="bottom"/>
          </w:tcPr>
          <w:p w14:paraId="22CFB8B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8B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8BB" w14:textId="77777777" w:rsidR="002661BA" w:rsidRDefault="00D972BC">
            <w:pPr>
              <w:jc w:val="right"/>
              <w:textAlignment w:val="bottom"/>
            </w:pPr>
            <w:r>
              <w:rPr>
                <w:rFonts w:ascii="Arial" w:eastAsia="宋体" w:hAnsi="Arial" w:cs="Arial"/>
                <w:color w:val="000000"/>
                <w:sz w:val="18"/>
                <w:szCs w:val="18"/>
              </w:rPr>
              <w:t>0.41 </w:t>
            </w:r>
          </w:p>
        </w:tc>
        <w:tc>
          <w:tcPr>
            <w:tcW w:w="0" w:type="auto"/>
            <w:shd w:val="clear" w:color="auto" w:fill="FFFFFF"/>
            <w:tcMar>
              <w:top w:w="40" w:type="dxa"/>
              <w:left w:w="0" w:type="dxa"/>
              <w:bottom w:w="40" w:type="dxa"/>
              <w:right w:w="20" w:type="dxa"/>
            </w:tcMar>
            <w:vAlign w:val="bottom"/>
          </w:tcPr>
          <w:p w14:paraId="22CFB8BC" w14:textId="77777777" w:rsidR="002661BA" w:rsidRDefault="002661BA">
            <w:pPr>
              <w:jc w:val="right"/>
              <w:rPr>
                <w:rFonts w:ascii="宋体"/>
              </w:rPr>
            </w:pPr>
          </w:p>
        </w:tc>
      </w:tr>
      <w:tr w:rsidR="002661BA" w14:paraId="22CFB8CA" w14:textId="77777777">
        <w:tc>
          <w:tcPr>
            <w:tcW w:w="0" w:type="auto"/>
            <w:gridSpan w:val="3"/>
            <w:shd w:val="clear" w:color="auto" w:fill="E2E2E2"/>
            <w:tcMar>
              <w:top w:w="40" w:type="dxa"/>
              <w:left w:w="20" w:type="dxa"/>
              <w:bottom w:w="40" w:type="dxa"/>
              <w:right w:w="20" w:type="dxa"/>
            </w:tcMar>
            <w:vAlign w:val="bottom"/>
          </w:tcPr>
          <w:p w14:paraId="22CFB8BE" w14:textId="77777777" w:rsidR="002661BA" w:rsidRDefault="00D972BC">
            <w:pPr>
              <w:textAlignment w:val="bottom"/>
            </w:pPr>
            <w:r>
              <w:rPr>
                <w:rFonts w:ascii="Arial" w:eastAsia="宋体" w:hAnsi="Arial" w:cs="Arial"/>
                <w:color w:val="000000"/>
                <w:sz w:val="18"/>
                <w:szCs w:val="18"/>
              </w:rPr>
              <w:t>Net income per share - basic</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B8B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B8C0" w14:textId="77777777" w:rsidR="002661BA" w:rsidRDefault="00D972BC">
            <w:pPr>
              <w:jc w:val="right"/>
              <w:textAlignment w:val="bottom"/>
            </w:pPr>
            <w:r>
              <w:rPr>
                <w:rFonts w:ascii="Arial" w:eastAsia="宋体" w:hAnsi="Arial" w:cs="Arial"/>
                <w:color w:val="000000"/>
                <w:sz w:val="18"/>
                <w:szCs w:val="18"/>
              </w:rPr>
              <w:t>20.87 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8C1"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8C2"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B8C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B8C4" w14:textId="77777777" w:rsidR="002661BA" w:rsidRDefault="00D972BC">
            <w:pPr>
              <w:jc w:val="right"/>
              <w:textAlignment w:val="bottom"/>
            </w:pPr>
            <w:r>
              <w:rPr>
                <w:rFonts w:ascii="Arial" w:eastAsia="宋体" w:hAnsi="Arial" w:cs="Arial"/>
                <w:color w:val="000000"/>
                <w:sz w:val="18"/>
                <w:szCs w:val="18"/>
              </w:rPr>
              <w:t>7.98 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8C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8C6"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B8C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B8C8" w14:textId="77777777" w:rsidR="002661BA" w:rsidRDefault="00D972BC">
            <w:pPr>
              <w:jc w:val="right"/>
              <w:textAlignment w:val="bottom"/>
            </w:pPr>
            <w:r>
              <w:rPr>
                <w:rFonts w:ascii="Arial" w:eastAsia="宋体" w:hAnsi="Arial" w:cs="Arial"/>
                <w:color w:val="000000"/>
                <w:sz w:val="18"/>
                <w:szCs w:val="18"/>
              </w:rPr>
              <w:t>2.10 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8C9" w14:textId="77777777" w:rsidR="002661BA" w:rsidRDefault="002661BA">
            <w:pPr>
              <w:jc w:val="right"/>
              <w:rPr>
                <w:rFonts w:ascii="宋体"/>
              </w:rPr>
            </w:pPr>
          </w:p>
        </w:tc>
      </w:tr>
      <w:tr w:rsidR="002661BA" w14:paraId="22CFB8D1" w14:textId="77777777">
        <w:tc>
          <w:tcPr>
            <w:tcW w:w="0" w:type="auto"/>
            <w:gridSpan w:val="3"/>
            <w:shd w:val="clear" w:color="auto" w:fill="FFFFFF"/>
            <w:tcMar>
              <w:top w:w="40" w:type="dxa"/>
              <w:left w:w="20" w:type="dxa"/>
              <w:bottom w:w="40" w:type="dxa"/>
              <w:right w:w="20" w:type="dxa"/>
            </w:tcMar>
            <w:vAlign w:val="bottom"/>
          </w:tcPr>
          <w:p w14:paraId="22CFB8CB" w14:textId="77777777" w:rsidR="002661BA" w:rsidRDefault="00D972BC">
            <w:pPr>
              <w:textAlignment w:val="bottom"/>
            </w:pPr>
            <w:r>
              <w:rPr>
                <w:rFonts w:ascii="Arial" w:eastAsia="宋体" w:hAnsi="Arial" w:cs="Arial"/>
                <w:color w:val="000000"/>
                <w:sz w:val="18"/>
                <w:szCs w:val="18"/>
              </w:rPr>
              <w:t>Income per share - diluted:</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B8C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8CD" w14:textId="77777777" w:rsidR="002661BA" w:rsidRDefault="002661B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B8CE"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8CF" w14:textId="77777777" w:rsidR="002661BA" w:rsidRDefault="002661B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B8D0" w14:textId="77777777" w:rsidR="002661BA" w:rsidRDefault="002661BA">
            <w:pPr>
              <w:rPr>
                <w:rFonts w:ascii="宋体"/>
              </w:rPr>
            </w:pPr>
          </w:p>
        </w:tc>
      </w:tr>
      <w:tr w:rsidR="002661BA" w14:paraId="22CFB8DE" w14:textId="77777777">
        <w:tc>
          <w:tcPr>
            <w:tcW w:w="0" w:type="auto"/>
            <w:gridSpan w:val="3"/>
            <w:shd w:val="clear" w:color="auto" w:fill="E2E2E2"/>
            <w:tcMar>
              <w:top w:w="40" w:type="dxa"/>
              <w:left w:w="515" w:type="dxa"/>
              <w:bottom w:w="40" w:type="dxa"/>
              <w:right w:w="20" w:type="dxa"/>
            </w:tcMar>
            <w:vAlign w:val="bottom"/>
          </w:tcPr>
          <w:p w14:paraId="22CFB8D2" w14:textId="77777777" w:rsidR="002661BA" w:rsidRDefault="00D972BC">
            <w:pPr>
              <w:textAlignment w:val="bottom"/>
            </w:pPr>
            <w:r>
              <w:rPr>
                <w:rFonts w:ascii="Arial" w:eastAsia="宋体" w:hAnsi="Arial" w:cs="Arial"/>
                <w:color w:val="000000"/>
                <w:sz w:val="18"/>
                <w:szCs w:val="18"/>
              </w:rPr>
              <w:t>Continuing operations</w:t>
            </w:r>
          </w:p>
        </w:tc>
        <w:tc>
          <w:tcPr>
            <w:tcW w:w="0" w:type="auto"/>
            <w:shd w:val="clear" w:color="auto" w:fill="E2E2E2"/>
            <w:tcMar>
              <w:top w:w="40" w:type="dxa"/>
              <w:left w:w="20" w:type="dxa"/>
              <w:bottom w:w="40" w:type="dxa"/>
              <w:right w:w="0" w:type="dxa"/>
            </w:tcMar>
            <w:vAlign w:val="bottom"/>
          </w:tcPr>
          <w:p w14:paraId="22CFB8D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B8D4" w14:textId="77777777" w:rsidR="002661BA" w:rsidRDefault="00D972BC">
            <w:pPr>
              <w:jc w:val="right"/>
              <w:textAlignment w:val="bottom"/>
            </w:pPr>
            <w:r>
              <w:rPr>
                <w:rFonts w:ascii="Arial" w:eastAsia="宋体" w:hAnsi="Arial" w:cs="Arial"/>
                <w:color w:val="000000"/>
                <w:sz w:val="18"/>
                <w:szCs w:val="18"/>
              </w:rPr>
              <w:t>0.38 </w:t>
            </w:r>
          </w:p>
        </w:tc>
        <w:tc>
          <w:tcPr>
            <w:tcW w:w="0" w:type="auto"/>
            <w:shd w:val="clear" w:color="auto" w:fill="E2E2E2"/>
            <w:tcMar>
              <w:top w:w="40" w:type="dxa"/>
              <w:left w:w="0" w:type="dxa"/>
              <w:bottom w:w="40" w:type="dxa"/>
              <w:right w:w="20" w:type="dxa"/>
            </w:tcMar>
            <w:vAlign w:val="bottom"/>
          </w:tcPr>
          <w:p w14:paraId="22CFB8D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8D6"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B8D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B8D8" w14:textId="77777777" w:rsidR="002661BA" w:rsidRDefault="00D972BC">
            <w:pPr>
              <w:jc w:val="right"/>
              <w:textAlignment w:val="bottom"/>
            </w:pPr>
            <w:r>
              <w:rPr>
                <w:rFonts w:ascii="Arial" w:eastAsia="宋体" w:hAnsi="Arial" w:cs="Arial"/>
                <w:color w:val="000000"/>
                <w:sz w:val="18"/>
                <w:szCs w:val="18"/>
              </w:rPr>
              <w:t>3.46 </w:t>
            </w:r>
          </w:p>
        </w:tc>
        <w:tc>
          <w:tcPr>
            <w:tcW w:w="0" w:type="auto"/>
            <w:shd w:val="clear" w:color="auto" w:fill="E2E2E2"/>
            <w:tcMar>
              <w:top w:w="40" w:type="dxa"/>
              <w:left w:w="0" w:type="dxa"/>
              <w:bottom w:w="40" w:type="dxa"/>
              <w:right w:w="20" w:type="dxa"/>
            </w:tcMar>
            <w:vAlign w:val="bottom"/>
          </w:tcPr>
          <w:p w14:paraId="22CFB8D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8DA"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B8DB"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B8DC" w14:textId="77777777" w:rsidR="002661BA" w:rsidRDefault="00D972BC">
            <w:pPr>
              <w:jc w:val="right"/>
              <w:textAlignment w:val="bottom"/>
            </w:pPr>
            <w:r>
              <w:rPr>
                <w:rFonts w:ascii="Arial" w:eastAsia="宋体" w:hAnsi="Arial" w:cs="Arial"/>
                <w:color w:val="000000"/>
                <w:sz w:val="18"/>
                <w:szCs w:val="18"/>
              </w:rPr>
              <w:t>1.68 </w:t>
            </w:r>
          </w:p>
        </w:tc>
        <w:tc>
          <w:tcPr>
            <w:tcW w:w="0" w:type="auto"/>
            <w:shd w:val="clear" w:color="auto" w:fill="E2E2E2"/>
            <w:tcMar>
              <w:top w:w="40" w:type="dxa"/>
              <w:left w:w="0" w:type="dxa"/>
              <w:bottom w:w="40" w:type="dxa"/>
              <w:right w:w="20" w:type="dxa"/>
            </w:tcMar>
            <w:vAlign w:val="bottom"/>
          </w:tcPr>
          <w:p w14:paraId="22CFB8DD" w14:textId="77777777" w:rsidR="002661BA" w:rsidRDefault="002661BA">
            <w:pPr>
              <w:jc w:val="right"/>
              <w:rPr>
                <w:rFonts w:ascii="宋体"/>
              </w:rPr>
            </w:pPr>
          </w:p>
        </w:tc>
      </w:tr>
      <w:tr w:rsidR="002661BA" w14:paraId="22CFB8E8" w14:textId="77777777">
        <w:tc>
          <w:tcPr>
            <w:tcW w:w="0" w:type="auto"/>
            <w:gridSpan w:val="3"/>
            <w:shd w:val="clear" w:color="auto" w:fill="FFFFFF"/>
            <w:tcMar>
              <w:top w:w="40" w:type="dxa"/>
              <w:left w:w="515" w:type="dxa"/>
              <w:bottom w:w="40" w:type="dxa"/>
              <w:right w:w="20" w:type="dxa"/>
            </w:tcMar>
            <w:vAlign w:val="bottom"/>
          </w:tcPr>
          <w:p w14:paraId="22CFB8DF" w14:textId="77777777" w:rsidR="002661BA" w:rsidRDefault="00D972BC">
            <w:pPr>
              <w:textAlignment w:val="bottom"/>
            </w:pPr>
            <w:r>
              <w:rPr>
                <w:rFonts w:ascii="Arial" w:eastAsia="宋体" w:hAnsi="Arial" w:cs="Arial"/>
                <w:color w:val="000000"/>
                <w:sz w:val="18"/>
                <w:szCs w:val="18"/>
              </w:rPr>
              <w:t>Discontinued operations</w:t>
            </w:r>
          </w:p>
        </w:tc>
        <w:tc>
          <w:tcPr>
            <w:tcW w:w="0" w:type="auto"/>
            <w:gridSpan w:val="2"/>
            <w:shd w:val="clear" w:color="auto" w:fill="FFFFFF"/>
            <w:tcMar>
              <w:top w:w="40" w:type="dxa"/>
              <w:left w:w="20" w:type="dxa"/>
              <w:bottom w:w="40" w:type="dxa"/>
              <w:right w:w="0" w:type="dxa"/>
            </w:tcMar>
            <w:vAlign w:val="bottom"/>
          </w:tcPr>
          <w:p w14:paraId="22CFB8E0" w14:textId="77777777" w:rsidR="002661BA" w:rsidRDefault="00D972BC">
            <w:pPr>
              <w:jc w:val="right"/>
              <w:textAlignment w:val="bottom"/>
            </w:pPr>
            <w:r>
              <w:rPr>
                <w:rFonts w:ascii="Arial" w:eastAsia="宋体" w:hAnsi="Arial" w:cs="Arial"/>
                <w:color w:val="000000"/>
                <w:sz w:val="18"/>
                <w:szCs w:val="18"/>
              </w:rPr>
              <w:t>20.16 </w:t>
            </w:r>
          </w:p>
        </w:tc>
        <w:tc>
          <w:tcPr>
            <w:tcW w:w="0" w:type="auto"/>
            <w:shd w:val="clear" w:color="auto" w:fill="FFFFFF"/>
            <w:tcMar>
              <w:top w:w="40" w:type="dxa"/>
              <w:left w:w="0" w:type="dxa"/>
              <w:bottom w:w="40" w:type="dxa"/>
              <w:right w:w="20" w:type="dxa"/>
            </w:tcMar>
            <w:vAlign w:val="bottom"/>
          </w:tcPr>
          <w:p w14:paraId="22CFB8E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8E2"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8E3" w14:textId="77777777" w:rsidR="002661BA" w:rsidRDefault="00D972BC">
            <w:pPr>
              <w:jc w:val="right"/>
              <w:textAlignment w:val="bottom"/>
            </w:pPr>
            <w:r>
              <w:rPr>
                <w:rFonts w:ascii="Arial" w:eastAsia="宋体" w:hAnsi="Arial" w:cs="Arial"/>
                <w:color w:val="000000"/>
                <w:sz w:val="18"/>
                <w:szCs w:val="18"/>
              </w:rPr>
              <w:t>4.43 </w:t>
            </w:r>
          </w:p>
        </w:tc>
        <w:tc>
          <w:tcPr>
            <w:tcW w:w="0" w:type="auto"/>
            <w:shd w:val="clear" w:color="auto" w:fill="FFFFFF"/>
            <w:tcMar>
              <w:top w:w="40" w:type="dxa"/>
              <w:left w:w="0" w:type="dxa"/>
              <w:bottom w:w="40" w:type="dxa"/>
              <w:right w:w="20" w:type="dxa"/>
            </w:tcMar>
            <w:vAlign w:val="bottom"/>
          </w:tcPr>
          <w:p w14:paraId="22CFB8E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8E5"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8E6" w14:textId="77777777" w:rsidR="002661BA" w:rsidRDefault="00D972BC">
            <w:pPr>
              <w:jc w:val="right"/>
              <w:textAlignment w:val="bottom"/>
            </w:pPr>
            <w:r>
              <w:rPr>
                <w:rFonts w:ascii="Arial" w:eastAsia="宋体" w:hAnsi="Arial" w:cs="Arial"/>
                <w:color w:val="000000"/>
                <w:sz w:val="18"/>
                <w:szCs w:val="18"/>
              </w:rPr>
              <w:t>0.41 </w:t>
            </w:r>
          </w:p>
        </w:tc>
        <w:tc>
          <w:tcPr>
            <w:tcW w:w="0" w:type="auto"/>
            <w:shd w:val="clear" w:color="auto" w:fill="FFFFFF"/>
            <w:tcMar>
              <w:top w:w="40" w:type="dxa"/>
              <w:left w:w="0" w:type="dxa"/>
              <w:bottom w:w="40" w:type="dxa"/>
              <w:right w:w="20" w:type="dxa"/>
            </w:tcMar>
            <w:vAlign w:val="bottom"/>
          </w:tcPr>
          <w:p w14:paraId="22CFB8E7" w14:textId="77777777" w:rsidR="002661BA" w:rsidRDefault="002661BA">
            <w:pPr>
              <w:jc w:val="right"/>
              <w:rPr>
                <w:rFonts w:ascii="宋体"/>
              </w:rPr>
            </w:pPr>
          </w:p>
        </w:tc>
      </w:tr>
      <w:tr w:rsidR="002661BA" w14:paraId="22CFB8F5" w14:textId="77777777">
        <w:tc>
          <w:tcPr>
            <w:tcW w:w="0" w:type="auto"/>
            <w:gridSpan w:val="3"/>
            <w:shd w:val="clear" w:color="auto" w:fill="E2E2E2"/>
            <w:tcMar>
              <w:top w:w="40" w:type="dxa"/>
              <w:left w:w="20" w:type="dxa"/>
              <w:bottom w:w="40" w:type="dxa"/>
              <w:right w:w="20" w:type="dxa"/>
            </w:tcMar>
            <w:vAlign w:val="bottom"/>
          </w:tcPr>
          <w:p w14:paraId="22CFB8E9" w14:textId="77777777" w:rsidR="002661BA" w:rsidRDefault="00D972BC">
            <w:pPr>
              <w:textAlignment w:val="bottom"/>
            </w:pPr>
            <w:r>
              <w:rPr>
                <w:rFonts w:ascii="Arial" w:eastAsia="宋体" w:hAnsi="Arial" w:cs="Arial"/>
                <w:color w:val="000000"/>
                <w:sz w:val="18"/>
                <w:szCs w:val="18"/>
              </w:rPr>
              <w:t>Net income per share - diluted</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B8EA"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B8EB" w14:textId="77777777" w:rsidR="002661BA" w:rsidRDefault="00D972BC">
            <w:pPr>
              <w:jc w:val="right"/>
              <w:textAlignment w:val="bottom"/>
            </w:pPr>
            <w:r>
              <w:rPr>
                <w:rFonts w:ascii="Arial" w:eastAsia="宋体" w:hAnsi="Arial" w:cs="Arial"/>
                <w:color w:val="000000"/>
                <w:sz w:val="18"/>
                <w:szCs w:val="18"/>
              </w:rPr>
              <w:t>20.54 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8EC"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8ED"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B8EE"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B8EF" w14:textId="77777777" w:rsidR="002661BA" w:rsidRDefault="00D972BC">
            <w:pPr>
              <w:jc w:val="right"/>
              <w:textAlignment w:val="bottom"/>
            </w:pPr>
            <w:r>
              <w:rPr>
                <w:rFonts w:ascii="Arial" w:eastAsia="宋体" w:hAnsi="Arial" w:cs="Arial"/>
                <w:color w:val="000000"/>
                <w:sz w:val="18"/>
                <w:szCs w:val="18"/>
              </w:rPr>
              <w:t>7.89 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8F0"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8F1"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B8F2"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B8F3" w14:textId="77777777" w:rsidR="002661BA" w:rsidRDefault="00D972BC">
            <w:pPr>
              <w:jc w:val="right"/>
              <w:textAlignment w:val="bottom"/>
            </w:pPr>
            <w:r>
              <w:rPr>
                <w:rFonts w:ascii="Arial" w:eastAsia="宋体" w:hAnsi="Arial" w:cs="Arial"/>
                <w:color w:val="000000"/>
                <w:sz w:val="18"/>
                <w:szCs w:val="18"/>
              </w:rPr>
              <w:t>2.09 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B8F4" w14:textId="77777777" w:rsidR="002661BA" w:rsidRDefault="002661BA">
            <w:pPr>
              <w:jc w:val="right"/>
              <w:rPr>
                <w:rFonts w:ascii="宋体"/>
              </w:rPr>
            </w:pPr>
          </w:p>
        </w:tc>
      </w:tr>
      <w:tr w:rsidR="002661BA" w14:paraId="22CFB8FF" w14:textId="77777777">
        <w:tc>
          <w:tcPr>
            <w:tcW w:w="0" w:type="auto"/>
            <w:gridSpan w:val="3"/>
            <w:shd w:val="clear" w:color="auto" w:fill="FFFFFF"/>
            <w:tcMar>
              <w:top w:w="40" w:type="dxa"/>
              <w:left w:w="20" w:type="dxa"/>
              <w:bottom w:w="40" w:type="dxa"/>
              <w:right w:w="20" w:type="dxa"/>
            </w:tcMar>
            <w:vAlign w:val="bottom"/>
          </w:tcPr>
          <w:p w14:paraId="22CFB8F6" w14:textId="77777777" w:rsidR="002661BA" w:rsidRDefault="00D972BC">
            <w:pPr>
              <w:textAlignment w:val="bottom"/>
            </w:pPr>
            <w:r>
              <w:rPr>
                <w:rFonts w:ascii="Arial" w:eastAsia="宋体" w:hAnsi="Arial" w:cs="Arial"/>
                <w:color w:val="000000"/>
                <w:sz w:val="18"/>
                <w:szCs w:val="18"/>
              </w:rPr>
              <w:t>Common stock equivalents excluded from income per diluted share because their effect would have been anti-dilutive</w:t>
            </w: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22CFB8F7" w14:textId="77777777" w:rsidR="002661BA" w:rsidRDefault="00D972BC">
            <w:pPr>
              <w:jc w:val="right"/>
              <w:textAlignment w:val="bottom"/>
            </w:pPr>
            <w:r>
              <w:rPr>
                <w:rFonts w:ascii="Arial" w:eastAsia="宋体" w:hAnsi="Arial" w:cs="Arial"/>
                <w:color w:val="000000"/>
                <w:sz w:val="18"/>
                <w:szCs w:val="18"/>
              </w:rPr>
              <w:t>1 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22CFB8F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8F9" w14:textId="77777777" w:rsidR="002661BA" w:rsidRDefault="002661BA">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22CFB8FA" w14:textId="77777777" w:rsidR="002661BA" w:rsidRDefault="00D972BC">
            <w:pPr>
              <w:jc w:val="right"/>
              <w:textAlignment w:val="bottom"/>
            </w:pPr>
            <w:r>
              <w:rPr>
                <w:rFonts w:ascii="Arial" w:eastAsia="宋体" w:hAnsi="Arial" w:cs="Arial"/>
                <w:color w:val="000000"/>
                <w:sz w:val="18"/>
                <w:szCs w:val="18"/>
              </w:rPr>
              <w:t>5 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22CFB8F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8FC" w14:textId="77777777" w:rsidR="002661BA" w:rsidRDefault="002661BA">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22CFB8FD" w14:textId="77777777" w:rsidR="002661BA" w:rsidRDefault="00D972BC">
            <w:pPr>
              <w:jc w:val="right"/>
              <w:textAlignment w:val="bottom"/>
            </w:pPr>
            <w:r>
              <w:rPr>
                <w:rFonts w:ascii="Arial" w:eastAsia="宋体" w:hAnsi="Arial" w:cs="Arial"/>
                <w:color w:val="000000"/>
                <w:sz w:val="18"/>
                <w:szCs w:val="18"/>
              </w:rPr>
              <w:t>18 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22CFB8FE" w14:textId="77777777" w:rsidR="002661BA" w:rsidRDefault="002661BA">
            <w:pPr>
              <w:jc w:val="right"/>
              <w:rPr>
                <w:rFonts w:ascii="宋体"/>
              </w:rPr>
            </w:pPr>
          </w:p>
        </w:tc>
      </w:tr>
    </w:tbl>
    <w:p w14:paraId="22CFB900" w14:textId="77777777" w:rsidR="002661BA" w:rsidRDefault="00D972BC">
      <w:pPr>
        <w:jc w:val="center"/>
      </w:pPr>
      <w:r>
        <w:rPr>
          <w:rFonts w:ascii="Arial" w:eastAsia="宋体" w:hAnsi="Arial" w:cs="Arial"/>
          <w:color w:val="000000"/>
          <w:sz w:val="18"/>
          <w:szCs w:val="18"/>
        </w:rPr>
        <w:t>72</w:t>
      </w:r>
    </w:p>
    <w:p w14:paraId="22CFB901" w14:textId="77777777" w:rsidR="002661BA" w:rsidRDefault="00D972BC">
      <w:r>
        <w:pict w14:anchorId="22CFE4F9">
          <v:rect id="_x0000_i1096" style="width:415.3pt;height:1.5pt" o:hralign="center" o:hrstd="t" o:hr="t" fillcolor="#a0a0a0" stroked="f"/>
        </w:pict>
      </w:r>
    </w:p>
    <w:p w14:paraId="22CFB902" w14:textId="77777777" w:rsidR="002661BA" w:rsidRDefault="00D972BC">
      <w:hyperlink r:id="rId107" w:anchor="id0d7a71b05ce452ea9fdb54f3cb359c7_7" w:history="1">
        <w:r>
          <w:rPr>
            <w:rStyle w:val="a5"/>
            <w:rFonts w:ascii="Arial" w:eastAsia="宋体" w:hAnsi="Arial" w:cs="Arial"/>
            <w:sz w:val="18"/>
            <w:szCs w:val="18"/>
          </w:rPr>
          <w:t>Table of Contents</w:t>
        </w:r>
      </w:hyperlink>
    </w:p>
    <w:p w14:paraId="22CFB903" w14:textId="77777777" w:rsidR="002661BA" w:rsidRDefault="00D972BC">
      <w:pPr>
        <w:jc w:val="center"/>
      </w:pPr>
      <w:r>
        <w:rPr>
          <w:rFonts w:ascii="Arial" w:eastAsia="宋体" w:hAnsi="Arial" w:cs="Arial"/>
          <w:b/>
          <w:bCs/>
          <w:color w:val="000000"/>
          <w:sz w:val="20"/>
          <w:szCs w:val="20"/>
        </w:rPr>
        <w:t>eBay Inc.</w:t>
      </w:r>
    </w:p>
    <w:p w14:paraId="22CFB904" w14:textId="77777777" w:rsidR="002661BA" w:rsidRDefault="00D972BC">
      <w:pPr>
        <w:spacing w:before="80"/>
        <w:jc w:val="center"/>
      </w:pPr>
      <w:r>
        <w:rPr>
          <w:rFonts w:ascii="Arial" w:eastAsia="宋体" w:hAnsi="Arial" w:cs="Arial"/>
          <w:b/>
          <w:bCs/>
          <w:color w:val="000000"/>
          <w:sz w:val="20"/>
          <w:szCs w:val="20"/>
        </w:rPr>
        <w:t xml:space="preserve">NOTES TO CONSOLIDATED FINANCIAL </w:t>
      </w:r>
      <w:r>
        <w:rPr>
          <w:rFonts w:ascii="Arial" w:eastAsia="宋体" w:hAnsi="Arial" w:cs="Arial"/>
          <w:b/>
          <w:bCs/>
          <w:color w:val="000000"/>
          <w:sz w:val="20"/>
          <w:szCs w:val="20"/>
        </w:rPr>
        <w:t>STATEMENTS—(Continued)</w:t>
      </w:r>
    </w:p>
    <w:p w14:paraId="22CFB905" w14:textId="77777777" w:rsidR="002661BA" w:rsidRDefault="00D972BC">
      <w:pPr>
        <w:jc w:val="both"/>
      </w:pPr>
      <w:r>
        <w:rPr>
          <w:rFonts w:ascii="Arial" w:eastAsia="宋体" w:hAnsi="Arial" w:cs="Arial"/>
          <w:b/>
          <w:bCs/>
          <w:color w:val="000000"/>
          <w:sz w:val="20"/>
          <w:szCs w:val="20"/>
        </w:rPr>
        <w:t xml:space="preserve">Note 3 — Discontinued Operations </w:t>
      </w:r>
    </w:p>
    <w:p w14:paraId="22CFB906" w14:textId="77777777" w:rsidR="002661BA" w:rsidRDefault="002661BA">
      <w:pPr>
        <w:jc w:val="both"/>
      </w:pPr>
    </w:p>
    <w:p w14:paraId="22CFB907" w14:textId="77777777" w:rsidR="002661BA" w:rsidRDefault="00D972BC">
      <w:pPr>
        <w:ind w:firstLine="270"/>
        <w:jc w:val="both"/>
      </w:pPr>
      <w:r>
        <w:rPr>
          <w:rFonts w:ascii="Arial" w:eastAsia="宋体" w:hAnsi="Arial" w:cs="Arial"/>
          <w:b/>
          <w:bCs/>
          <w:i/>
          <w:iCs/>
          <w:color w:val="000000"/>
          <w:sz w:val="20"/>
          <w:szCs w:val="20"/>
        </w:rPr>
        <w:t>eBay Korea</w:t>
      </w:r>
    </w:p>
    <w:p w14:paraId="22CFB908" w14:textId="77777777" w:rsidR="002661BA" w:rsidRDefault="002661BA">
      <w:pPr>
        <w:ind w:firstLine="90"/>
      </w:pPr>
    </w:p>
    <w:p w14:paraId="22CFB909" w14:textId="77777777" w:rsidR="002661BA" w:rsidRDefault="00D972BC">
      <w:pPr>
        <w:ind w:firstLine="540"/>
        <w:jc w:val="both"/>
      </w:pPr>
      <w:r>
        <w:rPr>
          <w:rFonts w:ascii="Arial" w:eastAsia="宋体" w:hAnsi="Arial" w:cs="Arial"/>
          <w:color w:val="000000"/>
          <w:sz w:val="20"/>
          <w:szCs w:val="20"/>
        </w:rPr>
        <w:t>On November 14, 2021, we completed the previously announced sale of 80.01% of the outstanding equity interests of eBay Korea to E-mart for approximately $3.0 billion of gross cash procee</w:t>
      </w:r>
      <w:r>
        <w:rPr>
          <w:rFonts w:ascii="Arial" w:eastAsia="宋体" w:hAnsi="Arial" w:cs="Arial"/>
          <w:color w:val="000000"/>
          <w:sz w:val="20"/>
          <w:szCs w:val="20"/>
        </w:rPr>
        <w:t>ds as of the transaction close date, subject to certain adjustments specified for indebtedness, cash, working capital, transaction expenses and certain taxes. The sale resulted in a pre-tax gain of $3.2 billion inclusive of a $81 million currency translati</w:t>
      </w:r>
      <w:r>
        <w:rPr>
          <w:rFonts w:ascii="Arial" w:eastAsia="宋体" w:hAnsi="Arial" w:cs="Arial"/>
          <w:color w:val="000000"/>
          <w:sz w:val="20"/>
          <w:szCs w:val="20"/>
        </w:rPr>
        <w:t>on adjustment and a $44 million gain net of tax on the net investment hedge settled in the fourth quarter of 2021, as well as income tax expense of $369 million.</w:t>
      </w:r>
    </w:p>
    <w:p w14:paraId="22CFB90A" w14:textId="77777777" w:rsidR="002661BA" w:rsidRDefault="002661BA">
      <w:pPr>
        <w:ind w:firstLine="540"/>
        <w:jc w:val="both"/>
      </w:pPr>
    </w:p>
    <w:p w14:paraId="22CFB90B" w14:textId="77777777" w:rsidR="002661BA" w:rsidRDefault="00D972BC">
      <w:pPr>
        <w:ind w:firstLine="540"/>
        <w:jc w:val="both"/>
      </w:pPr>
      <w:r>
        <w:rPr>
          <w:rFonts w:ascii="Arial" w:eastAsia="宋体" w:hAnsi="Arial" w:cs="Arial"/>
          <w:color w:val="000000"/>
          <w:sz w:val="20"/>
          <w:szCs w:val="20"/>
        </w:rPr>
        <w:t>In addition, upon closing we entered into a transition service agreement with eBay Korea to s</w:t>
      </w:r>
      <w:r>
        <w:rPr>
          <w:rFonts w:ascii="Arial" w:eastAsia="宋体" w:hAnsi="Arial" w:cs="Arial"/>
          <w:color w:val="000000"/>
          <w:sz w:val="20"/>
          <w:szCs w:val="20"/>
        </w:rPr>
        <w:t>upport the operations of eBay Korea after the divestiture for immaterial fees. This agreement commenced with the close of the transaction and has minimum initial terms of 6 months and can be extended for a maximum of 3 months.</w:t>
      </w:r>
    </w:p>
    <w:p w14:paraId="22CFB90C" w14:textId="77777777" w:rsidR="002661BA" w:rsidRDefault="002661BA">
      <w:pPr>
        <w:ind w:firstLine="540"/>
        <w:jc w:val="both"/>
      </w:pPr>
    </w:p>
    <w:p w14:paraId="22CFB90D" w14:textId="77777777" w:rsidR="002661BA" w:rsidRDefault="00D972BC">
      <w:pPr>
        <w:ind w:firstLine="270"/>
      </w:pPr>
      <w:r>
        <w:rPr>
          <w:rFonts w:ascii="Arial" w:eastAsia="宋体" w:hAnsi="Arial" w:cs="Arial"/>
          <w:b/>
          <w:bCs/>
          <w:i/>
          <w:iCs/>
          <w:color w:val="000000"/>
          <w:sz w:val="20"/>
          <w:szCs w:val="20"/>
        </w:rPr>
        <w:t>Classifieds</w:t>
      </w:r>
    </w:p>
    <w:p w14:paraId="22CFB90E" w14:textId="77777777" w:rsidR="002661BA" w:rsidRDefault="002661BA">
      <w:pPr>
        <w:ind w:firstLine="540"/>
        <w:jc w:val="both"/>
      </w:pPr>
    </w:p>
    <w:p w14:paraId="22CFB90F" w14:textId="77777777" w:rsidR="002661BA" w:rsidRDefault="00D972BC">
      <w:pPr>
        <w:ind w:firstLine="540"/>
        <w:jc w:val="both"/>
      </w:pPr>
      <w:r>
        <w:rPr>
          <w:rFonts w:ascii="Arial" w:eastAsia="宋体" w:hAnsi="Arial" w:cs="Arial"/>
          <w:color w:val="000000"/>
          <w:sz w:val="20"/>
          <w:szCs w:val="20"/>
        </w:rPr>
        <w:t>On June 24, 202</w:t>
      </w:r>
      <w:r>
        <w:rPr>
          <w:rFonts w:ascii="Arial" w:eastAsia="宋体" w:hAnsi="Arial" w:cs="Arial"/>
          <w:color w:val="000000"/>
          <w:sz w:val="20"/>
          <w:szCs w:val="20"/>
        </w:rPr>
        <w:t xml:space="preserve">1, we completed the previously announced transfer of our Classifieds business to Adevinta for total consideration of $13.3 billion which included $2.5 billion in cash proceeds and approximately 540 million shares of Adevinta valued at $10.8 billion on the </w:t>
      </w:r>
      <w:r>
        <w:rPr>
          <w:rFonts w:ascii="Arial" w:eastAsia="宋体" w:hAnsi="Arial" w:cs="Arial"/>
          <w:color w:val="000000"/>
          <w:sz w:val="20"/>
          <w:szCs w:val="20"/>
        </w:rPr>
        <w:t>date of close and represented a 44% equity interest. The transfer resulted in a pre-tax gain of $12.5 billion and related income tax expense of $2.1 billion, both within income from discontinued operations. The consideration is subject to adjustments speci</w:t>
      </w:r>
      <w:r>
        <w:rPr>
          <w:rFonts w:ascii="Arial" w:eastAsia="宋体" w:hAnsi="Arial" w:cs="Arial"/>
          <w:color w:val="000000"/>
          <w:sz w:val="20"/>
          <w:szCs w:val="20"/>
        </w:rPr>
        <w:t>fied in the definitive agreement.</w:t>
      </w:r>
    </w:p>
    <w:p w14:paraId="22CFB910" w14:textId="77777777" w:rsidR="002661BA" w:rsidRDefault="002661BA">
      <w:pPr>
        <w:ind w:firstLine="540"/>
        <w:jc w:val="both"/>
      </w:pPr>
    </w:p>
    <w:p w14:paraId="22CFB911" w14:textId="77777777" w:rsidR="002661BA" w:rsidRDefault="00D972BC">
      <w:pPr>
        <w:ind w:firstLine="540"/>
        <w:jc w:val="both"/>
      </w:pPr>
      <w:r>
        <w:rPr>
          <w:rFonts w:ascii="Arial" w:eastAsia="宋体" w:hAnsi="Arial" w:cs="Arial"/>
          <w:color w:val="000000"/>
          <w:sz w:val="20"/>
          <w:szCs w:val="20"/>
        </w:rPr>
        <w:t>In addition, upon closing we entered into a transition service agreement with Adevinta to support the operations of Classifieds after the divestiture for fees of $29 million. This agreement commenced with the close of the</w:t>
      </w:r>
      <w:r>
        <w:rPr>
          <w:rFonts w:ascii="Arial" w:eastAsia="宋体" w:hAnsi="Arial" w:cs="Arial"/>
          <w:color w:val="000000"/>
          <w:sz w:val="20"/>
          <w:szCs w:val="20"/>
        </w:rPr>
        <w:t xml:space="preserve"> transaction and have minimum initial terms ranging from 6 to 12 months and can be extended for a maximum of 6 months. </w:t>
      </w:r>
    </w:p>
    <w:p w14:paraId="22CFB912" w14:textId="77777777" w:rsidR="002661BA" w:rsidRDefault="002661BA">
      <w:pPr>
        <w:ind w:firstLine="540"/>
        <w:jc w:val="both"/>
      </w:pPr>
    </w:p>
    <w:p w14:paraId="22CFB913" w14:textId="77777777" w:rsidR="002661BA" w:rsidRDefault="00D972BC">
      <w:pPr>
        <w:ind w:firstLine="270"/>
        <w:jc w:val="both"/>
      </w:pPr>
      <w:r>
        <w:rPr>
          <w:rFonts w:ascii="Arial" w:eastAsia="宋体" w:hAnsi="Arial" w:cs="Arial"/>
          <w:b/>
          <w:bCs/>
          <w:i/>
          <w:iCs/>
          <w:color w:val="000000"/>
          <w:sz w:val="20"/>
          <w:szCs w:val="20"/>
        </w:rPr>
        <w:t>StubHub</w:t>
      </w:r>
    </w:p>
    <w:p w14:paraId="22CFB914" w14:textId="77777777" w:rsidR="002661BA" w:rsidRDefault="002661BA">
      <w:pPr>
        <w:ind w:firstLine="540"/>
        <w:jc w:val="both"/>
      </w:pPr>
    </w:p>
    <w:p w14:paraId="22CFB915" w14:textId="77777777" w:rsidR="002661BA" w:rsidRDefault="00D972BC">
      <w:pPr>
        <w:ind w:firstLine="540"/>
        <w:jc w:val="both"/>
      </w:pPr>
      <w:r>
        <w:rPr>
          <w:rFonts w:ascii="Arial" w:eastAsia="宋体" w:hAnsi="Arial" w:cs="Arial"/>
          <w:color w:val="000000"/>
          <w:sz w:val="20"/>
          <w:szCs w:val="20"/>
        </w:rPr>
        <w:t>On February 13, 2020, we completed the previously announced sale of our StubHub business to an affiliate of viagogo for $4.1 b</w:t>
      </w:r>
      <w:r>
        <w:rPr>
          <w:rFonts w:ascii="Arial" w:eastAsia="宋体" w:hAnsi="Arial" w:cs="Arial"/>
          <w:color w:val="000000"/>
          <w:sz w:val="20"/>
          <w:szCs w:val="20"/>
        </w:rPr>
        <w:t xml:space="preserve">illion in proceeds ($3.2 billion, net of income taxes of approximately $0.9 billion) and a pre-tax gain of $3.9 billion within income from discontinued operations. </w:t>
      </w:r>
    </w:p>
    <w:p w14:paraId="22CFB916" w14:textId="77777777" w:rsidR="002661BA" w:rsidRDefault="002661BA"/>
    <w:p w14:paraId="22CFB917" w14:textId="77777777" w:rsidR="002661BA" w:rsidRDefault="00D972BC">
      <w:pPr>
        <w:ind w:firstLine="540"/>
        <w:jc w:val="both"/>
      </w:pPr>
      <w:r>
        <w:rPr>
          <w:rFonts w:ascii="Arial" w:eastAsia="宋体" w:hAnsi="Arial" w:cs="Arial"/>
          <w:color w:val="000000"/>
          <w:sz w:val="20"/>
          <w:szCs w:val="20"/>
        </w:rPr>
        <w:t>In connection with the sale of StubHub, we entered into a transition service agreement wit</w:t>
      </w:r>
      <w:r>
        <w:rPr>
          <w:rFonts w:ascii="Arial" w:eastAsia="宋体" w:hAnsi="Arial" w:cs="Arial"/>
          <w:color w:val="000000"/>
          <w:sz w:val="20"/>
          <w:szCs w:val="20"/>
        </w:rPr>
        <w:t>h viagogo pursuant to which we provided services, including, but not limited to, business support services for StubHub after the divestiture. These agreements commenced with the close of the transaction and terminated in the fourth quarter of 2021. The rel</w:t>
      </w:r>
      <w:r>
        <w:rPr>
          <w:rFonts w:ascii="Arial" w:eastAsia="宋体" w:hAnsi="Arial" w:cs="Arial"/>
          <w:color w:val="000000"/>
          <w:sz w:val="20"/>
          <w:szCs w:val="20"/>
        </w:rPr>
        <w:t>ated fees in 2021 were $34 million for support services prior to termination.</w:t>
      </w:r>
    </w:p>
    <w:p w14:paraId="22CFB918" w14:textId="77777777" w:rsidR="002661BA" w:rsidRDefault="002661BA">
      <w:pPr>
        <w:ind w:firstLine="540"/>
        <w:jc w:val="both"/>
      </w:pPr>
    </w:p>
    <w:p w14:paraId="22CFB919" w14:textId="77777777" w:rsidR="002661BA" w:rsidRDefault="00D972BC">
      <w:pPr>
        <w:ind w:firstLine="270"/>
      </w:pPr>
      <w:r>
        <w:rPr>
          <w:rFonts w:ascii="Arial" w:eastAsia="宋体" w:hAnsi="Arial" w:cs="Arial"/>
          <w:b/>
          <w:bCs/>
          <w:i/>
          <w:iCs/>
          <w:color w:val="000000"/>
          <w:sz w:val="20"/>
          <w:szCs w:val="20"/>
        </w:rPr>
        <w:t>Discontinued operations</w:t>
      </w:r>
    </w:p>
    <w:p w14:paraId="22CFB91A" w14:textId="77777777" w:rsidR="002661BA" w:rsidRDefault="002661BA">
      <w:pPr>
        <w:ind w:firstLine="540"/>
        <w:jc w:val="both"/>
      </w:pPr>
    </w:p>
    <w:p w14:paraId="22CFB91B" w14:textId="77777777" w:rsidR="002661BA" w:rsidRDefault="00D972BC">
      <w:pPr>
        <w:spacing w:after="120"/>
        <w:ind w:firstLine="540"/>
        <w:jc w:val="both"/>
      </w:pPr>
      <w:r>
        <w:rPr>
          <w:rFonts w:ascii="Arial" w:eastAsia="宋体" w:hAnsi="Arial" w:cs="Arial"/>
          <w:color w:val="000000"/>
          <w:sz w:val="20"/>
          <w:szCs w:val="20"/>
        </w:rPr>
        <w:t xml:space="preserve">The following table presents financial results from discontinued operations, net of income taxes in our consolidated statement of income for the </w:t>
      </w:r>
      <w:r>
        <w:rPr>
          <w:rFonts w:ascii="Arial" w:eastAsia="宋体" w:hAnsi="Arial" w:cs="Arial"/>
          <w:color w:val="000000"/>
          <w:sz w:val="20"/>
          <w:szCs w:val="20"/>
        </w:rPr>
        <w:t>periods indicated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941"/>
        <w:gridCol w:w="37"/>
        <w:gridCol w:w="121"/>
        <w:gridCol w:w="781"/>
        <w:gridCol w:w="36"/>
        <w:gridCol w:w="36"/>
        <w:gridCol w:w="36"/>
        <w:gridCol w:w="36"/>
        <w:gridCol w:w="121"/>
        <w:gridCol w:w="781"/>
        <w:gridCol w:w="36"/>
        <w:gridCol w:w="36"/>
        <w:gridCol w:w="36"/>
        <w:gridCol w:w="36"/>
        <w:gridCol w:w="121"/>
        <w:gridCol w:w="783"/>
        <w:gridCol w:w="36"/>
        <w:gridCol w:w="36"/>
        <w:gridCol w:w="36"/>
        <w:gridCol w:w="36"/>
        <w:gridCol w:w="36"/>
        <w:gridCol w:w="36"/>
        <w:gridCol w:w="36"/>
        <w:gridCol w:w="36"/>
        <w:gridCol w:w="36"/>
      </w:tblGrid>
      <w:tr w:rsidR="002661BA" w14:paraId="22CFB932" w14:textId="77777777">
        <w:trPr>
          <w:jc w:val="center"/>
        </w:trPr>
        <w:tc>
          <w:tcPr>
            <w:tcW w:w="50" w:type="pct"/>
            <w:shd w:val="clear" w:color="auto" w:fill="auto"/>
            <w:vAlign w:val="bottom"/>
          </w:tcPr>
          <w:p w14:paraId="22CFB91C" w14:textId="77777777" w:rsidR="002661BA" w:rsidRDefault="002661BA">
            <w:pPr>
              <w:rPr>
                <w:rFonts w:ascii="宋体"/>
              </w:rPr>
            </w:pPr>
          </w:p>
        </w:tc>
        <w:tc>
          <w:tcPr>
            <w:tcW w:w="3132" w:type="pct"/>
            <w:shd w:val="clear" w:color="auto" w:fill="auto"/>
            <w:vAlign w:val="bottom"/>
          </w:tcPr>
          <w:p w14:paraId="22CFB91D" w14:textId="77777777" w:rsidR="002661BA" w:rsidRDefault="002661BA">
            <w:pPr>
              <w:rPr>
                <w:rFonts w:ascii="宋体"/>
              </w:rPr>
            </w:pPr>
          </w:p>
        </w:tc>
        <w:tc>
          <w:tcPr>
            <w:tcW w:w="5" w:type="pct"/>
            <w:shd w:val="clear" w:color="auto" w:fill="auto"/>
            <w:vAlign w:val="bottom"/>
          </w:tcPr>
          <w:p w14:paraId="22CFB91E" w14:textId="77777777" w:rsidR="002661BA" w:rsidRDefault="002661BA">
            <w:pPr>
              <w:rPr>
                <w:rFonts w:ascii="宋体"/>
              </w:rPr>
            </w:pPr>
          </w:p>
        </w:tc>
        <w:tc>
          <w:tcPr>
            <w:tcW w:w="50" w:type="pct"/>
            <w:shd w:val="clear" w:color="auto" w:fill="auto"/>
            <w:vAlign w:val="bottom"/>
          </w:tcPr>
          <w:p w14:paraId="22CFB91F" w14:textId="77777777" w:rsidR="002661BA" w:rsidRDefault="002661BA">
            <w:pPr>
              <w:rPr>
                <w:rFonts w:ascii="宋体"/>
              </w:rPr>
            </w:pPr>
          </w:p>
        </w:tc>
        <w:tc>
          <w:tcPr>
            <w:tcW w:w="529" w:type="pct"/>
            <w:shd w:val="clear" w:color="auto" w:fill="auto"/>
            <w:vAlign w:val="bottom"/>
          </w:tcPr>
          <w:p w14:paraId="22CFB920" w14:textId="77777777" w:rsidR="002661BA" w:rsidRDefault="002661BA">
            <w:pPr>
              <w:rPr>
                <w:rFonts w:ascii="宋体"/>
              </w:rPr>
            </w:pPr>
          </w:p>
        </w:tc>
        <w:tc>
          <w:tcPr>
            <w:tcW w:w="5" w:type="pct"/>
            <w:shd w:val="clear" w:color="auto" w:fill="auto"/>
            <w:vAlign w:val="bottom"/>
          </w:tcPr>
          <w:p w14:paraId="22CFB921" w14:textId="77777777" w:rsidR="002661BA" w:rsidRDefault="002661BA">
            <w:pPr>
              <w:rPr>
                <w:rFonts w:ascii="宋体"/>
              </w:rPr>
            </w:pPr>
          </w:p>
        </w:tc>
        <w:tc>
          <w:tcPr>
            <w:tcW w:w="5" w:type="pct"/>
            <w:shd w:val="clear" w:color="auto" w:fill="auto"/>
            <w:vAlign w:val="bottom"/>
          </w:tcPr>
          <w:p w14:paraId="22CFB922" w14:textId="77777777" w:rsidR="002661BA" w:rsidRDefault="002661BA">
            <w:pPr>
              <w:rPr>
                <w:rFonts w:ascii="宋体"/>
              </w:rPr>
            </w:pPr>
          </w:p>
        </w:tc>
        <w:tc>
          <w:tcPr>
            <w:tcW w:w="19" w:type="pct"/>
            <w:shd w:val="clear" w:color="auto" w:fill="auto"/>
            <w:vAlign w:val="bottom"/>
          </w:tcPr>
          <w:p w14:paraId="22CFB923" w14:textId="77777777" w:rsidR="002661BA" w:rsidRDefault="002661BA">
            <w:pPr>
              <w:rPr>
                <w:rFonts w:ascii="宋体"/>
              </w:rPr>
            </w:pPr>
          </w:p>
        </w:tc>
        <w:tc>
          <w:tcPr>
            <w:tcW w:w="5" w:type="pct"/>
            <w:shd w:val="clear" w:color="auto" w:fill="auto"/>
            <w:vAlign w:val="bottom"/>
          </w:tcPr>
          <w:p w14:paraId="22CFB924" w14:textId="77777777" w:rsidR="002661BA" w:rsidRDefault="002661BA">
            <w:pPr>
              <w:rPr>
                <w:rFonts w:ascii="宋体"/>
              </w:rPr>
            </w:pPr>
          </w:p>
        </w:tc>
        <w:tc>
          <w:tcPr>
            <w:tcW w:w="50" w:type="pct"/>
            <w:shd w:val="clear" w:color="auto" w:fill="auto"/>
            <w:vAlign w:val="bottom"/>
          </w:tcPr>
          <w:p w14:paraId="22CFB925" w14:textId="77777777" w:rsidR="002661BA" w:rsidRDefault="002661BA">
            <w:pPr>
              <w:rPr>
                <w:rFonts w:ascii="宋体"/>
              </w:rPr>
            </w:pPr>
          </w:p>
        </w:tc>
        <w:tc>
          <w:tcPr>
            <w:tcW w:w="529" w:type="pct"/>
            <w:shd w:val="clear" w:color="auto" w:fill="auto"/>
            <w:vAlign w:val="bottom"/>
          </w:tcPr>
          <w:p w14:paraId="22CFB926" w14:textId="77777777" w:rsidR="002661BA" w:rsidRDefault="002661BA">
            <w:pPr>
              <w:rPr>
                <w:rFonts w:ascii="宋体"/>
              </w:rPr>
            </w:pPr>
          </w:p>
        </w:tc>
        <w:tc>
          <w:tcPr>
            <w:tcW w:w="5" w:type="pct"/>
            <w:shd w:val="clear" w:color="auto" w:fill="auto"/>
            <w:vAlign w:val="bottom"/>
          </w:tcPr>
          <w:p w14:paraId="22CFB927" w14:textId="77777777" w:rsidR="002661BA" w:rsidRDefault="002661BA">
            <w:pPr>
              <w:rPr>
                <w:rFonts w:ascii="宋体"/>
              </w:rPr>
            </w:pPr>
          </w:p>
        </w:tc>
        <w:tc>
          <w:tcPr>
            <w:tcW w:w="5" w:type="pct"/>
            <w:shd w:val="clear" w:color="auto" w:fill="auto"/>
            <w:vAlign w:val="bottom"/>
          </w:tcPr>
          <w:p w14:paraId="22CFB928" w14:textId="77777777" w:rsidR="002661BA" w:rsidRDefault="002661BA">
            <w:pPr>
              <w:rPr>
                <w:rFonts w:ascii="宋体"/>
              </w:rPr>
            </w:pPr>
          </w:p>
        </w:tc>
        <w:tc>
          <w:tcPr>
            <w:tcW w:w="19" w:type="pct"/>
            <w:shd w:val="clear" w:color="auto" w:fill="auto"/>
            <w:vAlign w:val="bottom"/>
          </w:tcPr>
          <w:p w14:paraId="22CFB929" w14:textId="77777777" w:rsidR="002661BA" w:rsidRDefault="002661BA">
            <w:pPr>
              <w:rPr>
                <w:rFonts w:ascii="宋体"/>
              </w:rPr>
            </w:pPr>
          </w:p>
        </w:tc>
        <w:tc>
          <w:tcPr>
            <w:tcW w:w="5" w:type="pct"/>
            <w:shd w:val="clear" w:color="auto" w:fill="auto"/>
            <w:vAlign w:val="bottom"/>
          </w:tcPr>
          <w:p w14:paraId="22CFB92A" w14:textId="77777777" w:rsidR="002661BA" w:rsidRDefault="002661BA">
            <w:pPr>
              <w:rPr>
                <w:rFonts w:ascii="宋体"/>
              </w:rPr>
            </w:pPr>
          </w:p>
        </w:tc>
        <w:tc>
          <w:tcPr>
            <w:tcW w:w="50" w:type="pct"/>
            <w:shd w:val="clear" w:color="auto" w:fill="auto"/>
            <w:vAlign w:val="bottom"/>
          </w:tcPr>
          <w:p w14:paraId="22CFB92B" w14:textId="77777777" w:rsidR="002661BA" w:rsidRDefault="002661BA">
            <w:pPr>
              <w:rPr>
                <w:rFonts w:ascii="宋体"/>
              </w:rPr>
            </w:pPr>
          </w:p>
        </w:tc>
        <w:tc>
          <w:tcPr>
            <w:tcW w:w="530" w:type="pct"/>
            <w:shd w:val="clear" w:color="auto" w:fill="auto"/>
            <w:vAlign w:val="bottom"/>
          </w:tcPr>
          <w:p w14:paraId="22CFB92C" w14:textId="77777777" w:rsidR="002661BA" w:rsidRDefault="002661BA">
            <w:pPr>
              <w:rPr>
                <w:rFonts w:ascii="宋体"/>
              </w:rPr>
            </w:pPr>
          </w:p>
        </w:tc>
        <w:tc>
          <w:tcPr>
            <w:tcW w:w="5" w:type="pct"/>
            <w:shd w:val="clear" w:color="auto" w:fill="auto"/>
            <w:vAlign w:val="bottom"/>
          </w:tcPr>
          <w:p w14:paraId="22CFB92D" w14:textId="77777777" w:rsidR="002661BA" w:rsidRDefault="002661BA">
            <w:pPr>
              <w:rPr>
                <w:rFonts w:ascii="宋体"/>
              </w:rPr>
            </w:pPr>
          </w:p>
        </w:tc>
        <w:tc>
          <w:tcPr>
            <w:tcW w:w="0" w:type="auto"/>
            <w:shd w:val="clear" w:color="auto" w:fill="auto"/>
            <w:vAlign w:val="bottom"/>
          </w:tcPr>
          <w:p w14:paraId="22CFB92E" w14:textId="77777777" w:rsidR="002661BA" w:rsidRDefault="002661BA">
            <w:pPr>
              <w:rPr>
                <w:rFonts w:ascii="宋体"/>
                <w:vanish/>
              </w:rPr>
            </w:pPr>
          </w:p>
        </w:tc>
        <w:tc>
          <w:tcPr>
            <w:tcW w:w="0" w:type="auto"/>
            <w:shd w:val="clear" w:color="auto" w:fill="auto"/>
            <w:vAlign w:val="bottom"/>
          </w:tcPr>
          <w:p w14:paraId="22CFB92F" w14:textId="77777777" w:rsidR="002661BA" w:rsidRDefault="002661BA">
            <w:pPr>
              <w:rPr>
                <w:rFonts w:ascii="宋体"/>
                <w:vanish/>
              </w:rPr>
            </w:pPr>
          </w:p>
        </w:tc>
        <w:tc>
          <w:tcPr>
            <w:tcW w:w="0" w:type="auto"/>
            <w:gridSpan w:val="3"/>
            <w:shd w:val="clear" w:color="auto" w:fill="auto"/>
            <w:vAlign w:val="bottom"/>
          </w:tcPr>
          <w:p w14:paraId="22CFB930" w14:textId="77777777" w:rsidR="002661BA" w:rsidRDefault="002661BA">
            <w:pPr>
              <w:rPr>
                <w:rFonts w:ascii="宋体"/>
                <w:vanish/>
              </w:rPr>
            </w:pPr>
          </w:p>
        </w:tc>
        <w:tc>
          <w:tcPr>
            <w:tcW w:w="0" w:type="auto"/>
            <w:gridSpan w:val="3"/>
            <w:shd w:val="clear" w:color="auto" w:fill="auto"/>
            <w:vAlign w:val="bottom"/>
          </w:tcPr>
          <w:p w14:paraId="22CFB931" w14:textId="77777777" w:rsidR="002661BA" w:rsidRDefault="002661BA">
            <w:pPr>
              <w:rPr>
                <w:rFonts w:ascii="宋体"/>
                <w:vanish/>
              </w:rPr>
            </w:pPr>
          </w:p>
        </w:tc>
      </w:tr>
      <w:tr w:rsidR="002661BA" w14:paraId="22CFB93D" w14:textId="77777777">
        <w:trPr>
          <w:jc w:val="center"/>
        </w:trPr>
        <w:tc>
          <w:tcPr>
            <w:tcW w:w="0" w:type="auto"/>
            <w:gridSpan w:val="3"/>
            <w:shd w:val="clear" w:color="auto" w:fill="auto"/>
            <w:tcMar>
              <w:top w:w="40" w:type="dxa"/>
              <w:left w:w="20" w:type="dxa"/>
              <w:bottom w:w="40" w:type="dxa"/>
              <w:right w:w="20" w:type="dxa"/>
            </w:tcMar>
            <w:vAlign w:val="bottom"/>
          </w:tcPr>
          <w:p w14:paraId="22CFB933" w14:textId="77777777" w:rsidR="002661BA" w:rsidRDefault="00D972BC">
            <w:pPr>
              <w:textAlignment w:val="bottom"/>
            </w:pPr>
            <w:r>
              <w:rPr>
                <w:rFonts w:ascii="Arial" w:eastAsia="宋体" w:hAnsi="Arial" w:cs="Arial"/>
                <w:b/>
                <w:bCs/>
                <w:color w:val="000000"/>
                <w:sz w:val="18"/>
                <w:szCs w:val="18"/>
              </w:rPr>
              <w:t> </w:t>
            </w:r>
          </w:p>
        </w:tc>
        <w:tc>
          <w:tcPr>
            <w:tcW w:w="0" w:type="auto"/>
            <w:gridSpan w:val="15"/>
            <w:shd w:val="clear" w:color="auto" w:fill="auto"/>
            <w:tcMar>
              <w:top w:w="40" w:type="dxa"/>
              <w:left w:w="20" w:type="dxa"/>
              <w:bottom w:w="40" w:type="dxa"/>
              <w:right w:w="20" w:type="dxa"/>
            </w:tcMar>
            <w:vAlign w:val="bottom"/>
          </w:tcPr>
          <w:p w14:paraId="22CFB934" w14:textId="77777777" w:rsidR="002661BA" w:rsidRDefault="00D972BC">
            <w:pPr>
              <w:jc w:val="center"/>
              <w:textAlignment w:val="bottom"/>
            </w:pPr>
            <w:r>
              <w:rPr>
                <w:rFonts w:ascii="Arial" w:eastAsia="宋体" w:hAnsi="Arial" w:cs="Arial"/>
                <w:b/>
                <w:bCs/>
                <w:color w:val="000000"/>
                <w:sz w:val="17"/>
                <w:szCs w:val="17"/>
              </w:rPr>
              <w:t>Ye</w:t>
            </w:r>
            <w:r>
              <w:rPr>
                <w:rFonts w:ascii="Arial" w:eastAsia="宋体" w:hAnsi="Arial" w:cs="Arial"/>
                <w:b/>
                <w:bCs/>
                <w:color w:val="000000"/>
                <w:sz w:val="17"/>
                <w:szCs w:val="17"/>
              </w:rPr>
              <w:t>ar ended December 31,</w:t>
            </w:r>
          </w:p>
        </w:tc>
        <w:tc>
          <w:tcPr>
            <w:tcW w:w="0" w:type="auto"/>
            <w:shd w:val="clear" w:color="auto" w:fill="auto"/>
            <w:vAlign w:val="bottom"/>
          </w:tcPr>
          <w:p w14:paraId="22CFB935" w14:textId="77777777" w:rsidR="002661BA" w:rsidRDefault="002661BA">
            <w:pPr>
              <w:rPr>
                <w:rFonts w:ascii="宋体"/>
                <w:vanish/>
              </w:rPr>
            </w:pPr>
          </w:p>
        </w:tc>
        <w:tc>
          <w:tcPr>
            <w:tcW w:w="0" w:type="auto"/>
            <w:shd w:val="clear" w:color="auto" w:fill="auto"/>
            <w:vAlign w:val="bottom"/>
          </w:tcPr>
          <w:p w14:paraId="22CFB936" w14:textId="77777777" w:rsidR="002661BA" w:rsidRDefault="002661BA">
            <w:pPr>
              <w:rPr>
                <w:rFonts w:ascii="宋体"/>
                <w:vanish/>
              </w:rPr>
            </w:pPr>
          </w:p>
        </w:tc>
        <w:tc>
          <w:tcPr>
            <w:tcW w:w="0" w:type="auto"/>
            <w:shd w:val="clear" w:color="auto" w:fill="auto"/>
            <w:vAlign w:val="bottom"/>
          </w:tcPr>
          <w:p w14:paraId="22CFB937" w14:textId="77777777" w:rsidR="002661BA" w:rsidRDefault="002661BA">
            <w:pPr>
              <w:rPr>
                <w:rFonts w:ascii="宋体"/>
              </w:rPr>
            </w:pPr>
          </w:p>
        </w:tc>
        <w:tc>
          <w:tcPr>
            <w:tcW w:w="0" w:type="auto"/>
            <w:shd w:val="clear" w:color="auto" w:fill="auto"/>
            <w:vAlign w:val="bottom"/>
          </w:tcPr>
          <w:p w14:paraId="22CFB938" w14:textId="77777777" w:rsidR="002661BA" w:rsidRDefault="002661BA">
            <w:pPr>
              <w:rPr>
                <w:rFonts w:ascii="宋体"/>
              </w:rPr>
            </w:pPr>
          </w:p>
        </w:tc>
        <w:tc>
          <w:tcPr>
            <w:tcW w:w="0" w:type="auto"/>
            <w:shd w:val="clear" w:color="auto" w:fill="auto"/>
            <w:vAlign w:val="bottom"/>
          </w:tcPr>
          <w:p w14:paraId="22CFB939" w14:textId="77777777" w:rsidR="002661BA" w:rsidRDefault="002661BA">
            <w:pPr>
              <w:rPr>
                <w:rFonts w:ascii="宋体"/>
              </w:rPr>
            </w:pPr>
          </w:p>
        </w:tc>
        <w:tc>
          <w:tcPr>
            <w:tcW w:w="0" w:type="auto"/>
            <w:shd w:val="clear" w:color="auto" w:fill="auto"/>
            <w:vAlign w:val="bottom"/>
          </w:tcPr>
          <w:p w14:paraId="22CFB93A" w14:textId="77777777" w:rsidR="002661BA" w:rsidRDefault="002661BA">
            <w:pPr>
              <w:rPr>
                <w:rFonts w:ascii="宋体"/>
              </w:rPr>
            </w:pPr>
          </w:p>
        </w:tc>
        <w:tc>
          <w:tcPr>
            <w:tcW w:w="0" w:type="auto"/>
            <w:shd w:val="clear" w:color="auto" w:fill="auto"/>
            <w:vAlign w:val="bottom"/>
          </w:tcPr>
          <w:p w14:paraId="22CFB93B" w14:textId="77777777" w:rsidR="002661BA" w:rsidRDefault="002661BA">
            <w:pPr>
              <w:rPr>
                <w:rFonts w:ascii="宋体"/>
              </w:rPr>
            </w:pPr>
          </w:p>
        </w:tc>
        <w:tc>
          <w:tcPr>
            <w:tcW w:w="0" w:type="auto"/>
            <w:shd w:val="clear" w:color="auto" w:fill="auto"/>
            <w:vAlign w:val="bottom"/>
          </w:tcPr>
          <w:p w14:paraId="22CFB93C" w14:textId="77777777" w:rsidR="002661BA" w:rsidRDefault="002661BA">
            <w:pPr>
              <w:rPr>
                <w:rFonts w:ascii="宋体"/>
              </w:rPr>
            </w:pPr>
          </w:p>
        </w:tc>
      </w:tr>
      <w:tr w:rsidR="002661BA" w14:paraId="22CFB948" w14:textId="77777777">
        <w:trPr>
          <w:jc w:val="center"/>
        </w:trPr>
        <w:tc>
          <w:tcPr>
            <w:tcW w:w="0" w:type="auto"/>
            <w:gridSpan w:val="3"/>
            <w:shd w:val="clear" w:color="auto" w:fill="auto"/>
            <w:tcMar>
              <w:top w:w="40" w:type="dxa"/>
              <w:left w:w="20" w:type="dxa"/>
              <w:bottom w:w="40" w:type="dxa"/>
              <w:right w:w="20" w:type="dxa"/>
            </w:tcMar>
            <w:vAlign w:val="bottom"/>
          </w:tcPr>
          <w:p w14:paraId="22CFB93E" w14:textId="77777777" w:rsidR="002661BA" w:rsidRDefault="00D972BC">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93F" w14:textId="77777777" w:rsidR="002661BA" w:rsidRDefault="00D972BC">
            <w:pPr>
              <w:jc w:val="center"/>
              <w:textAlignment w:val="bottom"/>
            </w:pPr>
            <w:r>
              <w:rPr>
                <w:rFonts w:ascii="Arial" w:eastAsia="宋体" w:hAnsi="Arial" w:cs="Arial"/>
                <w:b/>
                <w:bCs/>
                <w:color w:val="000000"/>
                <w:sz w:val="17"/>
                <w:szCs w:val="17"/>
              </w:rPr>
              <w:t xml:space="preserve">2021 </w:t>
            </w:r>
            <w:r>
              <w:rPr>
                <w:rFonts w:ascii="Arial" w:eastAsia="宋体" w:hAnsi="Arial" w:cs="Arial"/>
                <w:b/>
                <w:bCs/>
                <w:color w:val="000000"/>
                <w:sz w:val="11"/>
                <w:szCs w:val="11"/>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940"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941" w14:textId="77777777" w:rsidR="002661BA" w:rsidRDefault="00D972BC">
            <w:pPr>
              <w:jc w:val="center"/>
              <w:textAlignment w:val="bottom"/>
            </w:pPr>
            <w:r>
              <w:rPr>
                <w:rFonts w:ascii="Arial" w:eastAsia="宋体" w:hAnsi="Arial" w:cs="Arial"/>
                <w:b/>
                <w:bCs/>
                <w:color w:val="000000"/>
                <w:sz w:val="17"/>
                <w:szCs w:val="17"/>
              </w:rPr>
              <w:t xml:space="preserve">2020 </w:t>
            </w:r>
            <w:r>
              <w:rPr>
                <w:rFonts w:ascii="Arial" w:eastAsia="宋体" w:hAnsi="Arial" w:cs="Arial"/>
                <w:b/>
                <w:bCs/>
                <w:color w:val="000000"/>
                <w:sz w:val="11"/>
                <w:szCs w:val="11"/>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942"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943" w14:textId="77777777" w:rsidR="002661BA" w:rsidRDefault="00D972BC">
            <w:pPr>
              <w:jc w:val="center"/>
              <w:textAlignment w:val="bottom"/>
            </w:pPr>
            <w:r>
              <w:rPr>
                <w:rFonts w:ascii="Arial" w:eastAsia="宋体" w:hAnsi="Arial" w:cs="Arial"/>
                <w:b/>
                <w:bCs/>
                <w:color w:val="000000"/>
                <w:sz w:val="17"/>
                <w:szCs w:val="17"/>
              </w:rPr>
              <w:t>2019</w:t>
            </w:r>
          </w:p>
        </w:tc>
        <w:tc>
          <w:tcPr>
            <w:tcW w:w="0" w:type="auto"/>
            <w:shd w:val="clear" w:color="auto" w:fill="auto"/>
            <w:vAlign w:val="bottom"/>
          </w:tcPr>
          <w:p w14:paraId="22CFB944" w14:textId="77777777" w:rsidR="002661BA" w:rsidRDefault="002661BA">
            <w:pPr>
              <w:rPr>
                <w:rFonts w:ascii="宋体"/>
                <w:vanish/>
              </w:rPr>
            </w:pPr>
          </w:p>
        </w:tc>
        <w:tc>
          <w:tcPr>
            <w:tcW w:w="0" w:type="auto"/>
            <w:shd w:val="clear" w:color="auto" w:fill="auto"/>
            <w:vAlign w:val="bottom"/>
          </w:tcPr>
          <w:p w14:paraId="22CFB945" w14:textId="77777777" w:rsidR="002661BA" w:rsidRDefault="002661BA">
            <w:pPr>
              <w:rPr>
                <w:rFonts w:ascii="宋体"/>
                <w:vanish/>
              </w:rPr>
            </w:pPr>
          </w:p>
        </w:tc>
        <w:tc>
          <w:tcPr>
            <w:tcW w:w="0" w:type="auto"/>
            <w:gridSpan w:val="3"/>
            <w:shd w:val="clear" w:color="auto" w:fill="auto"/>
            <w:vAlign w:val="bottom"/>
          </w:tcPr>
          <w:p w14:paraId="22CFB946" w14:textId="77777777" w:rsidR="002661BA" w:rsidRDefault="002661BA">
            <w:pPr>
              <w:rPr>
                <w:rFonts w:ascii="宋体"/>
                <w:vanish/>
              </w:rPr>
            </w:pPr>
          </w:p>
        </w:tc>
        <w:tc>
          <w:tcPr>
            <w:tcW w:w="0" w:type="auto"/>
            <w:gridSpan w:val="3"/>
            <w:shd w:val="clear" w:color="auto" w:fill="auto"/>
            <w:vAlign w:val="bottom"/>
          </w:tcPr>
          <w:p w14:paraId="22CFB947" w14:textId="77777777" w:rsidR="002661BA" w:rsidRDefault="002661BA">
            <w:pPr>
              <w:rPr>
                <w:rFonts w:ascii="宋体"/>
                <w:vanish/>
              </w:rPr>
            </w:pPr>
          </w:p>
        </w:tc>
      </w:tr>
      <w:tr w:rsidR="002661BA" w14:paraId="22CFB959" w14:textId="77777777">
        <w:trPr>
          <w:jc w:val="center"/>
        </w:trPr>
        <w:tc>
          <w:tcPr>
            <w:tcW w:w="0" w:type="auto"/>
            <w:gridSpan w:val="3"/>
            <w:shd w:val="clear" w:color="auto" w:fill="DBDBDB"/>
            <w:tcMar>
              <w:top w:w="40" w:type="dxa"/>
              <w:left w:w="20" w:type="dxa"/>
              <w:bottom w:w="40" w:type="dxa"/>
              <w:right w:w="20" w:type="dxa"/>
            </w:tcMar>
            <w:vAlign w:val="bottom"/>
          </w:tcPr>
          <w:p w14:paraId="22CFB949" w14:textId="77777777" w:rsidR="002661BA" w:rsidRDefault="00D972BC">
            <w:pPr>
              <w:textAlignment w:val="bottom"/>
            </w:pPr>
            <w:r>
              <w:rPr>
                <w:rFonts w:ascii="Arial" w:eastAsia="宋体" w:hAnsi="Arial" w:cs="Arial"/>
                <w:color w:val="000000"/>
                <w:sz w:val="18"/>
                <w:szCs w:val="18"/>
              </w:rPr>
              <w:t>eBay Korea income (loss) from discontinued operations, net of income taxes</w:t>
            </w:r>
          </w:p>
        </w:tc>
        <w:tc>
          <w:tcPr>
            <w:tcW w:w="0" w:type="auto"/>
            <w:tcBorders>
              <w:top w:val="single" w:sz="8" w:space="0" w:color="000000"/>
            </w:tcBorders>
            <w:shd w:val="clear" w:color="auto" w:fill="DBDBDB"/>
            <w:tcMar>
              <w:top w:w="40" w:type="dxa"/>
              <w:left w:w="20" w:type="dxa"/>
              <w:bottom w:w="40" w:type="dxa"/>
              <w:right w:w="0" w:type="dxa"/>
            </w:tcMar>
            <w:vAlign w:val="bottom"/>
          </w:tcPr>
          <w:p w14:paraId="22CFB94A"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B94B" w14:textId="77777777" w:rsidR="002661BA" w:rsidRDefault="00D972BC">
            <w:pPr>
              <w:jc w:val="right"/>
              <w:textAlignment w:val="bottom"/>
            </w:pPr>
            <w:r>
              <w:rPr>
                <w:rFonts w:ascii="Arial" w:eastAsia="宋体" w:hAnsi="Arial" w:cs="Arial"/>
                <w:color w:val="000000"/>
                <w:sz w:val="18"/>
                <w:szCs w:val="18"/>
              </w:rPr>
              <w:t>2,870 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94C"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94D"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B94E"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B94F" w14:textId="77777777" w:rsidR="002661BA" w:rsidRDefault="00D972BC">
            <w:pPr>
              <w:jc w:val="right"/>
              <w:textAlignment w:val="bottom"/>
            </w:pPr>
            <w:r>
              <w:rPr>
                <w:rFonts w:ascii="Arial" w:eastAsia="宋体" w:hAnsi="Arial" w:cs="Arial"/>
                <w:color w:val="000000"/>
                <w:sz w:val="18"/>
                <w:szCs w:val="18"/>
              </w:rPr>
              <w:t>55 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950"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951"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B952"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B953" w14:textId="77777777" w:rsidR="002661BA" w:rsidRDefault="00D972BC">
            <w:pPr>
              <w:jc w:val="right"/>
              <w:textAlignment w:val="bottom"/>
            </w:pPr>
            <w:r>
              <w:rPr>
                <w:rFonts w:ascii="Arial" w:eastAsia="宋体" w:hAnsi="Arial" w:cs="Arial"/>
                <w:color w:val="000000"/>
                <w:sz w:val="18"/>
                <w:szCs w:val="18"/>
              </w:rPr>
              <w:t>83 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954" w14:textId="77777777" w:rsidR="002661BA" w:rsidRDefault="002661BA">
            <w:pPr>
              <w:jc w:val="right"/>
              <w:rPr>
                <w:rFonts w:ascii="宋体"/>
              </w:rPr>
            </w:pPr>
          </w:p>
        </w:tc>
        <w:tc>
          <w:tcPr>
            <w:tcW w:w="0" w:type="auto"/>
            <w:shd w:val="clear" w:color="auto" w:fill="auto"/>
            <w:vAlign w:val="bottom"/>
          </w:tcPr>
          <w:p w14:paraId="22CFB955" w14:textId="77777777" w:rsidR="002661BA" w:rsidRDefault="002661BA">
            <w:pPr>
              <w:rPr>
                <w:rFonts w:ascii="宋体"/>
                <w:vanish/>
              </w:rPr>
            </w:pPr>
          </w:p>
        </w:tc>
        <w:tc>
          <w:tcPr>
            <w:tcW w:w="0" w:type="auto"/>
            <w:shd w:val="clear" w:color="auto" w:fill="auto"/>
            <w:vAlign w:val="bottom"/>
          </w:tcPr>
          <w:p w14:paraId="22CFB956" w14:textId="77777777" w:rsidR="002661BA" w:rsidRDefault="002661BA">
            <w:pPr>
              <w:rPr>
                <w:rFonts w:ascii="宋体"/>
                <w:vanish/>
              </w:rPr>
            </w:pPr>
          </w:p>
        </w:tc>
        <w:tc>
          <w:tcPr>
            <w:tcW w:w="0" w:type="auto"/>
            <w:gridSpan w:val="3"/>
            <w:shd w:val="clear" w:color="auto" w:fill="auto"/>
            <w:vAlign w:val="bottom"/>
          </w:tcPr>
          <w:p w14:paraId="22CFB957" w14:textId="77777777" w:rsidR="002661BA" w:rsidRDefault="002661BA">
            <w:pPr>
              <w:rPr>
                <w:rFonts w:ascii="宋体"/>
                <w:vanish/>
              </w:rPr>
            </w:pPr>
          </w:p>
        </w:tc>
        <w:tc>
          <w:tcPr>
            <w:tcW w:w="0" w:type="auto"/>
            <w:gridSpan w:val="3"/>
            <w:shd w:val="clear" w:color="auto" w:fill="auto"/>
            <w:vAlign w:val="bottom"/>
          </w:tcPr>
          <w:p w14:paraId="22CFB958" w14:textId="77777777" w:rsidR="002661BA" w:rsidRDefault="002661BA">
            <w:pPr>
              <w:rPr>
                <w:rFonts w:ascii="宋体"/>
                <w:vanish/>
              </w:rPr>
            </w:pPr>
          </w:p>
        </w:tc>
      </w:tr>
      <w:tr w:rsidR="002661BA" w14:paraId="22CFB967" w14:textId="77777777">
        <w:trPr>
          <w:jc w:val="center"/>
        </w:trPr>
        <w:tc>
          <w:tcPr>
            <w:tcW w:w="0" w:type="auto"/>
            <w:gridSpan w:val="3"/>
            <w:shd w:val="clear" w:color="auto" w:fill="FFFFFF"/>
            <w:tcMar>
              <w:top w:w="40" w:type="dxa"/>
              <w:left w:w="20" w:type="dxa"/>
              <w:bottom w:w="40" w:type="dxa"/>
              <w:right w:w="20" w:type="dxa"/>
            </w:tcMar>
            <w:vAlign w:val="bottom"/>
          </w:tcPr>
          <w:p w14:paraId="22CFB95A" w14:textId="77777777" w:rsidR="002661BA" w:rsidRDefault="00D972BC">
            <w:pPr>
              <w:textAlignment w:val="bottom"/>
            </w:pPr>
            <w:r>
              <w:rPr>
                <w:rFonts w:ascii="Arial" w:eastAsia="宋体" w:hAnsi="Arial" w:cs="Arial"/>
                <w:color w:val="000000"/>
                <w:sz w:val="18"/>
                <w:szCs w:val="18"/>
              </w:rPr>
              <w:t>Classifieds income (loss) from discontinued operations, net of income taxes</w:t>
            </w:r>
          </w:p>
        </w:tc>
        <w:tc>
          <w:tcPr>
            <w:tcW w:w="0" w:type="auto"/>
            <w:gridSpan w:val="2"/>
            <w:shd w:val="clear" w:color="auto" w:fill="FFFFFF"/>
            <w:tcMar>
              <w:top w:w="40" w:type="dxa"/>
              <w:left w:w="20" w:type="dxa"/>
              <w:bottom w:w="40" w:type="dxa"/>
              <w:right w:w="0" w:type="dxa"/>
            </w:tcMar>
            <w:vAlign w:val="bottom"/>
          </w:tcPr>
          <w:p w14:paraId="22CFB95B" w14:textId="77777777" w:rsidR="002661BA" w:rsidRDefault="00D972BC">
            <w:pPr>
              <w:jc w:val="right"/>
              <w:textAlignment w:val="bottom"/>
            </w:pPr>
            <w:r>
              <w:rPr>
                <w:rFonts w:ascii="Arial" w:eastAsia="宋体" w:hAnsi="Arial" w:cs="Arial"/>
                <w:color w:val="000000"/>
                <w:sz w:val="18"/>
                <w:szCs w:val="18"/>
              </w:rPr>
              <w:t>10,485 </w:t>
            </w:r>
          </w:p>
        </w:tc>
        <w:tc>
          <w:tcPr>
            <w:tcW w:w="0" w:type="auto"/>
            <w:shd w:val="clear" w:color="auto" w:fill="FFFFFF"/>
            <w:tcMar>
              <w:top w:w="40" w:type="dxa"/>
              <w:left w:w="0" w:type="dxa"/>
              <w:bottom w:w="40" w:type="dxa"/>
              <w:right w:w="20" w:type="dxa"/>
            </w:tcMar>
            <w:vAlign w:val="bottom"/>
          </w:tcPr>
          <w:p w14:paraId="22CFB95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95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95E" w14:textId="77777777" w:rsidR="002661BA" w:rsidRDefault="00D972BC">
            <w:pPr>
              <w:jc w:val="right"/>
              <w:textAlignment w:val="bottom"/>
            </w:pPr>
            <w:r>
              <w:rPr>
                <w:rFonts w:ascii="Arial" w:eastAsia="宋体" w:hAnsi="Arial" w:cs="Arial"/>
                <w:color w:val="000000"/>
                <w:sz w:val="18"/>
                <w:szCs w:val="18"/>
              </w:rPr>
              <w:t>197 </w:t>
            </w:r>
          </w:p>
        </w:tc>
        <w:tc>
          <w:tcPr>
            <w:tcW w:w="0" w:type="auto"/>
            <w:shd w:val="clear" w:color="auto" w:fill="FFFFFF"/>
            <w:tcMar>
              <w:top w:w="40" w:type="dxa"/>
              <w:left w:w="0" w:type="dxa"/>
              <w:bottom w:w="40" w:type="dxa"/>
              <w:right w:w="20" w:type="dxa"/>
            </w:tcMar>
            <w:vAlign w:val="bottom"/>
          </w:tcPr>
          <w:p w14:paraId="22CFB95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96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961" w14:textId="77777777" w:rsidR="002661BA" w:rsidRDefault="00D972BC">
            <w:pPr>
              <w:jc w:val="right"/>
              <w:textAlignment w:val="bottom"/>
            </w:pPr>
            <w:r>
              <w:rPr>
                <w:rFonts w:ascii="Arial" w:eastAsia="宋体" w:hAnsi="Arial" w:cs="Arial"/>
                <w:color w:val="000000"/>
                <w:sz w:val="18"/>
                <w:szCs w:val="18"/>
              </w:rPr>
              <w:t>217 </w:t>
            </w:r>
          </w:p>
        </w:tc>
        <w:tc>
          <w:tcPr>
            <w:tcW w:w="0" w:type="auto"/>
            <w:shd w:val="clear" w:color="auto" w:fill="FFFFFF"/>
            <w:tcMar>
              <w:top w:w="40" w:type="dxa"/>
              <w:left w:w="0" w:type="dxa"/>
              <w:bottom w:w="40" w:type="dxa"/>
              <w:right w:w="20" w:type="dxa"/>
            </w:tcMar>
            <w:vAlign w:val="bottom"/>
          </w:tcPr>
          <w:p w14:paraId="22CFB962" w14:textId="77777777" w:rsidR="002661BA" w:rsidRDefault="002661BA">
            <w:pPr>
              <w:jc w:val="right"/>
              <w:rPr>
                <w:rFonts w:ascii="宋体"/>
              </w:rPr>
            </w:pPr>
          </w:p>
        </w:tc>
        <w:tc>
          <w:tcPr>
            <w:tcW w:w="0" w:type="auto"/>
            <w:shd w:val="clear" w:color="auto" w:fill="auto"/>
            <w:vAlign w:val="bottom"/>
          </w:tcPr>
          <w:p w14:paraId="22CFB963" w14:textId="77777777" w:rsidR="002661BA" w:rsidRDefault="002661BA">
            <w:pPr>
              <w:rPr>
                <w:rFonts w:ascii="宋体"/>
                <w:vanish/>
              </w:rPr>
            </w:pPr>
          </w:p>
        </w:tc>
        <w:tc>
          <w:tcPr>
            <w:tcW w:w="0" w:type="auto"/>
            <w:shd w:val="clear" w:color="auto" w:fill="auto"/>
            <w:vAlign w:val="bottom"/>
          </w:tcPr>
          <w:p w14:paraId="22CFB964" w14:textId="77777777" w:rsidR="002661BA" w:rsidRDefault="002661BA">
            <w:pPr>
              <w:rPr>
                <w:rFonts w:ascii="宋体"/>
                <w:vanish/>
              </w:rPr>
            </w:pPr>
          </w:p>
        </w:tc>
        <w:tc>
          <w:tcPr>
            <w:tcW w:w="0" w:type="auto"/>
            <w:gridSpan w:val="3"/>
            <w:shd w:val="clear" w:color="auto" w:fill="auto"/>
            <w:vAlign w:val="bottom"/>
          </w:tcPr>
          <w:p w14:paraId="22CFB965" w14:textId="77777777" w:rsidR="002661BA" w:rsidRDefault="002661BA">
            <w:pPr>
              <w:rPr>
                <w:rFonts w:ascii="宋体"/>
                <w:vanish/>
              </w:rPr>
            </w:pPr>
          </w:p>
        </w:tc>
        <w:tc>
          <w:tcPr>
            <w:tcW w:w="0" w:type="auto"/>
            <w:gridSpan w:val="3"/>
            <w:shd w:val="clear" w:color="auto" w:fill="auto"/>
            <w:vAlign w:val="bottom"/>
          </w:tcPr>
          <w:p w14:paraId="22CFB966" w14:textId="77777777" w:rsidR="002661BA" w:rsidRDefault="002661BA">
            <w:pPr>
              <w:rPr>
                <w:rFonts w:ascii="宋体"/>
                <w:vanish/>
              </w:rPr>
            </w:pPr>
          </w:p>
        </w:tc>
      </w:tr>
      <w:tr w:rsidR="002661BA" w14:paraId="22CFB975" w14:textId="77777777">
        <w:trPr>
          <w:jc w:val="center"/>
        </w:trPr>
        <w:tc>
          <w:tcPr>
            <w:tcW w:w="0" w:type="auto"/>
            <w:gridSpan w:val="3"/>
            <w:shd w:val="clear" w:color="auto" w:fill="DBDBDB"/>
            <w:tcMar>
              <w:top w:w="40" w:type="dxa"/>
              <w:left w:w="20" w:type="dxa"/>
              <w:bottom w:w="40" w:type="dxa"/>
              <w:right w:w="20" w:type="dxa"/>
            </w:tcMar>
            <w:vAlign w:val="bottom"/>
          </w:tcPr>
          <w:p w14:paraId="22CFB968" w14:textId="77777777" w:rsidR="002661BA" w:rsidRDefault="00D972BC">
            <w:pPr>
              <w:ind w:hanging="180"/>
              <w:textAlignment w:val="bottom"/>
            </w:pPr>
            <w:r>
              <w:rPr>
                <w:rFonts w:ascii="Arial" w:eastAsia="宋体" w:hAnsi="Arial" w:cs="Arial"/>
                <w:color w:val="000000"/>
                <w:sz w:val="18"/>
                <w:szCs w:val="18"/>
              </w:rPr>
              <w:t>StubHub income (loss) from discontinued operations, net of income taxes</w:t>
            </w:r>
          </w:p>
        </w:tc>
        <w:tc>
          <w:tcPr>
            <w:tcW w:w="0" w:type="auto"/>
            <w:gridSpan w:val="2"/>
            <w:shd w:val="clear" w:color="auto" w:fill="DBDBDB"/>
            <w:tcMar>
              <w:top w:w="40" w:type="dxa"/>
              <w:left w:w="20" w:type="dxa"/>
              <w:bottom w:w="40" w:type="dxa"/>
              <w:right w:w="0" w:type="dxa"/>
            </w:tcMar>
            <w:vAlign w:val="bottom"/>
          </w:tcPr>
          <w:p w14:paraId="22CFB969" w14:textId="77777777" w:rsidR="002661BA" w:rsidRDefault="00D972BC">
            <w:pPr>
              <w:jc w:val="right"/>
              <w:textAlignment w:val="bottom"/>
            </w:pPr>
            <w:r>
              <w:rPr>
                <w:rFonts w:ascii="Arial" w:eastAsia="宋体" w:hAnsi="Arial" w:cs="Arial"/>
                <w:color w:val="000000"/>
                <w:sz w:val="18"/>
                <w:szCs w:val="18"/>
              </w:rPr>
              <w:t>1 </w:t>
            </w:r>
          </w:p>
        </w:tc>
        <w:tc>
          <w:tcPr>
            <w:tcW w:w="0" w:type="auto"/>
            <w:shd w:val="clear" w:color="auto" w:fill="DBDBDB"/>
            <w:tcMar>
              <w:top w:w="40" w:type="dxa"/>
              <w:left w:w="0" w:type="dxa"/>
              <w:bottom w:w="40" w:type="dxa"/>
              <w:right w:w="20" w:type="dxa"/>
            </w:tcMar>
            <w:vAlign w:val="bottom"/>
          </w:tcPr>
          <w:p w14:paraId="22CFB96A"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96B"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96C" w14:textId="77777777" w:rsidR="002661BA" w:rsidRDefault="00D972BC">
            <w:pPr>
              <w:jc w:val="right"/>
              <w:textAlignment w:val="bottom"/>
            </w:pPr>
            <w:r>
              <w:rPr>
                <w:rFonts w:ascii="Arial" w:eastAsia="宋体" w:hAnsi="Arial" w:cs="Arial"/>
                <w:color w:val="000000"/>
                <w:sz w:val="18"/>
                <w:szCs w:val="18"/>
              </w:rPr>
              <w:t>2,930 </w:t>
            </w:r>
          </w:p>
        </w:tc>
        <w:tc>
          <w:tcPr>
            <w:tcW w:w="0" w:type="auto"/>
            <w:shd w:val="clear" w:color="auto" w:fill="DBDBDB"/>
            <w:tcMar>
              <w:top w:w="40" w:type="dxa"/>
              <w:left w:w="0" w:type="dxa"/>
              <w:bottom w:w="40" w:type="dxa"/>
              <w:right w:w="20" w:type="dxa"/>
            </w:tcMar>
            <w:vAlign w:val="bottom"/>
          </w:tcPr>
          <w:p w14:paraId="22CFB96D"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96E"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96F" w14:textId="77777777" w:rsidR="002661BA" w:rsidRDefault="00D972BC">
            <w:pPr>
              <w:jc w:val="right"/>
              <w:textAlignment w:val="bottom"/>
            </w:pPr>
            <w:r>
              <w:rPr>
                <w:rFonts w:ascii="Arial" w:eastAsia="宋体" w:hAnsi="Arial" w:cs="Arial"/>
                <w:color w:val="000000"/>
                <w:sz w:val="18"/>
                <w:szCs w:val="18"/>
              </w:rPr>
              <w:t>59 </w:t>
            </w:r>
          </w:p>
        </w:tc>
        <w:tc>
          <w:tcPr>
            <w:tcW w:w="0" w:type="auto"/>
            <w:shd w:val="clear" w:color="auto" w:fill="DBDBDB"/>
            <w:tcMar>
              <w:top w:w="40" w:type="dxa"/>
              <w:left w:w="0" w:type="dxa"/>
              <w:bottom w:w="40" w:type="dxa"/>
              <w:right w:w="20" w:type="dxa"/>
            </w:tcMar>
            <w:vAlign w:val="bottom"/>
          </w:tcPr>
          <w:p w14:paraId="22CFB970" w14:textId="77777777" w:rsidR="002661BA" w:rsidRDefault="002661BA">
            <w:pPr>
              <w:jc w:val="right"/>
              <w:rPr>
                <w:rFonts w:ascii="宋体"/>
              </w:rPr>
            </w:pPr>
          </w:p>
        </w:tc>
        <w:tc>
          <w:tcPr>
            <w:tcW w:w="0" w:type="auto"/>
            <w:shd w:val="clear" w:color="auto" w:fill="auto"/>
            <w:vAlign w:val="bottom"/>
          </w:tcPr>
          <w:p w14:paraId="22CFB971" w14:textId="77777777" w:rsidR="002661BA" w:rsidRDefault="002661BA">
            <w:pPr>
              <w:rPr>
                <w:rFonts w:ascii="宋体"/>
                <w:vanish/>
              </w:rPr>
            </w:pPr>
          </w:p>
        </w:tc>
        <w:tc>
          <w:tcPr>
            <w:tcW w:w="0" w:type="auto"/>
            <w:shd w:val="clear" w:color="auto" w:fill="auto"/>
            <w:vAlign w:val="bottom"/>
          </w:tcPr>
          <w:p w14:paraId="22CFB972" w14:textId="77777777" w:rsidR="002661BA" w:rsidRDefault="002661BA">
            <w:pPr>
              <w:rPr>
                <w:rFonts w:ascii="宋体"/>
                <w:vanish/>
              </w:rPr>
            </w:pPr>
          </w:p>
        </w:tc>
        <w:tc>
          <w:tcPr>
            <w:tcW w:w="0" w:type="auto"/>
            <w:gridSpan w:val="3"/>
            <w:shd w:val="clear" w:color="auto" w:fill="auto"/>
            <w:vAlign w:val="bottom"/>
          </w:tcPr>
          <w:p w14:paraId="22CFB973" w14:textId="77777777" w:rsidR="002661BA" w:rsidRDefault="002661BA">
            <w:pPr>
              <w:rPr>
                <w:rFonts w:ascii="宋体"/>
                <w:vanish/>
              </w:rPr>
            </w:pPr>
          </w:p>
        </w:tc>
        <w:tc>
          <w:tcPr>
            <w:tcW w:w="0" w:type="auto"/>
            <w:gridSpan w:val="3"/>
            <w:shd w:val="clear" w:color="auto" w:fill="auto"/>
            <w:vAlign w:val="bottom"/>
          </w:tcPr>
          <w:p w14:paraId="22CFB974" w14:textId="77777777" w:rsidR="002661BA" w:rsidRDefault="002661BA">
            <w:pPr>
              <w:rPr>
                <w:rFonts w:ascii="宋体"/>
                <w:vanish/>
              </w:rPr>
            </w:pPr>
          </w:p>
        </w:tc>
      </w:tr>
      <w:tr w:rsidR="002661BA" w14:paraId="22CFB983" w14:textId="77777777">
        <w:trPr>
          <w:jc w:val="center"/>
        </w:trPr>
        <w:tc>
          <w:tcPr>
            <w:tcW w:w="0" w:type="auto"/>
            <w:gridSpan w:val="3"/>
            <w:shd w:val="clear" w:color="auto" w:fill="FFFFFF"/>
            <w:tcMar>
              <w:top w:w="40" w:type="dxa"/>
              <w:left w:w="20" w:type="dxa"/>
              <w:bottom w:w="40" w:type="dxa"/>
              <w:right w:w="20" w:type="dxa"/>
            </w:tcMar>
            <w:vAlign w:val="bottom"/>
          </w:tcPr>
          <w:p w14:paraId="22CFB976" w14:textId="77777777" w:rsidR="002661BA" w:rsidRDefault="00D972BC">
            <w:pPr>
              <w:textAlignment w:val="bottom"/>
            </w:pPr>
            <w:r>
              <w:rPr>
                <w:rFonts w:ascii="Arial" w:eastAsia="宋体" w:hAnsi="Arial" w:cs="Arial"/>
                <w:color w:val="000000"/>
                <w:sz w:val="18"/>
                <w:szCs w:val="18"/>
              </w:rPr>
              <w:t>PayPal and Enterprise income (loss) from discontinued operations, net of income taxes</w:t>
            </w:r>
          </w:p>
        </w:tc>
        <w:tc>
          <w:tcPr>
            <w:tcW w:w="0" w:type="auto"/>
            <w:gridSpan w:val="2"/>
            <w:shd w:val="clear" w:color="auto" w:fill="FFFFFF"/>
            <w:tcMar>
              <w:top w:w="40" w:type="dxa"/>
              <w:left w:w="20" w:type="dxa"/>
              <w:bottom w:w="40" w:type="dxa"/>
              <w:right w:w="0" w:type="dxa"/>
            </w:tcMar>
            <w:vAlign w:val="bottom"/>
          </w:tcPr>
          <w:p w14:paraId="22CFB977"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97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979"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97A" w14:textId="77777777" w:rsidR="002661BA" w:rsidRDefault="00D972BC">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22CFB97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97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97D" w14:textId="77777777" w:rsidR="002661BA" w:rsidRDefault="00D972BC">
            <w:pPr>
              <w:jc w:val="right"/>
              <w:textAlignment w:val="bottom"/>
            </w:pPr>
            <w:r>
              <w:rPr>
                <w:rFonts w:ascii="Arial" w:eastAsia="宋体" w:hAnsi="Arial" w:cs="Arial"/>
                <w:color w:val="000000"/>
                <w:sz w:val="18"/>
                <w:szCs w:val="18"/>
              </w:rPr>
              <w:t>(6)</w:t>
            </w:r>
          </w:p>
        </w:tc>
        <w:tc>
          <w:tcPr>
            <w:tcW w:w="0" w:type="auto"/>
            <w:shd w:val="clear" w:color="auto" w:fill="FFFFFF"/>
            <w:tcMar>
              <w:top w:w="40" w:type="dxa"/>
              <w:left w:w="0" w:type="dxa"/>
              <w:bottom w:w="40" w:type="dxa"/>
              <w:right w:w="20" w:type="dxa"/>
            </w:tcMar>
            <w:vAlign w:val="bottom"/>
          </w:tcPr>
          <w:p w14:paraId="22CFB97E" w14:textId="77777777" w:rsidR="002661BA" w:rsidRDefault="002661BA">
            <w:pPr>
              <w:jc w:val="right"/>
              <w:rPr>
                <w:rFonts w:ascii="宋体"/>
              </w:rPr>
            </w:pPr>
          </w:p>
        </w:tc>
        <w:tc>
          <w:tcPr>
            <w:tcW w:w="0" w:type="auto"/>
            <w:shd w:val="clear" w:color="auto" w:fill="auto"/>
            <w:vAlign w:val="bottom"/>
          </w:tcPr>
          <w:p w14:paraId="22CFB97F" w14:textId="77777777" w:rsidR="002661BA" w:rsidRDefault="002661BA">
            <w:pPr>
              <w:rPr>
                <w:rFonts w:ascii="宋体"/>
                <w:vanish/>
              </w:rPr>
            </w:pPr>
          </w:p>
        </w:tc>
        <w:tc>
          <w:tcPr>
            <w:tcW w:w="0" w:type="auto"/>
            <w:shd w:val="clear" w:color="auto" w:fill="auto"/>
            <w:vAlign w:val="bottom"/>
          </w:tcPr>
          <w:p w14:paraId="22CFB980" w14:textId="77777777" w:rsidR="002661BA" w:rsidRDefault="002661BA">
            <w:pPr>
              <w:rPr>
                <w:rFonts w:ascii="宋体"/>
                <w:vanish/>
              </w:rPr>
            </w:pPr>
          </w:p>
        </w:tc>
        <w:tc>
          <w:tcPr>
            <w:tcW w:w="0" w:type="auto"/>
            <w:gridSpan w:val="3"/>
            <w:shd w:val="clear" w:color="auto" w:fill="auto"/>
            <w:vAlign w:val="bottom"/>
          </w:tcPr>
          <w:p w14:paraId="22CFB981" w14:textId="77777777" w:rsidR="002661BA" w:rsidRDefault="002661BA">
            <w:pPr>
              <w:rPr>
                <w:rFonts w:ascii="宋体"/>
                <w:vanish/>
              </w:rPr>
            </w:pPr>
          </w:p>
        </w:tc>
        <w:tc>
          <w:tcPr>
            <w:tcW w:w="0" w:type="auto"/>
            <w:gridSpan w:val="3"/>
            <w:shd w:val="clear" w:color="auto" w:fill="auto"/>
            <w:vAlign w:val="bottom"/>
          </w:tcPr>
          <w:p w14:paraId="22CFB982" w14:textId="77777777" w:rsidR="002661BA" w:rsidRDefault="002661BA">
            <w:pPr>
              <w:rPr>
                <w:rFonts w:ascii="宋体"/>
                <w:vanish/>
              </w:rPr>
            </w:pPr>
          </w:p>
        </w:tc>
      </w:tr>
      <w:tr w:rsidR="002661BA" w14:paraId="22CFB994" w14:textId="77777777">
        <w:trPr>
          <w:jc w:val="center"/>
        </w:trPr>
        <w:tc>
          <w:tcPr>
            <w:tcW w:w="0" w:type="auto"/>
            <w:gridSpan w:val="3"/>
            <w:shd w:val="clear" w:color="auto" w:fill="DBDBDB"/>
            <w:tcMar>
              <w:top w:w="40" w:type="dxa"/>
              <w:left w:w="275" w:type="dxa"/>
              <w:bottom w:w="40" w:type="dxa"/>
              <w:right w:w="20" w:type="dxa"/>
            </w:tcMar>
            <w:vAlign w:val="bottom"/>
          </w:tcPr>
          <w:p w14:paraId="22CFB984" w14:textId="77777777" w:rsidR="002661BA" w:rsidRDefault="00D972BC">
            <w:pPr>
              <w:textAlignment w:val="bottom"/>
            </w:pPr>
            <w:r>
              <w:rPr>
                <w:rFonts w:ascii="Arial" w:eastAsia="宋体" w:hAnsi="Arial" w:cs="Arial"/>
                <w:color w:val="000000"/>
                <w:sz w:val="18"/>
                <w:szCs w:val="18"/>
              </w:rPr>
              <w:t>Income (loss) from discontinued operations, net of income taxes</w:t>
            </w: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22CFB98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22CFB986" w14:textId="77777777" w:rsidR="002661BA" w:rsidRDefault="00D972BC">
            <w:pPr>
              <w:jc w:val="right"/>
              <w:textAlignment w:val="bottom"/>
            </w:pPr>
            <w:r>
              <w:rPr>
                <w:rFonts w:ascii="Arial" w:eastAsia="宋体" w:hAnsi="Arial" w:cs="Arial"/>
                <w:color w:val="000000"/>
                <w:sz w:val="18"/>
                <w:szCs w:val="18"/>
              </w:rPr>
              <w:t>13,356 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22CFB987"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988" w14:textId="77777777" w:rsidR="002661BA" w:rsidRDefault="002661BA">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22CFB98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22CFB98A" w14:textId="77777777" w:rsidR="002661BA" w:rsidRDefault="00D972BC">
            <w:pPr>
              <w:jc w:val="right"/>
              <w:textAlignment w:val="bottom"/>
            </w:pPr>
            <w:r>
              <w:rPr>
                <w:rFonts w:ascii="Arial" w:eastAsia="宋体" w:hAnsi="Arial" w:cs="Arial"/>
                <w:color w:val="000000"/>
                <w:sz w:val="18"/>
                <w:szCs w:val="18"/>
              </w:rPr>
              <w:t>3,180 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22CFB98B" w14:textId="77777777" w:rsidR="002661BA" w:rsidRDefault="002661BA">
            <w:pPr>
              <w:jc w:val="right"/>
              <w:rPr>
                <w:rFonts w:ascii="宋体"/>
              </w:rPr>
            </w:pPr>
          </w:p>
        </w:tc>
        <w:tc>
          <w:tcPr>
            <w:tcW w:w="0" w:type="auto"/>
            <w:gridSpan w:val="3"/>
            <w:tcBorders>
              <w:bottom w:val="double" w:sz="6" w:space="0" w:color="000000"/>
            </w:tcBorders>
            <w:shd w:val="clear" w:color="auto" w:fill="DBDBDB"/>
            <w:tcMar>
              <w:top w:w="0" w:type="dxa"/>
              <w:left w:w="20" w:type="dxa"/>
              <w:bottom w:w="0" w:type="dxa"/>
              <w:right w:w="20" w:type="dxa"/>
            </w:tcMar>
            <w:vAlign w:val="bottom"/>
          </w:tcPr>
          <w:p w14:paraId="22CFB98C" w14:textId="77777777" w:rsidR="002661BA" w:rsidRDefault="002661BA">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22CFB98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22CFB98E" w14:textId="77777777" w:rsidR="002661BA" w:rsidRDefault="00D972BC">
            <w:pPr>
              <w:jc w:val="right"/>
              <w:textAlignment w:val="bottom"/>
            </w:pPr>
            <w:r>
              <w:rPr>
                <w:rFonts w:ascii="Arial" w:eastAsia="宋体" w:hAnsi="Arial" w:cs="Arial"/>
                <w:color w:val="000000"/>
                <w:sz w:val="18"/>
                <w:szCs w:val="18"/>
              </w:rPr>
              <w:t>353 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22CFB98F" w14:textId="77777777" w:rsidR="002661BA" w:rsidRDefault="002661BA">
            <w:pPr>
              <w:jc w:val="right"/>
              <w:rPr>
                <w:rFonts w:ascii="宋体"/>
              </w:rPr>
            </w:pPr>
          </w:p>
        </w:tc>
        <w:tc>
          <w:tcPr>
            <w:tcW w:w="0" w:type="auto"/>
            <w:shd w:val="clear" w:color="auto" w:fill="auto"/>
            <w:vAlign w:val="bottom"/>
          </w:tcPr>
          <w:p w14:paraId="22CFB990" w14:textId="77777777" w:rsidR="002661BA" w:rsidRDefault="002661BA">
            <w:pPr>
              <w:rPr>
                <w:rFonts w:ascii="宋体"/>
                <w:vanish/>
              </w:rPr>
            </w:pPr>
          </w:p>
        </w:tc>
        <w:tc>
          <w:tcPr>
            <w:tcW w:w="0" w:type="auto"/>
            <w:shd w:val="clear" w:color="auto" w:fill="auto"/>
            <w:vAlign w:val="bottom"/>
          </w:tcPr>
          <w:p w14:paraId="22CFB991" w14:textId="77777777" w:rsidR="002661BA" w:rsidRDefault="002661BA">
            <w:pPr>
              <w:rPr>
                <w:rFonts w:ascii="宋体"/>
                <w:vanish/>
              </w:rPr>
            </w:pPr>
          </w:p>
        </w:tc>
        <w:tc>
          <w:tcPr>
            <w:tcW w:w="0" w:type="auto"/>
            <w:gridSpan w:val="3"/>
            <w:shd w:val="clear" w:color="auto" w:fill="auto"/>
            <w:vAlign w:val="bottom"/>
          </w:tcPr>
          <w:p w14:paraId="22CFB992" w14:textId="77777777" w:rsidR="002661BA" w:rsidRDefault="002661BA">
            <w:pPr>
              <w:rPr>
                <w:rFonts w:ascii="宋体"/>
                <w:vanish/>
              </w:rPr>
            </w:pPr>
          </w:p>
        </w:tc>
        <w:tc>
          <w:tcPr>
            <w:tcW w:w="0" w:type="auto"/>
            <w:gridSpan w:val="3"/>
            <w:shd w:val="clear" w:color="auto" w:fill="auto"/>
            <w:vAlign w:val="bottom"/>
          </w:tcPr>
          <w:p w14:paraId="22CFB993" w14:textId="77777777" w:rsidR="002661BA" w:rsidRDefault="002661BA">
            <w:pPr>
              <w:rPr>
                <w:rFonts w:ascii="宋体"/>
                <w:vanish/>
              </w:rPr>
            </w:pPr>
          </w:p>
        </w:tc>
      </w:tr>
    </w:tbl>
    <w:p w14:paraId="22CFB995" w14:textId="77777777" w:rsidR="002661BA" w:rsidRDefault="00D972BC">
      <w:pPr>
        <w:ind w:hanging="360"/>
        <w:jc w:val="both"/>
      </w:pPr>
      <w:r>
        <w:rPr>
          <w:rFonts w:ascii="Arial" w:eastAsia="宋体" w:hAnsi="Arial" w:cs="Arial"/>
          <w:color w:val="000000"/>
          <w:sz w:val="16"/>
          <w:szCs w:val="16"/>
        </w:rPr>
        <w:t>(1)</w:t>
      </w:r>
      <w:r>
        <w:rPr>
          <w:rFonts w:ascii="Arial" w:eastAsia="宋体" w:hAnsi="Arial" w:cs="Arial"/>
          <w:color w:val="000000"/>
          <w:sz w:val="9"/>
          <w:szCs w:val="9"/>
        </w:rPr>
        <w:t xml:space="preserve"> </w:t>
      </w:r>
      <w:r>
        <w:rPr>
          <w:rFonts w:ascii="Arial" w:eastAsia="宋体" w:hAnsi="Arial" w:cs="Arial"/>
          <w:color w:val="000000"/>
          <w:sz w:val="16"/>
          <w:szCs w:val="16"/>
        </w:rPr>
        <w:t>Includes eBay Korea financial results through the transaction close on November 14, 2021 and the related gain on sale.</w:t>
      </w:r>
    </w:p>
    <w:p w14:paraId="22CFB996" w14:textId="77777777" w:rsidR="002661BA" w:rsidRDefault="00D972BC">
      <w:pPr>
        <w:ind w:hanging="360"/>
        <w:jc w:val="both"/>
      </w:pPr>
      <w:r>
        <w:rPr>
          <w:rFonts w:ascii="Arial" w:eastAsia="宋体" w:hAnsi="Arial" w:cs="Arial"/>
          <w:color w:val="000000"/>
          <w:sz w:val="16"/>
          <w:szCs w:val="16"/>
        </w:rPr>
        <w:t>(2)Includes Classifieds financial results through the tr</w:t>
      </w:r>
      <w:r>
        <w:rPr>
          <w:rFonts w:ascii="Arial" w:eastAsia="宋体" w:hAnsi="Arial" w:cs="Arial"/>
          <w:color w:val="000000"/>
          <w:sz w:val="16"/>
          <w:szCs w:val="16"/>
        </w:rPr>
        <w:t>ansaction close on June 24, 2021 and the related gain on sale.</w:t>
      </w:r>
    </w:p>
    <w:p w14:paraId="22CFB997" w14:textId="77777777" w:rsidR="002661BA" w:rsidRDefault="00D972BC">
      <w:pPr>
        <w:ind w:hanging="360"/>
        <w:jc w:val="both"/>
      </w:pPr>
      <w:r>
        <w:rPr>
          <w:rFonts w:ascii="Arial" w:eastAsia="宋体" w:hAnsi="Arial" w:cs="Arial"/>
          <w:color w:val="000000"/>
          <w:sz w:val="16"/>
          <w:szCs w:val="16"/>
        </w:rPr>
        <w:t>(3)Includes StubHub financial results from January 1, 2020 to February 13, 2020 and the related gain on sale.</w:t>
      </w:r>
    </w:p>
    <w:p w14:paraId="22CFB998" w14:textId="77777777" w:rsidR="002661BA" w:rsidRDefault="002661BA">
      <w:pPr>
        <w:ind w:hanging="180"/>
        <w:jc w:val="both"/>
      </w:pPr>
    </w:p>
    <w:p w14:paraId="22CFB999" w14:textId="77777777" w:rsidR="002661BA" w:rsidRDefault="00D972BC">
      <w:pPr>
        <w:jc w:val="center"/>
      </w:pPr>
      <w:r>
        <w:rPr>
          <w:rFonts w:ascii="Arial" w:eastAsia="宋体" w:hAnsi="Arial" w:cs="Arial"/>
          <w:color w:val="000000"/>
          <w:sz w:val="18"/>
          <w:szCs w:val="18"/>
        </w:rPr>
        <w:t>73</w:t>
      </w:r>
    </w:p>
    <w:p w14:paraId="22CFB99A" w14:textId="77777777" w:rsidR="002661BA" w:rsidRDefault="00D972BC">
      <w:r>
        <w:pict w14:anchorId="22CFE4FA">
          <v:rect id="_x0000_i1097" style="width:415.3pt;height:1.5pt" o:hralign="center" o:hrstd="t" o:hr="t" fillcolor="#a0a0a0" stroked="f"/>
        </w:pict>
      </w:r>
    </w:p>
    <w:p w14:paraId="22CFB99B" w14:textId="77777777" w:rsidR="002661BA" w:rsidRDefault="00D972BC">
      <w:hyperlink r:id="rId108" w:anchor="id0d7a71b05ce452ea9fdb54f3cb359c7_7" w:history="1">
        <w:r>
          <w:rPr>
            <w:rStyle w:val="a5"/>
            <w:rFonts w:ascii="Arial" w:eastAsia="宋体" w:hAnsi="Arial" w:cs="Arial"/>
            <w:sz w:val="18"/>
            <w:szCs w:val="18"/>
          </w:rPr>
          <w:t>Table of Contents</w:t>
        </w:r>
      </w:hyperlink>
    </w:p>
    <w:p w14:paraId="22CFB99C" w14:textId="77777777" w:rsidR="002661BA" w:rsidRDefault="00D972BC">
      <w:pPr>
        <w:jc w:val="center"/>
      </w:pPr>
      <w:r>
        <w:rPr>
          <w:rFonts w:ascii="Arial" w:eastAsia="宋体" w:hAnsi="Arial" w:cs="Arial"/>
          <w:b/>
          <w:bCs/>
          <w:color w:val="000000"/>
          <w:sz w:val="20"/>
          <w:szCs w:val="20"/>
        </w:rPr>
        <w:t>eBay Inc.</w:t>
      </w:r>
    </w:p>
    <w:p w14:paraId="22CFB99D"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B99E" w14:textId="77777777" w:rsidR="002661BA" w:rsidRDefault="00D972BC">
      <w:pPr>
        <w:spacing w:after="120"/>
        <w:ind w:firstLine="540"/>
      </w:pPr>
      <w:r>
        <w:rPr>
          <w:rFonts w:ascii="Arial" w:eastAsia="宋体" w:hAnsi="Arial" w:cs="Arial"/>
          <w:color w:val="000000"/>
          <w:sz w:val="20"/>
          <w:szCs w:val="20"/>
        </w:rPr>
        <w:t xml:space="preserve">The following table </w:t>
      </w:r>
      <w:r>
        <w:rPr>
          <w:rFonts w:ascii="Arial" w:eastAsia="宋体" w:hAnsi="Arial" w:cs="Arial"/>
          <w:color w:val="000000"/>
          <w:sz w:val="20"/>
          <w:szCs w:val="20"/>
        </w:rPr>
        <w:t>presents cash flows for discontinued operations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060"/>
        <w:gridCol w:w="38"/>
        <w:gridCol w:w="36"/>
        <w:gridCol w:w="36"/>
        <w:gridCol w:w="36"/>
        <w:gridCol w:w="121"/>
        <w:gridCol w:w="800"/>
        <w:gridCol w:w="36"/>
        <w:gridCol w:w="36"/>
        <w:gridCol w:w="36"/>
        <w:gridCol w:w="36"/>
        <w:gridCol w:w="121"/>
        <w:gridCol w:w="801"/>
        <w:gridCol w:w="36"/>
        <w:gridCol w:w="36"/>
        <w:gridCol w:w="36"/>
        <w:gridCol w:w="36"/>
        <w:gridCol w:w="121"/>
        <w:gridCol w:w="803"/>
        <w:gridCol w:w="36"/>
      </w:tblGrid>
      <w:tr w:rsidR="002661BA" w14:paraId="22CFB9B4" w14:textId="77777777">
        <w:tc>
          <w:tcPr>
            <w:tcW w:w="50" w:type="pct"/>
            <w:shd w:val="clear" w:color="auto" w:fill="auto"/>
            <w:vAlign w:val="bottom"/>
          </w:tcPr>
          <w:p w14:paraId="22CFB99F" w14:textId="77777777" w:rsidR="002661BA" w:rsidRDefault="002661BA">
            <w:pPr>
              <w:rPr>
                <w:rFonts w:ascii="宋体"/>
              </w:rPr>
            </w:pPr>
          </w:p>
        </w:tc>
        <w:tc>
          <w:tcPr>
            <w:tcW w:w="3132" w:type="pct"/>
            <w:shd w:val="clear" w:color="auto" w:fill="auto"/>
            <w:vAlign w:val="bottom"/>
          </w:tcPr>
          <w:p w14:paraId="22CFB9A0" w14:textId="77777777" w:rsidR="002661BA" w:rsidRDefault="002661BA">
            <w:pPr>
              <w:rPr>
                <w:rFonts w:ascii="宋体"/>
              </w:rPr>
            </w:pPr>
          </w:p>
        </w:tc>
        <w:tc>
          <w:tcPr>
            <w:tcW w:w="5" w:type="pct"/>
            <w:shd w:val="clear" w:color="auto" w:fill="auto"/>
            <w:vAlign w:val="bottom"/>
          </w:tcPr>
          <w:p w14:paraId="22CFB9A1" w14:textId="77777777" w:rsidR="002661BA" w:rsidRDefault="002661BA">
            <w:pPr>
              <w:rPr>
                <w:rFonts w:ascii="宋体"/>
              </w:rPr>
            </w:pPr>
          </w:p>
        </w:tc>
        <w:tc>
          <w:tcPr>
            <w:tcW w:w="0" w:type="auto"/>
            <w:shd w:val="clear" w:color="auto" w:fill="auto"/>
            <w:vAlign w:val="bottom"/>
          </w:tcPr>
          <w:p w14:paraId="22CFB9A2" w14:textId="77777777" w:rsidR="002661BA" w:rsidRDefault="002661BA">
            <w:pPr>
              <w:rPr>
                <w:rFonts w:ascii="宋体"/>
                <w:vanish/>
              </w:rPr>
            </w:pPr>
          </w:p>
        </w:tc>
        <w:tc>
          <w:tcPr>
            <w:tcW w:w="0" w:type="auto"/>
            <w:shd w:val="clear" w:color="auto" w:fill="auto"/>
            <w:vAlign w:val="bottom"/>
          </w:tcPr>
          <w:p w14:paraId="22CFB9A3" w14:textId="77777777" w:rsidR="002661BA" w:rsidRDefault="002661BA">
            <w:pPr>
              <w:rPr>
                <w:rFonts w:ascii="宋体"/>
                <w:vanish/>
              </w:rPr>
            </w:pPr>
          </w:p>
        </w:tc>
        <w:tc>
          <w:tcPr>
            <w:tcW w:w="0" w:type="auto"/>
            <w:shd w:val="clear" w:color="auto" w:fill="auto"/>
            <w:vAlign w:val="bottom"/>
          </w:tcPr>
          <w:p w14:paraId="22CFB9A4" w14:textId="77777777" w:rsidR="002661BA" w:rsidRDefault="002661BA">
            <w:pPr>
              <w:rPr>
                <w:rFonts w:ascii="宋体"/>
                <w:vanish/>
              </w:rPr>
            </w:pPr>
          </w:p>
        </w:tc>
        <w:tc>
          <w:tcPr>
            <w:tcW w:w="50" w:type="pct"/>
            <w:shd w:val="clear" w:color="auto" w:fill="auto"/>
            <w:vAlign w:val="bottom"/>
          </w:tcPr>
          <w:p w14:paraId="22CFB9A5" w14:textId="77777777" w:rsidR="002661BA" w:rsidRDefault="002661BA">
            <w:pPr>
              <w:rPr>
                <w:rFonts w:ascii="宋体"/>
              </w:rPr>
            </w:pPr>
          </w:p>
        </w:tc>
        <w:tc>
          <w:tcPr>
            <w:tcW w:w="529" w:type="pct"/>
            <w:shd w:val="clear" w:color="auto" w:fill="auto"/>
            <w:vAlign w:val="bottom"/>
          </w:tcPr>
          <w:p w14:paraId="22CFB9A6" w14:textId="77777777" w:rsidR="002661BA" w:rsidRDefault="002661BA">
            <w:pPr>
              <w:rPr>
                <w:rFonts w:ascii="宋体"/>
              </w:rPr>
            </w:pPr>
          </w:p>
        </w:tc>
        <w:tc>
          <w:tcPr>
            <w:tcW w:w="5" w:type="pct"/>
            <w:shd w:val="clear" w:color="auto" w:fill="auto"/>
            <w:vAlign w:val="bottom"/>
          </w:tcPr>
          <w:p w14:paraId="22CFB9A7" w14:textId="77777777" w:rsidR="002661BA" w:rsidRDefault="002661BA">
            <w:pPr>
              <w:rPr>
                <w:rFonts w:ascii="宋体"/>
              </w:rPr>
            </w:pPr>
          </w:p>
        </w:tc>
        <w:tc>
          <w:tcPr>
            <w:tcW w:w="5" w:type="pct"/>
            <w:shd w:val="clear" w:color="auto" w:fill="auto"/>
            <w:vAlign w:val="bottom"/>
          </w:tcPr>
          <w:p w14:paraId="22CFB9A8" w14:textId="77777777" w:rsidR="002661BA" w:rsidRDefault="002661BA">
            <w:pPr>
              <w:rPr>
                <w:rFonts w:ascii="宋体"/>
              </w:rPr>
            </w:pPr>
          </w:p>
        </w:tc>
        <w:tc>
          <w:tcPr>
            <w:tcW w:w="19" w:type="pct"/>
            <w:shd w:val="clear" w:color="auto" w:fill="auto"/>
            <w:vAlign w:val="bottom"/>
          </w:tcPr>
          <w:p w14:paraId="22CFB9A9" w14:textId="77777777" w:rsidR="002661BA" w:rsidRDefault="002661BA">
            <w:pPr>
              <w:rPr>
                <w:rFonts w:ascii="宋体"/>
              </w:rPr>
            </w:pPr>
          </w:p>
        </w:tc>
        <w:tc>
          <w:tcPr>
            <w:tcW w:w="5" w:type="pct"/>
            <w:shd w:val="clear" w:color="auto" w:fill="auto"/>
            <w:vAlign w:val="bottom"/>
          </w:tcPr>
          <w:p w14:paraId="22CFB9AA" w14:textId="77777777" w:rsidR="002661BA" w:rsidRDefault="002661BA">
            <w:pPr>
              <w:rPr>
                <w:rFonts w:ascii="宋体"/>
              </w:rPr>
            </w:pPr>
          </w:p>
        </w:tc>
        <w:tc>
          <w:tcPr>
            <w:tcW w:w="50" w:type="pct"/>
            <w:shd w:val="clear" w:color="auto" w:fill="auto"/>
            <w:vAlign w:val="bottom"/>
          </w:tcPr>
          <w:p w14:paraId="22CFB9AB" w14:textId="77777777" w:rsidR="002661BA" w:rsidRDefault="002661BA">
            <w:pPr>
              <w:rPr>
                <w:rFonts w:ascii="宋体"/>
              </w:rPr>
            </w:pPr>
          </w:p>
        </w:tc>
        <w:tc>
          <w:tcPr>
            <w:tcW w:w="529" w:type="pct"/>
            <w:shd w:val="clear" w:color="auto" w:fill="auto"/>
            <w:vAlign w:val="bottom"/>
          </w:tcPr>
          <w:p w14:paraId="22CFB9AC" w14:textId="77777777" w:rsidR="002661BA" w:rsidRDefault="002661BA">
            <w:pPr>
              <w:rPr>
                <w:rFonts w:ascii="宋体"/>
              </w:rPr>
            </w:pPr>
          </w:p>
        </w:tc>
        <w:tc>
          <w:tcPr>
            <w:tcW w:w="5" w:type="pct"/>
            <w:shd w:val="clear" w:color="auto" w:fill="auto"/>
            <w:vAlign w:val="bottom"/>
          </w:tcPr>
          <w:p w14:paraId="22CFB9AD" w14:textId="77777777" w:rsidR="002661BA" w:rsidRDefault="002661BA">
            <w:pPr>
              <w:rPr>
                <w:rFonts w:ascii="宋体"/>
              </w:rPr>
            </w:pPr>
          </w:p>
        </w:tc>
        <w:tc>
          <w:tcPr>
            <w:tcW w:w="5" w:type="pct"/>
            <w:shd w:val="clear" w:color="auto" w:fill="auto"/>
            <w:vAlign w:val="bottom"/>
          </w:tcPr>
          <w:p w14:paraId="22CFB9AE" w14:textId="77777777" w:rsidR="002661BA" w:rsidRDefault="002661BA">
            <w:pPr>
              <w:rPr>
                <w:rFonts w:ascii="宋体"/>
              </w:rPr>
            </w:pPr>
          </w:p>
        </w:tc>
        <w:tc>
          <w:tcPr>
            <w:tcW w:w="19" w:type="pct"/>
            <w:shd w:val="clear" w:color="auto" w:fill="auto"/>
            <w:vAlign w:val="bottom"/>
          </w:tcPr>
          <w:p w14:paraId="22CFB9AF" w14:textId="77777777" w:rsidR="002661BA" w:rsidRDefault="002661BA">
            <w:pPr>
              <w:rPr>
                <w:rFonts w:ascii="宋体"/>
              </w:rPr>
            </w:pPr>
          </w:p>
        </w:tc>
        <w:tc>
          <w:tcPr>
            <w:tcW w:w="5" w:type="pct"/>
            <w:shd w:val="clear" w:color="auto" w:fill="auto"/>
            <w:vAlign w:val="bottom"/>
          </w:tcPr>
          <w:p w14:paraId="22CFB9B0" w14:textId="77777777" w:rsidR="002661BA" w:rsidRDefault="002661BA">
            <w:pPr>
              <w:rPr>
                <w:rFonts w:ascii="宋体"/>
              </w:rPr>
            </w:pPr>
          </w:p>
        </w:tc>
        <w:tc>
          <w:tcPr>
            <w:tcW w:w="50" w:type="pct"/>
            <w:shd w:val="clear" w:color="auto" w:fill="auto"/>
            <w:vAlign w:val="bottom"/>
          </w:tcPr>
          <w:p w14:paraId="22CFB9B1" w14:textId="77777777" w:rsidR="002661BA" w:rsidRDefault="002661BA">
            <w:pPr>
              <w:rPr>
                <w:rFonts w:ascii="宋体"/>
              </w:rPr>
            </w:pPr>
          </w:p>
        </w:tc>
        <w:tc>
          <w:tcPr>
            <w:tcW w:w="530" w:type="pct"/>
            <w:shd w:val="clear" w:color="auto" w:fill="auto"/>
            <w:vAlign w:val="bottom"/>
          </w:tcPr>
          <w:p w14:paraId="22CFB9B2" w14:textId="77777777" w:rsidR="002661BA" w:rsidRDefault="002661BA">
            <w:pPr>
              <w:rPr>
                <w:rFonts w:ascii="宋体"/>
              </w:rPr>
            </w:pPr>
          </w:p>
        </w:tc>
        <w:tc>
          <w:tcPr>
            <w:tcW w:w="5" w:type="pct"/>
            <w:shd w:val="clear" w:color="auto" w:fill="auto"/>
            <w:vAlign w:val="bottom"/>
          </w:tcPr>
          <w:p w14:paraId="22CFB9B3" w14:textId="77777777" w:rsidR="002661BA" w:rsidRDefault="002661BA">
            <w:pPr>
              <w:rPr>
                <w:rFonts w:ascii="宋体"/>
              </w:rPr>
            </w:pPr>
          </w:p>
        </w:tc>
      </w:tr>
      <w:tr w:rsidR="002661BA" w14:paraId="22CFB9BE" w14:textId="77777777">
        <w:tc>
          <w:tcPr>
            <w:tcW w:w="0" w:type="auto"/>
            <w:gridSpan w:val="3"/>
            <w:shd w:val="clear" w:color="auto" w:fill="auto"/>
            <w:tcMar>
              <w:top w:w="40" w:type="dxa"/>
              <w:left w:w="20" w:type="dxa"/>
              <w:bottom w:w="40" w:type="dxa"/>
              <w:right w:w="20" w:type="dxa"/>
            </w:tcMar>
            <w:vAlign w:val="bottom"/>
          </w:tcPr>
          <w:p w14:paraId="22CFB9B5" w14:textId="77777777" w:rsidR="002661BA" w:rsidRDefault="00D972BC">
            <w:pPr>
              <w:textAlignment w:val="bottom"/>
            </w:pPr>
            <w:r>
              <w:rPr>
                <w:rFonts w:ascii="Arial" w:eastAsia="宋体" w:hAnsi="Arial" w:cs="Arial"/>
                <w:b/>
                <w:bCs/>
                <w:color w:val="000000"/>
                <w:sz w:val="18"/>
                <w:szCs w:val="18"/>
              </w:rPr>
              <w:t> </w:t>
            </w:r>
          </w:p>
        </w:tc>
        <w:tc>
          <w:tcPr>
            <w:tcW w:w="0" w:type="auto"/>
            <w:shd w:val="clear" w:color="auto" w:fill="auto"/>
            <w:vAlign w:val="bottom"/>
          </w:tcPr>
          <w:p w14:paraId="22CFB9B6" w14:textId="77777777" w:rsidR="002661BA" w:rsidRDefault="002661BA">
            <w:pPr>
              <w:rPr>
                <w:rFonts w:ascii="宋体"/>
                <w:vanish/>
              </w:rPr>
            </w:pPr>
          </w:p>
        </w:tc>
        <w:tc>
          <w:tcPr>
            <w:tcW w:w="0" w:type="auto"/>
            <w:gridSpan w:val="11"/>
            <w:shd w:val="clear" w:color="auto" w:fill="auto"/>
            <w:tcMar>
              <w:top w:w="40" w:type="dxa"/>
              <w:left w:w="20" w:type="dxa"/>
              <w:bottom w:w="40" w:type="dxa"/>
              <w:right w:w="20" w:type="dxa"/>
            </w:tcMar>
            <w:vAlign w:val="bottom"/>
          </w:tcPr>
          <w:p w14:paraId="22CFB9B7" w14:textId="77777777" w:rsidR="002661BA" w:rsidRDefault="00D972BC">
            <w:pPr>
              <w:jc w:val="center"/>
              <w:textAlignment w:val="bottom"/>
            </w:pPr>
            <w:r>
              <w:rPr>
                <w:rFonts w:ascii="Arial" w:eastAsia="宋体" w:hAnsi="Arial" w:cs="Arial"/>
                <w:b/>
                <w:bCs/>
                <w:color w:val="000000"/>
                <w:sz w:val="17"/>
                <w:szCs w:val="17"/>
              </w:rPr>
              <w:t>Year ended December 31,</w:t>
            </w:r>
          </w:p>
        </w:tc>
        <w:tc>
          <w:tcPr>
            <w:tcW w:w="0" w:type="auto"/>
            <w:shd w:val="clear" w:color="auto" w:fill="auto"/>
            <w:vAlign w:val="bottom"/>
          </w:tcPr>
          <w:p w14:paraId="22CFB9B8" w14:textId="77777777" w:rsidR="002661BA" w:rsidRDefault="002661BA">
            <w:pPr>
              <w:rPr>
                <w:rFonts w:ascii="宋体"/>
              </w:rPr>
            </w:pPr>
          </w:p>
        </w:tc>
        <w:tc>
          <w:tcPr>
            <w:tcW w:w="0" w:type="auto"/>
            <w:shd w:val="clear" w:color="auto" w:fill="auto"/>
            <w:vAlign w:val="bottom"/>
          </w:tcPr>
          <w:p w14:paraId="22CFB9B9" w14:textId="77777777" w:rsidR="002661BA" w:rsidRDefault="002661BA">
            <w:pPr>
              <w:rPr>
                <w:rFonts w:ascii="宋体"/>
              </w:rPr>
            </w:pPr>
          </w:p>
        </w:tc>
        <w:tc>
          <w:tcPr>
            <w:tcW w:w="0" w:type="auto"/>
            <w:shd w:val="clear" w:color="auto" w:fill="auto"/>
            <w:vAlign w:val="bottom"/>
          </w:tcPr>
          <w:p w14:paraId="22CFB9BA" w14:textId="77777777" w:rsidR="002661BA" w:rsidRDefault="002661BA">
            <w:pPr>
              <w:rPr>
                <w:rFonts w:ascii="宋体"/>
              </w:rPr>
            </w:pPr>
          </w:p>
        </w:tc>
        <w:tc>
          <w:tcPr>
            <w:tcW w:w="0" w:type="auto"/>
            <w:shd w:val="clear" w:color="auto" w:fill="auto"/>
            <w:vAlign w:val="bottom"/>
          </w:tcPr>
          <w:p w14:paraId="22CFB9BB" w14:textId="77777777" w:rsidR="002661BA" w:rsidRDefault="002661BA">
            <w:pPr>
              <w:rPr>
                <w:rFonts w:ascii="宋体"/>
              </w:rPr>
            </w:pPr>
          </w:p>
        </w:tc>
        <w:tc>
          <w:tcPr>
            <w:tcW w:w="0" w:type="auto"/>
            <w:shd w:val="clear" w:color="auto" w:fill="auto"/>
            <w:vAlign w:val="bottom"/>
          </w:tcPr>
          <w:p w14:paraId="22CFB9BC" w14:textId="77777777" w:rsidR="002661BA" w:rsidRDefault="002661BA">
            <w:pPr>
              <w:rPr>
                <w:rFonts w:ascii="宋体"/>
              </w:rPr>
            </w:pPr>
          </w:p>
        </w:tc>
        <w:tc>
          <w:tcPr>
            <w:tcW w:w="0" w:type="auto"/>
            <w:shd w:val="clear" w:color="auto" w:fill="auto"/>
            <w:vAlign w:val="bottom"/>
          </w:tcPr>
          <w:p w14:paraId="22CFB9BD" w14:textId="77777777" w:rsidR="002661BA" w:rsidRDefault="002661BA">
            <w:pPr>
              <w:rPr>
                <w:rFonts w:ascii="宋体"/>
              </w:rPr>
            </w:pPr>
          </w:p>
        </w:tc>
      </w:tr>
      <w:tr w:rsidR="002661BA" w14:paraId="22CFB9C8" w14:textId="77777777">
        <w:tc>
          <w:tcPr>
            <w:tcW w:w="0" w:type="auto"/>
            <w:gridSpan w:val="3"/>
            <w:shd w:val="clear" w:color="auto" w:fill="auto"/>
            <w:tcMar>
              <w:top w:w="40" w:type="dxa"/>
              <w:left w:w="20" w:type="dxa"/>
              <w:bottom w:w="40" w:type="dxa"/>
              <w:right w:w="20" w:type="dxa"/>
            </w:tcMar>
            <w:vAlign w:val="bottom"/>
          </w:tcPr>
          <w:p w14:paraId="22CFB9BF" w14:textId="77777777" w:rsidR="002661BA" w:rsidRDefault="00D972BC">
            <w:pPr>
              <w:textAlignment w:val="bottom"/>
            </w:pPr>
            <w:r>
              <w:rPr>
                <w:rFonts w:ascii="Arial" w:eastAsia="宋体" w:hAnsi="Arial" w:cs="Arial"/>
                <w:b/>
                <w:bCs/>
                <w:color w:val="000000"/>
                <w:sz w:val="18"/>
                <w:szCs w:val="18"/>
              </w:rPr>
              <w:t> </w:t>
            </w:r>
          </w:p>
        </w:tc>
        <w:tc>
          <w:tcPr>
            <w:tcW w:w="0" w:type="auto"/>
            <w:shd w:val="clear" w:color="auto" w:fill="auto"/>
            <w:vAlign w:val="bottom"/>
          </w:tcPr>
          <w:p w14:paraId="22CFB9C0" w14:textId="77777777" w:rsidR="002661BA" w:rsidRDefault="002661BA">
            <w:pPr>
              <w:rPr>
                <w:rFonts w:ascii="宋体"/>
                <w:vanish/>
              </w:rPr>
            </w:pPr>
          </w:p>
        </w:tc>
        <w:tc>
          <w:tcPr>
            <w:tcW w:w="0" w:type="auto"/>
            <w:shd w:val="clear" w:color="auto" w:fill="auto"/>
            <w:vAlign w:val="bottom"/>
          </w:tcPr>
          <w:p w14:paraId="22CFB9C1" w14:textId="77777777" w:rsidR="002661BA" w:rsidRDefault="002661BA">
            <w:pPr>
              <w:rPr>
                <w:rFonts w:ascii="宋体"/>
                <w:vanish/>
              </w:rPr>
            </w:pPr>
          </w:p>
        </w:tc>
        <w:tc>
          <w:tcPr>
            <w:tcW w:w="0" w:type="auto"/>
            <w:shd w:val="clear" w:color="auto" w:fill="auto"/>
            <w:vAlign w:val="bottom"/>
          </w:tcPr>
          <w:p w14:paraId="22CFB9C2" w14:textId="77777777" w:rsidR="002661BA" w:rsidRDefault="002661BA">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9C3" w14:textId="77777777" w:rsidR="002661BA" w:rsidRDefault="00D972BC">
            <w:pPr>
              <w:jc w:val="center"/>
              <w:textAlignment w:val="bottom"/>
            </w:pPr>
            <w:r>
              <w:rPr>
                <w:rFonts w:ascii="Arial" w:eastAsia="宋体" w:hAnsi="Arial" w:cs="Arial"/>
                <w:b/>
                <w:bCs/>
                <w:color w:val="000000"/>
                <w:sz w:val="17"/>
                <w:szCs w:val="17"/>
              </w:rPr>
              <w:t xml:space="preserve">2021 </w:t>
            </w:r>
            <w:r>
              <w:rPr>
                <w:rFonts w:ascii="Arial" w:eastAsia="宋体" w:hAnsi="Arial" w:cs="Arial"/>
                <w:b/>
                <w:bCs/>
                <w:color w:val="000000"/>
                <w:sz w:val="11"/>
                <w:szCs w:val="11"/>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9C4"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9C5" w14:textId="77777777" w:rsidR="002661BA" w:rsidRDefault="00D972BC">
            <w:pPr>
              <w:jc w:val="center"/>
              <w:textAlignment w:val="bottom"/>
            </w:pPr>
            <w:r>
              <w:rPr>
                <w:rFonts w:ascii="Arial" w:eastAsia="宋体" w:hAnsi="Arial" w:cs="Arial"/>
                <w:b/>
                <w:bCs/>
                <w:color w:val="000000"/>
                <w:sz w:val="17"/>
                <w:szCs w:val="17"/>
              </w:rPr>
              <w:t xml:space="preserve">2020 </w:t>
            </w:r>
            <w:r>
              <w:rPr>
                <w:rFonts w:ascii="Arial" w:eastAsia="宋体" w:hAnsi="Arial" w:cs="Arial"/>
                <w:b/>
                <w:bCs/>
                <w:color w:val="000000"/>
                <w:sz w:val="11"/>
                <w:szCs w:val="11"/>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9C6"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9C7"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B9D8" w14:textId="77777777">
        <w:tc>
          <w:tcPr>
            <w:tcW w:w="0" w:type="auto"/>
            <w:gridSpan w:val="3"/>
            <w:shd w:val="clear" w:color="auto" w:fill="DBDBDB"/>
            <w:tcMar>
              <w:top w:w="40" w:type="dxa"/>
              <w:left w:w="20" w:type="dxa"/>
              <w:bottom w:w="40" w:type="dxa"/>
              <w:right w:w="20" w:type="dxa"/>
            </w:tcMar>
            <w:vAlign w:val="bottom"/>
          </w:tcPr>
          <w:p w14:paraId="22CFB9C9" w14:textId="77777777" w:rsidR="002661BA" w:rsidRDefault="00D972BC">
            <w:pPr>
              <w:ind w:hanging="180"/>
              <w:textAlignment w:val="bottom"/>
            </w:pPr>
            <w:r>
              <w:rPr>
                <w:rFonts w:ascii="Arial" w:eastAsia="宋体" w:hAnsi="Arial" w:cs="Arial"/>
                <w:color w:val="000000"/>
                <w:sz w:val="18"/>
                <w:szCs w:val="18"/>
              </w:rPr>
              <w:t xml:space="preserve">eBay Korea net cash provided by (used in) discontinued operating </w:t>
            </w:r>
            <w:r>
              <w:rPr>
                <w:rFonts w:ascii="Arial" w:eastAsia="宋体" w:hAnsi="Arial" w:cs="Arial"/>
                <w:color w:val="000000"/>
                <w:sz w:val="18"/>
                <w:szCs w:val="18"/>
              </w:rPr>
              <w:t>activities</w:t>
            </w:r>
          </w:p>
        </w:tc>
        <w:tc>
          <w:tcPr>
            <w:tcW w:w="0" w:type="auto"/>
            <w:shd w:val="clear" w:color="auto" w:fill="auto"/>
            <w:vAlign w:val="bottom"/>
          </w:tcPr>
          <w:p w14:paraId="22CFB9CA" w14:textId="77777777" w:rsidR="002661BA" w:rsidRDefault="002661BA">
            <w:pPr>
              <w:rPr>
                <w:rFonts w:ascii="宋体"/>
                <w:vanish/>
              </w:rPr>
            </w:pPr>
          </w:p>
        </w:tc>
        <w:tc>
          <w:tcPr>
            <w:tcW w:w="0" w:type="auto"/>
            <w:shd w:val="clear" w:color="auto" w:fill="auto"/>
            <w:vAlign w:val="bottom"/>
          </w:tcPr>
          <w:p w14:paraId="22CFB9CB" w14:textId="77777777" w:rsidR="002661BA" w:rsidRDefault="002661BA">
            <w:pPr>
              <w:rPr>
                <w:rFonts w:ascii="宋体"/>
                <w:vanish/>
              </w:rPr>
            </w:pPr>
          </w:p>
        </w:tc>
        <w:tc>
          <w:tcPr>
            <w:tcW w:w="0" w:type="auto"/>
            <w:shd w:val="clear" w:color="auto" w:fill="auto"/>
            <w:vAlign w:val="bottom"/>
          </w:tcPr>
          <w:p w14:paraId="22CFB9CC" w14:textId="77777777" w:rsidR="002661BA" w:rsidRDefault="002661BA">
            <w:pPr>
              <w:rPr>
                <w:rFonts w:ascii="宋体"/>
                <w:vanish/>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B9C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B9CE" w14:textId="77777777" w:rsidR="002661BA" w:rsidRDefault="00D972BC">
            <w:pPr>
              <w:jc w:val="right"/>
              <w:textAlignment w:val="bottom"/>
            </w:pPr>
            <w:r>
              <w:rPr>
                <w:rFonts w:ascii="Arial" w:eastAsia="宋体" w:hAnsi="Arial" w:cs="Arial"/>
                <w:color w:val="000000"/>
                <w:sz w:val="18"/>
                <w:szCs w:val="18"/>
              </w:rPr>
              <w:t>(25)</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9CF"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9D0"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B9D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B9D2" w14:textId="77777777" w:rsidR="002661BA" w:rsidRDefault="00D972BC">
            <w:pPr>
              <w:jc w:val="right"/>
              <w:textAlignment w:val="bottom"/>
            </w:pPr>
            <w:r>
              <w:rPr>
                <w:rFonts w:ascii="Arial" w:eastAsia="宋体" w:hAnsi="Arial" w:cs="Arial"/>
                <w:color w:val="000000"/>
                <w:sz w:val="18"/>
                <w:szCs w:val="18"/>
              </w:rPr>
              <w:t>142 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9D3"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9D4"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B9D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B9D6" w14:textId="77777777" w:rsidR="002661BA" w:rsidRDefault="00D972BC">
            <w:pPr>
              <w:jc w:val="right"/>
              <w:textAlignment w:val="bottom"/>
            </w:pPr>
            <w:r>
              <w:rPr>
                <w:rFonts w:ascii="Arial" w:eastAsia="宋体" w:hAnsi="Arial" w:cs="Arial"/>
                <w:color w:val="000000"/>
                <w:sz w:val="18"/>
                <w:szCs w:val="18"/>
              </w:rPr>
              <w:t>167 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9D7" w14:textId="77777777" w:rsidR="002661BA" w:rsidRDefault="002661BA">
            <w:pPr>
              <w:jc w:val="right"/>
              <w:rPr>
                <w:rFonts w:ascii="宋体"/>
              </w:rPr>
            </w:pPr>
          </w:p>
        </w:tc>
      </w:tr>
      <w:tr w:rsidR="002661BA" w14:paraId="22CFB9E5" w14:textId="77777777">
        <w:tc>
          <w:tcPr>
            <w:tcW w:w="0" w:type="auto"/>
            <w:gridSpan w:val="3"/>
            <w:shd w:val="clear" w:color="auto" w:fill="FFFFFF"/>
            <w:tcMar>
              <w:top w:w="40" w:type="dxa"/>
              <w:left w:w="20" w:type="dxa"/>
              <w:bottom w:w="40" w:type="dxa"/>
              <w:right w:w="20" w:type="dxa"/>
            </w:tcMar>
            <w:vAlign w:val="bottom"/>
          </w:tcPr>
          <w:p w14:paraId="22CFB9D9" w14:textId="77777777" w:rsidR="002661BA" w:rsidRDefault="00D972BC">
            <w:pPr>
              <w:ind w:hanging="180"/>
              <w:textAlignment w:val="bottom"/>
            </w:pPr>
            <w:r>
              <w:rPr>
                <w:rFonts w:ascii="Arial" w:eastAsia="宋体" w:hAnsi="Arial" w:cs="Arial"/>
                <w:color w:val="000000"/>
                <w:sz w:val="18"/>
                <w:szCs w:val="18"/>
              </w:rPr>
              <w:t xml:space="preserve">Classifieds net cash provided by (used in) discontinued operating activities </w:t>
            </w:r>
          </w:p>
        </w:tc>
        <w:tc>
          <w:tcPr>
            <w:tcW w:w="0" w:type="auto"/>
            <w:shd w:val="clear" w:color="auto" w:fill="auto"/>
            <w:vAlign w:val="bottom"/>
          </w:tcPr>
          <w:p w14:paraId="22CFB9DA" w14:textId="77777777" w:rsidR="002661BA" w:rsidRDefault="002661BA">
            <w:pPr>
              <w:rPr>
                <w:rFonts w:ascii="宋体"/>
                <w:vanish/>
              </w:rPr>
            </w:pPr>
          </w:p>
        </w:tc>
        <w:tc>
          <w:tcPr>
            <w:tcW w:w="0" w:type="auto"/>
            <w:shd w:val="clear" w:color="auto" w:fill="auto"/>
            <w:vAlign w:val="bottom"/>
          </w:tcPr>
          <w:p w14:paraId="22CFB9DB" w14:textId="77777777" w:rsidR="002661BA" w:rsidRDefault="002661BA">
            <w:pPr>
              <w:rPr>
                <w:rFonts w:ascii="宋体"/>
                <w:vanish/>
              </w:rPr>
            </w:pPr>
          </w:p>
        </w:tc>
        <w:tc>
          <w:tcPr>
            <w:tcW w:w="0" w:type="auto"/>
            <w:shd w:val="clear" w:color="auto" w:fill="auto"/>
            <w:vAlign w:val="bottom"/>
          </w:tcPr>
          <w:p w14:paraId="22CFB9DC" w14:textId="77777777" w:rsidR="002661BA" w:rsidRDefault="002661BA">
            <w:pPr>
              <w:rPr>
                <w:rFonts w:ascii="宋体"/>
                <w:vanish/>
              </w:rPr>
            </w:pPr>
          </w:p>
        </w:tc>
        <w:tc>
          <w:tcPr>
            <w:tcW w:w="0" w:type="auto"/>
            <w:gridSpan w:val="2"/>
            <w:shd w:val="clear" w:color="auto" w:fill="FFFFFF"/>
            <w:tcMar>
              <w:top w:w="40" w:type="dxa"/>
              <w:left w:w="20" w:type="dxa"/>
              <w:bottom w:w="40" w:type="dxa"/>
              <w:right w:w="0" w:type="dxa"/>
            </w:tcMar>
            <w:vAlign w:val="bottom"/>
          </w:tcPr>
          <w:p w14:paraId="22CFB9DD" w14:textId="77777777" w:rsidR="002661BA" w:rsidRDefault="00D972BC">
            <w:pPr>
              <w:jc w:val="right"/>
              <w:textAlignment w:val="bottom"/>
            </w:pPr>
            <w:r>
              <w:rPr>
                <w:rFonts w:ascii="Arial" w:eastAsia="宋体" w:hAnsi="Arial" w:cs="Arial"/>
                <w:color w:val="000000"/>
                <w:sz w:val="18"/>
                <w:szCs w:val="18"/>
              </w:rPr>
              <w:t>(411)</w:t>
            </w:r>
          </w:p>
        </w:tc>
        <w:tc>
          <w:tcPr>
            <w:tcW w:w="0" w:type="auto"/>
            <w:shd w:val="clear" w:color="auto" w:fill="FFFFFF"/>
            <w:tcMar>
              <w:top w:w="40" w:type="dxa"/>
              <w:left w:w="0" w:type="dxa"/>
              <w:bottom w:w="40" w:type="dxa"/>
              <w:right w:w="20" w:type="dxa"/>
            </w:tcMar>
            <w:vAlign w:val="bottom"/>
          </w:tcPr>
          <w:p w14:paraId="22CFB9D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9DF"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9E0" w14:textId="77777777" w:rsidR="002661BA" w:rsidRDefault="00D972BC">
            <w:pPr>
              <w:jc w:val="right"/>
              <w:textAlignment w:val="bottom"/>
            </w:pPr>
            <w:r>
              <w:rPr>
                <w:rFonts w:ascii="Arial" w:eastAsia="宋体" w:hAnsi="Arial" w:cs="Arial"/>
                <w:color w:val="000000"/>
                <w:sz w:val="18"/>
                <w:szCs w:val="18"/>
              </w:rPr>
              <w:t>328 </w:t>
            </w:r>
          </w:p>
        </w:tc>
        <w:tc>
          <w:tcPr>
            <w:tcW w:w="0" w:type="auto"/>
            <w:shd w:val="clear" w:color="auto" w:fill="FFFFFF"/>
            <w:tcMar>
              <w:top w:w="40" w:type="dxa"/>
              <w:left w:w="0" w:type="dxa"/>
              <w:bottom w:w="40" w:type="dxa"/>
              <w:right w:w="20" w:type="dxa"/>
            </w:tcMar>
            <w:vAlign w:val="bottom"/>
          </w:tcPr>
          <w:p w14:paraId="22CFB9E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9E2"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9E3" w14:textId="77777777" w:rsidR="002661BA" w:rsidRDefault="00D972BC">
            <w:pPr>
              <w:jc w:val="right"/>
              <w:textAlignment w:val="bottom"/>
            </w:pPr>
            <w:r>
              <w:rPr>
                <w:rFonts w:ascii="Arial" w:eastAsia="宋体" w:hAnsi="Arial" w:cs="Arial"/>
                <w:color w:val="000000"/>
                <w:sz w:val="18"/>
                <w:szCs w:val="18"/>
              </w:rPr>
              <w:t>378 </w:t>
            </w:r>
          </w:p>
        </w:tc>
        <w:tc>
          <w:tcPr>
            <w:tcW w:w="0" w:type="auto"/>
            <w:shd w:val="clear" w:color="auto" w:fill="FFFFFF"/>
            <w:tcMar>
              <w:top w:w="40" w:type="dxa"/>
              <w:left w:w="0" w:type="dxa"/>
              <w:bottom w:w="40" w:type="dxa"/>
              <w:right w:w="20" w:type="dxa"/>
            </w:tcMar>
            <w:vAlign w:val="bottom"/>
          </w:tcPr>
          <w:p w14:paraId="22CFB9E4" w14:textId="77777777" w:rsidR="002661BA" w:rsidRDefault="002661BA">
            <w:pPr>
              <w:jc w:val="right"/>
              <w:rPr>
                <w:rFonts w:ascii="宋体"/>
              </w:rPr>
            </w:pPr>
          </w:p>
        </w:tc>
      </w:tr>
      <w:tr w:rsidR="002661BA" w14:paraId="22CFB9F2" w14:textId="77777777">
        <w:tc>
          <w:tcPr>
            <w:tcW w:w="0" w:type="auto"/>
            <w:gridSpan w:val="3"/>
            <w:shd w:val="clear" w:color="auto" w:fill="DBDBDB"/>
            <w:tcMar>
              <w:top w:w="40" w:type="dxa"/>
              <w:left w:w="20" w:type="dxa"/>
              <w:bottom w:w="40" w:type="dxa"/>
              <w:right w:w="20" w:type="dxa"/>
            </w:tcMar>
            <w:vAlign w:val="bottom"/>
          </w:tcPr>
          <w:p w14:paraId="22CFB9E6" w14:textId="77777777" w:rsidR="002661BA" w:rsidRDefault="00D972BC">
            <w:pPr>
              <w:textAlignment w:val="bottom"/>
            </w:pPr>
            <w:r>
              <w:rPr>
                <w:rFonts w:ascii="Arial" w:eastAsia="宋体" w:hAnsi="Arial" w:cs="Arial"/>
                <w:color w:val="000000"/>
                <w:sz w:val="18"/>
                <w:szCs w:val="18"/>
              </w:rPr>
              <w:t>StubHub net cash provided by (used in) discontinued operating activities</w:t>
            </w:r>
          </w:p>
        </w:tc>
        <w:tc>
          <w:tcPr>
            <w:tcW w:w="0" w:type="auto"/>
            <w:shd w:val="clear" w:color="auto" w:fill="auto"/>
            <w:vAlign w:val="bottom"/>
          </w:tcPr>
          <w:p w14:paraId="22CFB9E7" w14:textId="77777777" w:rsidR="002661BA" w:rsidRDefault="002661BA">
            <w:pPr>
              <w:rPr>
                <w:rFonts w:ascii="宋体"/>
                <w:vanish/>
              </w:rPr>
            </w:pPr>
          </w:p>
        </w:tc>
        <w:tc>
          <w:tcPr>
            <w:tcW w:w="0" w:type="auto"/>
            <w:shd w:val="clear" w:color="auto" w:fill="auto"/>
            <w:vAlign w:val="bottom"/>
          </w:tcPr>
          <w:p w14:paraId="22CFB9E8" w14:textId="77777777" w:rsidR="002661BA" w:rsidRDefault="002661BA">
            <w:pPr>
              <w:rPr>
                <w:rFonts w:ascii="宋体"/>
                <w:vanish/>
              </w:rPr>
            </w:pPr>
          </w:p>
        </w:tc>
        <w:tc>
          <w:tcPr>
            <w:tcW w:w="0" w:type="auto"/>
            <w:shd w:val="clear" w:color="auto" w:fill="auto"/>
            <w:vAlign w:val="bottom"/>
          </w:tcPr>
          <w:p w14:paraId="22CFB9E9" w14:textId="77777777" w:rsidR="002661BA" w:rsidRDefault="002661BA">
            <w:pPr>
              <w:rPr>
                <w:rFonts w:ascii="宋体"/>
                <w:vanish/>
              </w:rPr>
            </w:pPr>
          </w:p>
        </w:tc>
        <w:tc>
          <w:tcPr>
            <w:tcW w:w="0" w:type="auto"/>
            <w:gridSpan w:val="2"/>
            <w:shd w:val="clear" w:color="auto" w:fill="DBDBDB"/>
            <w:tcMar>
              <w:top w:w="40" w:type="dxa"/>
              <w:left w:w="20" w:type="dxa"/>
              <w:bottom w:w="40" w:type="dxa"/>
              <w:right w:w="0" w:type="dxa"/>
            </w:tcMar>
            <w:vAlign w:val="bottom"/>
          </w:tcPr>
          <w:p w14:paraId="22CFB9EA"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B9EB"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9EC"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9ED" w14:textId="77777777" w:rsidR="002661BA" w:rsidRDefault="00D972BC">
            <w:pPr>
              <w:jc w:val="right"/>
              <w:textAlignment w:val="bottom"/>
            </w:pPr>
            <w:r>
              <w:rPr>
                <w:rFonts w:ascii="Arial" w:eastAsia="宋体" w:hAnsi="Arial" w:cs="Arial"/>
                <w:color w:val="000000"/>
                <w:sz w:val="18"/>
                <w:szCs w:val="18"/>
              </w:rPr>
              <w:t>(1,055)</w:t>
            </w:r>
          </w:p>
        </w:tc>
        <w:tc>
          <w:tcPr>
            <w:tcW w:w="0" w:type="auto"/>
            <w:shd w:val="clear" w:color="auto" w:fill="DBDBDB"/>
            <w:tcMar>
              <w:top w:w="40" w:type="dxa"/>
              <w:left w:w="0" w:type="dxa"/>
              <w:bottom w:w="40" w:type="dxa"/>
              <w:right w:w="20" w:type="dxa"/>
            </w:tcMar>
            <w:vAlign w:val="bottom"/>
          </w:tcPr>
          <w:p w14:paraId="22CFB9EE"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9EF"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9F0" w14:textId="77777777" w:rsidR="002661BA" w:rsidRDefault="00D972BC">
            <w:pPr>
              <w:jc w:val="right"/>
              <w:textAlignment w:val="bottom"/>
            </w:pPr>
            <w:r>
              <w:rPr>
                <w:rFonts w:ascii="Arial" w:eastAsia="宋体" w:hAnsi="Arial" w:cs="Arial"/>
                <w:color w:val="000000"/>
                <w:sz w:val="18"/>
                <w:szCs w:val="18"/>
              </w:rPr>
              <w:t>153 </w:t>
            </w:r>
          </w:p>
        </w:tc>
        <w:tc>
          <w:tcPr>
            <w:tcW w:w="0" w:type="auto"/>
            <w:shd w:val="clear" w:color="auto" w:fill="DBDBDB"/>
            <w:tcMar>
              <w:top w:w="40" w:type="dxa"/>
              <w:left w:w="0" w:type="dxa"/>
              <w:bottom w:w="40" w:type="dxa"/>
              <w:right w:w="20" w:type="dxa"/>
            </w:tcMar>
            <w:vAlign w:val="bottom"/>
          </w:tcPr>
          <w:p w14:paraId="22CFB9F1" w14:textId="77777777" w:rsidR="002661BA" w:rsidRDefault="002661BA">
            <w:pPr>
              <w:jc w:val="right"/>
              <w:rPr>
                <w:rFonts w:ascii="宋体"/>
              </w:rPr>
            </w:pPr>
          </w:p>
        </w:tc>
      </w:tr>
      <w:tr w:rsidR="002661BA" w14:paraId="22CFBA02" w14:textId="77777777">
        <w:tc>
          <w:tcPr>
            <w:tcW w:w="0" w:type="auto"/>
            <w:gridSpan w:val="3"/>
            <w:shd w:val="clear" w:color="auto" w:fill="FFFFFF"/>
            <w:tcMar>
              <w:top w:w="40" w:type="dxa"/>
              <w:left w:w="260" w:type="dxa"/>
              <w:bottom w:w="40" w:type="dxa"/>
              <w:right w:w="20" w:type="dxa"/>
            </w:tcMar>
            <w:vAlign w:val="bottom"/>
          </w:tcPr>
          <w:p w14:paraId="22CFB9F3" w14:textId="77777777" w:rsidR="002661BA" w:rsidRDefault="00D972BC">
            <w:pPr>
              <w:textAlignment w:val="bottom"/>
            </w:pPr>
            <w:r>
              <w:rPr>
                <w:rFonts w:ascii="Arial" w:eastAsia="宋体" w:hAnsi="Arial" w:cs="Arial"/>
                <w:color w:val="000000"/>
                <w:sz w:val="18"/>
                <w:szCs w:val="18"/>
              </w:rPr>
              <w:t>Net cash provided by (used in) discontinued operating activities</w:t>
            </w:r>
          </w:p>
        </w:tc>
        <w:tc>
          <w:tcPr>
            <w:tcW w:w="0" w:type="auto"/>
            <w:shd w:val="clear" w:color="auto" w:fill="auto"/>
            <w:vAlign w:val="bottom"/>
          </w:tcPr>
          <w:p w14:paraId="22CFB9F4" w14:textId="77777777" w:rsidR="002661BA" w:rsidRDefault="002661BA">
            <w:pPr>
              <w:rPr>
                <w:rFonts w:ascii="宋体"/>
                <w:vanish/>
              </w:rPr>
            </w:pPr>
          </w:p>
        </w:tc>
        <w:tc>
          <w:tcPr>
            <w:tcW w:w="0" w:type="auto"/>
            <w:shd w:val="clear" w:color="auto" w:fill="auto"/>
            <w:vAlign w:val="bottom"/>
          </w:tcPr>
          <w:p w14:paraId="22CFB9F5" w14:textId="77777777" w:rsidR="002661BA" w:rsidRDefault="002661BA">
            <w:pPr>
              <w:rPr>
                <w:rFonts w:ascii="宋体"/>
                <w:vanish/>
              </w:rPr>
            </w:pPr>
          </w:p>
        </w:tc>
        <w:tc>
          <w:tcPr>
            <w:tcW w:w="0" w:type="auto"/>
            <w:shd w:val="clear" w:color="auto" w:fill="auto"/>
            <w:vAlign w:val="bottom"/>
          </w:tcPr>
          <w:p w14:paraId="22CFB9F6" w14:textId="77777777" w:rsidR="002661BA" w:rsidRDefault="002661BA">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B9F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9F8" w14:textId="77777777" w:rsidR="002661BA" w:rsidRDefault="00D972BC">
            <w:pPr>
              <w:jc w:val="right"/>
              <w:textAlignment w:val="bottom"/>
            </w:pPr>
            <w:r>
              <w:rPr>
                <w:rFonts w:ascii="Arial" w:eastAsia="宋体" w:hAnsi="Arial" w:cs="Arial"/>
                <w:color w:val="000000"/>
                <w:sz w:val="18"/>
                <w:szCs w:val="18"/>
              </w:rPr>
              <w:t>(436)</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9F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9FA"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B9FB"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9FC" w14:textId="77777777" w:rsidR="002661BA" w:rsidRDefault="00D972BC">
            <w:pPr>
              <w:jc w:val="right"/>
              <w:textAlignment w:val="bottom"/>
            </w:pPr>
            <w:r>
              <w:rPr>
                <w:rFonts w:ascii="Arial" w:eastAsia="宋体" w:hAnsi="Arial" w:cs="Arial"/>
                <w:color w:val="000000"/>
                <w:sz w:val="18"/>
                <w:szCs w:val="18"/>
              </w:rPr>
              <w:t>(585)</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9F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9FE"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B9F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BA00" w14:textId="77777777" w:rsidR="002661BA" w:rsidRDefault="00D972BC">
            <w:pPr>
              <w:jc w:val="right"/>
              <w:textAlignment w:val="bottom"/>
            </w:pPr>
            <w:r>
              <w:rPr>
                <w:rFonts w:ascii="Arial" w:eastAsia="宋体" w:hAnsi="Arial" w:cs="Arial"/>
                <w:color w:val="000000"/>
                <w:sz w:val="18"/>
                <w:szCs w:val="18"/>
              </w:rPr>
              <w:t>698 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A01" w14:textId="77777777" w:rsidR="002661BA" w:rsidRDefault="002661BA">
            <w:pPr>
              <w:jc w:val="right"/>
              <w:rPr>
                <w:rFonts w:ascii="宋体"/>
              </w:rPr>
            </w:pPr>
          </w:p>
        </w:tc>
      </w:tr>
      <w:tr w:rsidR="002661BA" w14:paraId="22CFBA0C" w14:textId="77777777">
        <w:trPr>
          <w:trHeight w:val="180"/>
        </w:trPr>
        <w:tc>
          <w:tcPr>
            <w:tcW w:w="0" w:type="auto"/>
            <w:gridSpan w:val="3"/>
            <w:shd w:val="clear" w:color="auto" w:fill="DBDBDB"/>
            <w:tcMar>
              <w:top w:w="0" w:type="dxa"/>
              <w:left w:w="20" w:type="dxa"/>
              <w:bottom w:w="0" w:type="dxa"/>
              <w:right w:w="20" w:type="dxa"/>
            </w:tcMar>
            <w:vAlign w:val="bottom"/>
          </w:tcPr>
          <w:p w14:paraId="22CFBA03" w14:textId="77777777" w:rsidR="002661BA" w:rsidRDefault="002661BA">
            <w:pPr>
              <w:rPr>
                <w:rFonts w:ascii="宋体"/>
              </w:rPr>
            </w:pPr>
          </w:p>
        </w:tc>
        <w:tc>
          <w:tcPr>
            <w:tcW w:w="0" w:type="auto"/>
            <w:shd w:val="clear" w:color="auto" w:fill="auto"/>
            <w:vAlign w:val="bottom"/>
          </w:tcPr>
          <w:p w14:paraId="22CFBA04" w14:textId="77777777" w:rsidR="002661BA" w:rsidRDefault="002661BA">
            <w:pPr>
              <w:rPr>
                <w:rFonts w:ascii="宋体"/>
                <w:vanish/>
              </w:rPr>
            </w:pPr>
          </w:p>
        </w:tc>
        <w:tc>
          <w:tcPr>
            <w:tcW w:w="0" w:type="auto"/>
            <w:shd w:val="clear" w:color="auto" w:fill="auto"/>
            <w:vAlign w:val="bottom"/>
          </w:tcPr>
          <w:p w14:paraId="22CFBA05" w14:textId="77777777" w:rsidR="002661BA" w:rsidRDefault="002661BA">
            <w:pPr>
              <w:rPr>
                <w:rFonts w:ascii="宋体"/>
                <w:vanish/>
              </w:rPr>
            </w:pPr>
          </w:p>
        </w:tc>
        <w:tc>
          <w:tcPr>
            <w:tcW w:w="0" w:type="auto"/>
            <w:shd w:val="clear" w:color="auto" w:fill="auto"/>
            <w:vAlign w:val="bottom"/>
          </w:tcPr>
          <w:p w14:paraId="22CFBA06" w14:textId="77777777" w:rsidR="002661BA" w:rsidRDefault="002661BA">
            <w:pPr>
              <w:rPr>
                <w:rFonts w:ascii="宋体"/>
                <w:vanish/>
              </w:rPr>
            </w:pPr>
          </w:p>
        </w:tc>
        <w:tc>
          <w:tcPr>
            <w:tcW w:w="0" w:type="auto"/>
            <w:gridSpan w:val="3"/>
            <w:tcBorders>
              <w:top w:val="double" w:sz="6" w:space="0" w:color="000000"/>
            </w:tcBorders>
            <w:shd w:val="clear" w:color="auto" w:fill="DBDBDB"/>
            <w:tcMar>
              <w:top w:w="0" w:type="dxa"/>
              <w:left w:w="20" w:type="dxa"/>
              <w:bottom w:w="0" w:type="dxa"/>
              <w:right w:w="20" w:type="dxa"/>
            </w:tcMar>
            <w:vAlign w:val="bottom"/>
          </w:tcPr>
          <w:p w14:paraId="22CFBA07"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BA08" w14:textId="77777777" w:rsidR="002661BA" w:rsidRDefault="002661BA">
            <w:pPr>
              <w:rPr>
                <w:rFonts w:ascii="宋体"/>
              </w:rPr>
            </w:pPr>
          </w:p>
        </w:tc>
        <w:tc>
          <w:tcPr>
            <w:tcW w:w="0" w:type="auto"/>
            <w:gridSpan w:val="3"/>
            <w:tcBorders>
              <w:top w:val="double" w:sz="6" w:space="0" w:color="000000"/>
            </w:tcBorders>
            <w:shd w:val="clear" w:color="auto" w:fill="DBDBDB"/>
            <w:tcMar>
              <w:top w:w="0" w:type="dxa"/>
              <w:left w:w="20" w:type="dxa"/>
              <w:bottom w:w="0" w:type="dxa"/>
              <w:right w:w="20" w:type="dxa"/>
            </w:tcMar>
            <w:vAlign w:val="bottom"/>
          </w:tcPr>
          <w:p w14:paraId="22CFBA09"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BA0A" w14:textId="77777777" w:rsidR="002661BA" w:rsidRDefault="002661BA">
            <w:pPr>
              <w:rPr>
                <w:rFonts w:ascii="宋体"/>
              </w:rPr>
            </w:pPr>
          </w:p>
        </w:tc>
        <w:tc>
          <w:tcPr>
            <w:tcW w:w="0" w:type="auto"/>
            <w:gridSpan w:val="3"/>
            <w:tcBorders>
              <w:top w:val="double" w:sz="6" w:space="0" w:color="000000"/>
            </w:tcBorders>
            <w:shd w:val="clear" w:color="auto" w:fill="DBDBDB"/>
            <w:tcMar>
              <w:top w:w="0" w:type="dxa"/>
              <w:left w:w="20" w:type="dxa"/>
              <w:bottom w:w="0" w:type="dxa"/>
              <w:right w:w="20" w:type="dxa"/>
            </w:tcMar>
            <w:vAlign w:val="bottom"/>
          </w:tcPr>
          <w:p w14:paraId="22CFBA0B" w14:textId="77777777" w:rsidR="002661BA" w:rsidRDefault="002661BA">
            <w:pPr>
              <w:rPr>
                <w:rFonts w:ascii="宋体"/>
              </w:rPr>
            </w:pPr>
          </w:p>
        </w:tc>
      </w:tr>
      <w:tr w:rsidR="002661BA" w14:paraId="22CFBA1C" w14:textId="77777777">
        <w:tc>
          <w:tcPr>
            <w:tcW w:w="0" w:type="auto"/>
            <w:gridSpan w:val="3"/>
            <w:shd w:val="clear" w:color="auto" w:fill="FFFFFF"/>
            <w:tcMar>
              <w:top w:w="40" w:type="dxa"/>
              <w:left w:w="20" w:type="dxa"/>
              <w:bottom w:w="40" w:type="dxa"/>
              <w:right w:w="20" w:type="dxa"/>
            </w:tcMar>
            <w:vAlign w:val="bottom"/>
          </w:tcPr>
          <w:p w14:paraId="22CFBA0D" w14:textId="77777777" w:rsidR="002661BA" w:rsidRDefault="00D972BC">
            <w:pPr>
              <w:textAlignment w:val="bottom"/>
            </w:pPr>
            <w:r>
              <w:rPr>
                <w:rFonts w:ascii="Arial" w:eastAsia="宋体" w:hAnsi="Arial" w:cs="Arial"/>
                <w:color w:val="000000"/>
                <w:sz w:val="18"/>
                <w:szCs w:val="18"/>
              </w:rPr>
              <w:t xml:space="preserve">eBay Korea net cash provided by (used in) discontinued investing activities </w:t>
            </w:r>
          </w:p>
        </w:tc>
        <w:tc>
          <w:tcPr>
            <w:tcW w:w="0" w:type="auto"/>
            <w:shd w:val="clear" w:color="auto" w:fill="auto"/>
            <w:vAlign w:val="bottom"/>
          </w:tcPr>
          <w:p w14:paraId="22CFBA0E" w14:textId="77777777" w:rsidR="002661BA" w:rsidRDefault="002661BA">
            <w:pPr>
              <w:rPr>
                <w:rFonts w:ascii="宋体"/>
                <w:vanish/>
              </w:rPr>
            </w:pPr>
          </w:p>
        </w:tc>
        <w:tc>
          <w:tcPr>
            <w:tcW w:w="0" w:type="auto"/>
            <w:shd w:val="clear" w:color="auto" w:fill="auto"/>
            <w:vAlign w:val="bottom"/>
          </w:tcPr>
          <w:p w14:paraId="22CFBA0F" w14:textId="77777777" w:rsidR="002661BA" w:rsidRDefault="002661BA">
            <w:pPr>
              <w:rPr>
                <w:rFonts w:ascii="宋体"/>
                <w:vanish/>
              </w:rPr>
            </w:pPr>
          </w:p>
        </w:tc>
        <w:tc>
          <w:tcPr>
            <w:tcW w:w="0" w:type="auto"/>
            <w:shd w:val="clear" w:color="auto" w:fill="auto"/>
            <w:vAlign w:val="bottom"/>
          </w:tcPr>
          <w:p w14:paraId="22CFBA10" w14:textId="77777777" w:rsidR="002661BA" w:rsidRDefault="002661BA">
            <w:pPr>
              <w:rPr>
                <w:rFonts w:ascii="宋体"/>
                <w:vanish/>
              </w:rPr>
            </w:pPr>
          </w:p>
        </w:tc>
        <w:tc>
          <w:tcPr>
            <w:tcW w:w="0" w:type="auto"/>
            <w:shd w:val="clear" w:color="auto" w:fill="FFFFFF"/>
            <w:tcMar>
              <w:top w:w="40" w:type="dxa"/>
              <w:left w:w="20" w:type="dxa"/>
              <w:bottom w:w="40" w:type="dxa"/>
              <w:right w:w="0" w:type="dxa"/>
            </w:tcMar>
            <w:vAlign w:val="bottom"/>
          </w:tcPr>
          <w:p w14:paraId="22CFBA11"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A12" w14:textId="77777777" w:rsidR="002661BA" w:rsidRDefault="00D972BC">
            <w:pPr>
              <w:jc w:val="right"/>
              <w:textAlignment w:val="bottom"/>
            </w:pPr>
            <w:r>
              <w:rPr>
                <w:rFonts w:ascii="Arial" w:eastAsia="宋体" w:hAnsi="Arial" w:cs="Arial"/>
                <w:color w:val="000000"/>
                <w:sz w:val="18"/>
                <w:szCs w:val="18"/>
              </w:rPr>
              <w:t>2,611 </w:t>
            </w:r>
          </w:p>
        </w:tc>
        <w:tc>
          <w:tcPr>
            <w:tcW w:w="0" w:type="auto"/>
            <w:shd w:val="clear" w:color="auto" w:fill="FFFFFF"/>
            <w:tcMar>
              <w:top w:w="40" w:type="dxa"/>
              <w:left w:w="0" w:type="dxa"/>
              <w:bottom w:w="40" w:type="dxa"/>
              <w:right w:w="20" w:type="dxa"/>
            </w:tcMar>
            <w:vAlign w:val="bottom"/>
          </w:tcPr>
          <w:p w14:paraId="22CFBA1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A14"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BA15"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A16" w14:textId="77777777" w:rsidR="002661BA" w:rsidRDefault="00D972BC">
            <w:pPr>
              <w:jc w:val="right"/>
              <w:textAlignment w:val="bottom"/>
            </w:pPr>
            <w:r>
              <w:rPr>
                <w:rFonts w:ascii="Arial" w:eastAsia="宋体" w:hAnsi="Arial" w:cs="Arial"/>
                <w:color w:val="000000"/>
                <w:sz w:val="18"/>
                <w:szCs w:val="18"/>
              </w:rPr>
              <w:t>(40)</w:t>
            </w:r>
          </w:p>
        </w:tc>
        <w:tc>
          <w:tcPr>
            <w:tcW w:w="0" w:type="auto"/>
            <w:shd w:val="clear" w:color="auto" w:fill="FFFFFF"/>
            <w:tcMar>
              <w:top w:w="40" w:type="dxa"/>
              <w:left w:w="0" w:type="dxa"/>
              <w:bottom w:w="40" w:type="dxa"/>
              <w:right w:w="20" w:type="dxa"/>
            </w:tcMar>
            <w:vAlign w:val="bottom"/>
          </w:tcPr>
          <w:p w14:paraId="22CFBA1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A18"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BA1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A1A" w14:textId="77777777" w:rsidR="002661BA" w:rsidRDefault="00D972BC">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22CFBA1B" w14:textId="77777777" w:rsidR="002661BA" w:rsidRDefault="002661BA">
            <w:pPr>
              <w:jc w:val="right"/>
              <w:rPr>
                <w:rFonts w:ascii="宋体"/>
              </w:rPr>
            </w:pPr>
          </w:p>
        </w:tc>
      </w:tr>
      <w:tr w:rsidR="002661BA" w14:paraId="22CFBA29" w14:textId="77777777">
        <w:tc>
          <w:tcPr>
            <w:tcW w:w="0" w:type="auto"/>
            <w:gridSpan w:val="3"/>
            <w:shd w:val="clear" w:color="auto" w:fill="DBDBDB"/>
            <w:tcMar>
              <w:top w:w="40" w:type="dxa"/>
              <w:left w:w="20" w:type="dxa"/>
              <w:bottom w:w="40" w:type="dxa"/>
              <w:right w:w="20" w:type="dxa"/>
            </w:tcMar>
            <w:vAlign w:val="bottom"/>
          </w:tcPr>
          <w:p w14:paraId="22CFBA1D" w14:textId="77777777" w:rsidR="002661BA" w:rsidRDefault="00D972BC">
            <w:pPr>
              <w:textAlignment w:val="bottom"/>
            </w:pPr>
            <w:r>
              <w:rPr>
                <w:rFonts w:ascii="Arial" w:eastAsia="宋体" w:hAnsi="Arial" w:cs="Arial"/>
                <w:color w:val="000000"/>
                <w:sz w:val="18"/>
                <w:szCs w:val="18"/>
              </w:rPr>
              <w:t xml:space="preserve">Classifieds net cash provided by (used in) discontinued investing activities </w:t>
            </w:r>
          </w:p>
        </w:tc>
        <w:tc>
          <w:tcPr>
            <w:tcW w:w="0" w:type="auto"/>
            <w:shd w:val="clear" w:color="auto" w:fill="auto"/>
            <w:vAlign w:val="bottom"/>
          </w:tcPr>
          <w:p w14:paraId="22CFBA1E" w14:textId="77777777" w:rsidR="002661BA" w:rsidRDefault="002661BA">
            <w:pPr>
              <w:rPr>
                <w:rFonts w:ascii="宋体"/>
                <w:vanish/>
              </w:rPr>
            </w:pPr>
          </w:p>
        </w:tc>
        <w:tc>
          <w:tcPr>
            <w:tcW w:w="0" w:type="auto"/>
            <w:shd w:val="clear" w:color="auto" w:fill="auto"/>
            <w:vAlign w:val="bottom"/>
          </w:tcPr>
          <w:p w14:paraId="22CFBA1F" w14:textId="77777777" w:rsidR="002661BA" w:rsidRDefault="002661BA">
            <w:pPr>
              <w:rPr>
                <w:rFonts w:ascii="宋体"/>
                <w:vanish/>
              </w:rPr>
            </w:pPr>
          </w:p>
        </w:tc>
        <w:tc>
          <w:tcPr>
            <w:tcW w:w="0" w:type="auto"/>
            <w:shd w:val="clear" w:color="auto" w:fill="auto"/>
            <w:vAlign w:val="bottom"/>
          </w:tcPr>
          <w:p w14:paraId="22CFBA20" w14:textId="77777777" w:rsidR="002661BA" w:rsidRDefault="002661BA">
            <w:pPr>
              <w:rPr>
                <w:rFonts w:ascii="宋体"/>
                <w:vanish/>
              </w:rPr>
            </w:pPr>
          </w:p>
        </w:tc>
        <w:tc>
          <w:tcPr>
            <w:tcW w:w="0" w:type="auto"/>
            <w:gridSpan w:val="2"/>
            <w:shd w:val="clear" w:color="auto" w:fill="DBDBDB"/>
            <w:tcMar>
              <w:top w:w="40" w:type="dxa"/>
              <w:left w:w="20" w:type="dxa"/>
              <w:bottom w:w="40" w:type="dxa"/>
              <w:right w:w="0" w:type="dxa"/>
            </w:tcMar>
            <w:vAlign w:val="bottom"/>
          </w:tcPr>
          <w:p w14:paraId="22CFBA21" w14:textId="77777777" w:rsidR="002661BA" w:rsidRDefault="00D972BC">
            <w:pPr>
              <w:jc w:val="right"/>
              <w:textAlignment w:val="bottom"/>
            </w:pPr>
            <w:r>
              <w:rPr>
                <w:rFonts w:ascii="Arial" w:eastAsia="宋体" w:hAnsi="Arial" w:cs="Arial"/>
                <w:color w:val="000000"/>
                <w:sz w:val="18"/>
                <w:szCs w:val="18"/>
              </w:rPr>
              <w:t>2,469 </w:t>
            </w:r>
          </w:p>
        </w:tc>
        <w:tc>
          <w:tcPr>
            <w:tcW w:w="0" w:type="auto"/>
            <w:shd w:val="clear" w:color="auto" w:fill="DBDBDB"/>
            <w:tcMar>
              <w:top w:w="40" w:type="dxa"/>
              <w:left w:w="0" w:type="dxa"/>
              <w:bottom w:w="40" w:type="dxa"/>
              <w:right w:w="20" w:type="dxa"/>
            </w:tcMar>
            <w:vAlign w:val="bottom"/>
          </w:tcPr>
          <w:p w14:paraId="22CFBA22"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A23"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A24" w14:textId="77777777" w:rsidR="002661BA" w:rsidRDefault="00D972BC">
            <w:pPr>
              <w:jc w:val="right"/>
              <w:textAlignment w:val="bottom"/>
            </w:pPr>
            <w:r>
              <w:rPr>
                <w:rFonts w:ascii="Arial" w:eastAsia="宋体" w:hAnsi="Arial" w:cs="Arial"/>
                <w:color w:val="000000"/>
                <w:sz w:val="18"/>
                <w:szCs w:val="18"/>
              </w:rPr>
              <w:t>(54)</w:t>
            </w:r>
          </w:p>
        </w:tc>
        <w:tc>
          <w:tcPr>
            <w:tcW w:w="0" w:type="auto"/>
            <w:shd w:val="clear" w:color="auto" w:fill="DBDBDB"/>
            <w:tcMar>
              <w:top w:w="40" w:type="dxa"/>
              <w:left w:w="0" w:type="dxa"/>
              <w:bottom w:w="40" w:type="dxa"/>
              <w:right w:w="20" w:type="dxa"/>
            </w:tcMar>
            <w:vAlign w:val="bottom"/>
          </w:tcPr>
          <w:p w14:paraId="22CFBA25"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A26"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A27" w14:textId="77777777" w:rsidR="002661BA" w:rsidRDefault="00D972BC">
            <w:pPr>
              <w:jc w:val="right"/>
              <w:textAlignment w:val="bottom"/>
            </w:pPr>
            <w:r>
              <w:rPr>
                <w:rFonts w:ascii="Arial" w:eastAsia="宋体" w:hAnsi="Arial" w:cs="Arial"/>
                <w:color w:val="000000"/>
                <w:sz w:val="18"/>
                <w:szCs w:val="18"/>
              </w:rPr>
              <w:t>(114)</w:t>
            </w:r>
          </w:p>
        </w:tc>
        <w:tc>
          <w:tcPr>
            <w:tcW w:w="0" w:type="auto"/>
            <w:shd w:val="clear" w:color="auto" w:fill="DBDBDB"/>
            <w:tcMar>
              <w:top w:w="40" w:type="dxa"/>
              <w:left w:w="0" w:type="dxa"/>
              <w:bottom w:w="40" w:type="dxa"/>
              <w:right w:w="20" w:type="dxa"/>
            </w:tcMar>
            <w:vAlign w:val="bottom"/>
          </w:tcPr>
          <w:p w14:paraId="22CFBA28" w14:textId="77777777" w:rsidR="002661BA" w:rsidRDefault="002661BA">
            <w:pPr>
              <w:jc w:val="right"/>
              <w:rPr>
                <w:rFonts w:ascii="宋体"/>
              </w:rPr>
            </w:pPr>
          </w:p>
        </w:tc>
      </w:tr>
      <w:tr w:rsidR="002661BA" w14:paraId="22CFBA36" w14:textId="77777777">
        <w:tc>
          <w:tcPr>
            <w:tcW w:w="0" w:type="auto"/>
            <w:gridSpan w:val="3"/>
            <w:shd w:val="clear" w:color="auto" w:fill="FFFFFF"/>
            <w:tcMar>
              <w:top w:w="40" w:type="dxa"/>
              <w:left w:w="20" w:type="dxa"/>
              <w:bottom w:w="40" w:type="dxa"/>
              <w:right w:w="20" w:type="dxa"/>
            </w:tcMar>
            <w:vAlign w:val="bottom"/>
          </w:tcPr>
          <w:p w14:paraId="22CFBA2A" w14:textId="77777777" w:rsidR="002661BA" w:rsidRDefault="00D972BC">
            <w:pPr>
              <w:textAlignment w:val="bottom"/>
            </w:pPr>
            <w:r>
              <w:rPr>
                <w:rFonts w:ascii="Arial" w:eastAsia="宋体" w:hAnsi="Arial" w:cs="Arial"/>
                <w:color w:val="000000"/>
                <w:sz w:val="18"/>
                <w:szCs w:val="18"/>
              </w:rPr>
              <w:t>StubHub net cash provided by (used in) discontinued investing activities</w:t>
            </w:r>
          </w:p>
        </w:tc>
        <w:tc>
          <w:tcPr>
            <w:tcW w:w="0" w:type="auto"/>
            <w:shd w:val="clear" w:color="auto" w:fill="auto"/>
            <w:vAlign w:val="bottom"/>
          </w:tcPr>
          <w:p w14:paraId="22CFBA2B" w14:textId="77777777" w:rsidR="002661BA" w:rsidRDefault="002661BA">
            <w:pPr>
              <w:rPr>
                <w:rFonts w:ascii="宋体"/>
                <w:vanish/>
              </w:rPr>
            </w:pPr>
          </w:p>
        </w:tc>
        <w:tc>
          <w:tcPr>
            <w:tcW w:w="0" w:type="auto"/>
            <w:shd w:val="clear" w:color="auto" w:fill="auto"/>
            <w:vAlign w:val="bottom"/>
          </w:tcPr>
          <w:p w14:paraId="22CFBA2C" w14:textId="77777777" w:rsidR="002661BA" w:rsidRDefault="002661BA">
            <w:pPr>
              <w:rPr>
                <w:rFonts w:ascii="宋体"/>
                <w:vanish/>
              </w:rPr>
            </w:pPr>
          </w:p>
        </w:tc>
        <w:tc>
          <w:tcPr>
            <w:tcW w:w="0" w:type="auto"/>
            <w:shd w:val="clear" w:color="auto" w:fill="auto"/>
            <w:vAlign w:val="bottom"/>
          </w:tcPr>
          <w:p w14:paraId="22CFBA2D" w14:textId="77777777" w:rsidR="002661BA" w:rsidRDefault="002661BA">
            <w:pPr>
              <w:rPr>
                <w:rFonts w:ascii="宋体"/>
                <w:vanish/>
              </w:rPr>
            </w:pPr>
          </w:p>
        </w:tc>
        <w:tc>
          <w:tcPr>
            <w:tcW w:w="0" w:type="auto"/>
            <w:gridSpan w:val="2"/>
            <w:shd w:val="clear" w:color="auto" w:fill="FFFFFF"/>
            <w:tcMar>
              <w:top w:w="40" w:type="dxa"/>
              <w:left w:w="20" w:type="dxa"/>
              <w:bottom w:w="40" w:type="dxa"/>
              <w:right w:w="0" w:type="dxa"/>
            </w:tcMar>
            <w:vAlign w:val="bottom"/>
          </w:tcPr>
          <w:p w14:paraId="22CFBA2E"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A2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A3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A31" w14:textId="77777777" w:rsidR="002661BA" w:rsidRDefault="00D972BC">
            <w:pPr>
              <w:jc w:val="right"/>
              <w:textAlignment w:val="bottom"/>
            </w:pPr>
            <w:r>
              <w:rPr>
                <w:rFonts w:ascii="Arial" w:eastAsia="宋体" w:hAnsi="Arial" w:cs="Arial"/>
                <w:color w:val="000000"/>
                <w:sz w:val="18"/>
                <w:szCs w:val="18"/>
              </w:rPr>
              <w:t>4,067 </w:t>
            </w:r>
          </w:p>
        </w:tc>
        <w:tc>
          <w:tcPr>
            <w:tcW w:w="0" w:type="auto"/>
            <w:shd w:val="clear" w:color="auto" w:fill="FFFFFF"/>
            <w:tcMar>
              <w:top w:w="40" w:type="dxa"/>
              <w:left w:w="0" w:type="dxa"/>
              <w:bottom w:w="40" w:type="dxa"/>
              <w:right w:w="20" w:type="dxa"/>
            </w:tcMar>
            <w:vAlign w:val="bottom"/>
          </w:tcPr>
          <w:p w14:paraId="22CFBA3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A33"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A34" w14:textId="77777777" w:rsidR="002661BA" w:rsidRDefault="00D972BC">
            <w:pPr>
              <w:jc w:val="right"/>
              <w:textAlignment w:val="bottom"/>
            </w:pPr>
            <w:r>
              <w:rPr>
                <w:rFonts w:ascii="Arial" w:eastAsia="宋体" w:hAnsi="Arial" w:cs="Arial"/>
                <w:color w:val="000000"/>
                <w:sz w:val="18"/>
                <w:szCs w:val="18"/>
              </w:rPr>
              <w:t>(21)</w:t>
            </w:r>
          </w:p>
        </w:tc>
        <w:tc>
          <w:tcPr>
            <w:tcW w:w="0" w:type="auto"/>
            <w:shd w:val="clear" w:color="auto" w:fill="FFFFFF"/>
            <w:tcMar>
              <w:top w:w="40" w:type="dxa"/>
              <w:left w:w="0" w:type="dxa"/>
              <w:bottom w:w="40" w:type="dxa"/>
              <w:right w:w="20" w:type="dxa"/>
            </w:tcMar>
            <w:vAlign w:val="bottom"/>
          </w:tcPr>
          <w:p w14:paraId="22CFBA35" w14:textId="77777777" w:rsidR="002661BA" w:rsidRDefault="002661BA">
            <w:pPr>
              <w:jc w:val="right"/>
              <w:rPr>
                <w:rFonts w:ascii="宋体"/>
              </w:rPr>
            </w:pPr>
          </w:p>
        </w:tc>
      </w:tr>
      <w:tr w:rsidR="002661BA" w14:paraId="22CFBA46" w14:textId="77777777">
        <w:tc>
          <w:tcPr>
            <w:tcW w:w="0" w:type="auto"/>
            <w:gridSpan w:val="3"/>
            <w:shd w:val="clear" w:color="auto" w:fill="DBDBDB"/>
            <w:tcMar>
              <w:top w:w="40" w:type="dxa"/>
              <w:left w:w="260" w:type="dxa"/>
              <w:bottom w:w="40" w:type="dxa"/>
              <w:right w:w="20" w:type="dxa"/>
            </w:tcMar>
            <w:vAlign w:val="bottom"/>
          </w:tcPr>
          <w:p w14:paraId="22CFBA37" w14:textId="77777777" w:rsidR="002661BA" w:rsidRDefault="00D972BC">
            <w:pPr>
              <w:textAlignment w:val="bottom"/>
            </w:pPr>
            <w:r>
              <w:rPr>
                <w:rFonts w:ascii="Arial" w:eastAsia="宋体" w:hAnsi="Arial" w:cs="Arial"/>
                <w:color w:val="000000"/>
                <w:sz w:val="18"/>
                <w:szCs w:val="18"/>
              </w:rPr>
              <w:t xml:space="preserve">Net cash provided by (used in) discontinued investing activities </w:t>
            </w:r>
          </w:p>
        </w:tc>
        <w:tc>
          <w:tcPr>
            <w:tcW w:w="0" w:type="auto"/>
            <w:shd w:val="clear" w:color="auto" w:fill="auto"/>
            <w:vAlign w:val="bottom"/>
          </w:tcPr>
          <w:p w14:paraId="22CFBA38" w14:textId="77777777" w:rsidR="002661BA" w:rsidRDefault="002661BA">
            <w:pPr>
              <w:rPr>
                <w:rFonts w:ascii="宋体"/>
                <w:vanish/>
              </w:rPr>
            </w:pPr>
          </w:p>
        </w:tc>
        <w:tc>
          <w:tcPr>
            <w:tcW w:w="0" w:type="auto"/>
            <w:shd w:val="clear" w:color="auto" w:fill="auto"/>
            <w:vAlign w:val="bottom"/>
          </w:tcPr>
          <w:p w14:paraId="22CFBA39" w14:textId="77777777" w:rsidR="002661BA" w:rsidRDefault="002661BA">
            <w:pPr>
              <w:rPr>
                <w:rFonts w:ascii="宋体"/>
                <w:vanish/>
              </w:rPr>
            </w:pPr>
          </w:p>
        </w:tc>
        <w:tc>
          <w:tcPr>
            <w:tcW w:w="0" w:type="auto"/>
            <w:shd w:val="clear" w:color="auto" w:fill="auto"/>
            <w:vAlign w:val="bottom"/>
          </w:tcPr>
          <w:p w14:paraId="22CFBA3A" w14:textId="77777777" w:rsidR="002661BA" w:rsidRDefault="002661BA">
            <w:pPr>
              <w:rPr>
                <w:rFonts w:ascii="宋体"/>
                <w:vanish/>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BA3B"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BA3C" w14:textId="77777777" w:rsidR="002661BA" w:rsidRDefault="00D972BC">
            <w:pPr>
              <w:jc w:val="right"/>
              <w:textAlignment w:val="bottom"/>
            </w:pPr>
            <w:r>
              <w:rPr>
                <w:rFonts w:ascii="Arial" w:eastAsia="宋体" w:hAnsi="Arial" w:cs="Arial"/>
                <w:color w:val="000000"/>
                <w:sz w:val="18"/>
                <w:szCs w:val="18"/>
              </w:rPr>
              <w:t>5,080 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A3D"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A3E"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BA3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BA40" w14:textId="77777777" w:rsidR="002661BA" w:rsidRDefault="00D972BC">
            <w:pPr>
              <w:jc w:val="right"/>
              <w:textAlignment w:val="bottom"/>
            </w:pPr>
            <w:r>
              <w:rPr>
                <w:rFonts w:ascii="Arial" w:eastAsia="宋体" w:hAnsi="Arial" w:cs="Arial"/>
                <w:color w:val="000000"/>
                <w:sz w:val="18"/>
                <w:szCs w:val="18"/>
              </w:rPr>
              <w:t>3,973 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A41"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A42"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BA4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BA44" w14:textId="77777777" w:rsidR="002661BA" w:rsidRDefault="00D972BC">
            <w:pPr>
              <w:jc w:val="right"/>
              <w:textAlignment w:val="bottom"/>
            </w:pPr>
            <w:r>
              <w:rPr>
                <w:rFonts w:ascii="Arial" w:eastAsia="宋体" w:hAnsi="Arial" w:cs="Arial"/>
                <w:color w:val="000000"/>
                <w:sz w:val="18"/>
                <w:szCs w:val="18"/>
              </w:rPr>
              <w:t>(113)</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A45" w14:textId="77777777" w:rsidR="002661BA" w:rsidRDefault="002661BA">
            <w:pPr>
              <w:jc w:val="right"/>
              <w:rPr>
                <w:rFonts w:ascii="宋体"/>
              </w:rPr>
            </w:pPr>
          </w:p>
        </w:tc>
      </w:tr>
      <w:tr w:rsidR="002661BA" w14:paraId="22CFBA50" w14:textId="77777777">
        <w:trPr>
          <w:trHeight w:val="180"/>
        </w:trPr>
        <w:tc>
          <w:tcPr>
            <w:tcW w:w="0" w:type="auto"/>
            <w:gridSpan w:val="3"/>
            <w:shd w:val="clear" w:color="auto" w:fill="FFFFFF"/>
            <w:tcMar>
              <w:top w:w="0" w:type="dxa"/>
              <w:left w:w="20" w:type="dxa"/>
              <w:bottom w:w="0" w:type="dxa"/>
              <w:right w:w="20" w:type="dxa"/>
            </w:tcMar>
            <w:vAlign w:val="bottom"/>
          </w:tcPr>
          <w:p w14:paraId="22CFBA47" w14:textId="77777777" w:rsidR="002661BA" w:rsidRDefault="002661BA">
            <w:pPr>
              <w:rPr>
                <w:rFonts w:ascii="宋体"/>
              </w:rPr>
            </w:pPr>
          </w:p>
        </w:tc>
        <w:tc>
          <w:tcPr>
            <w:tcW w:w="0" w:type="auto"/>
            <w:shd w:val="clear" w:color="auto" w:fill="auto"/>
            <w:vAlign w:val="bottom"/>
          </w:tcPr>
          <w:p w14:paraId="22CFBA48" w14:textId="77777777" w:rsidR="002661BA" w:rsidRDefault="002661BA">
            <w:pPr>
              <w:rPr>
                <w:rFonts w:ascii="宋体"/>
                <w:vanish/>
              </w:rPr>
            </w:pPr>
          </w:p>
        </w:tc>
        <w:tc>
          <w:tcPr>
            <w:tcW w:w="0" w:type="auto"/>
            <w:shd w:val="clear" w:color="auto" w:fill="auto"/>
            <w:vAlign w:val="bottom"/>
          </w:tcPr>
          <w:p w14:paraId="22CFBA49" w14:textId="77777777" w:rsidR="002661BA" w:rsidRDefault="002661BA">
            <w:pPr>
              <w:rPr>
                <w:rFonts w:ascii="宋体"/>
                <w:vanish/>
              </w:rPr>
            </w:pPr>
          </w:p>
        </w:tc>
        <w:tc>
          <w:tcPr>
            <w:tcW w:w="0" w:type="auto"/>
            <w:shd w:val="clear" w:color="auto" w:fill="auto"/>
            <w:vAlign w:val="bottom"/>
          </w:tcPr>
          <w:p w14:paraId="22CFBA4A" w14:textId="77777777" w:rsidR="002661BA" w:rsidRDefault="002661BA">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BA4B"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A4C" w14:textId="77777777" w:rsidR="002661BA" w:rsidRDefault="002661B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BA4D"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A4E" w14:textId="77777777" w:rsidR="002661BA" w:rsidRDefault="002661B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BA4F" w14:textId="77777777" w:rsidR="002661BA" w:rsidRDefault="002661BA">
            <w:pPr>
              <w:rPr>
                <w:rFonts w:ascii="宋体"/>
              </w:rPr>
            </w:pPr>
          </w:p>
        </w:tc>
      </w:tr>
      <w:tr w:rsidR="002661BA" w14:paraId="22CFBA60" w14:textId="77777777">
        <w:tc>
          <w:tcPr>
            <w:tcW w:w="0" w:type="auto"/>
            <w:gridSpan w:val="3"/>
            <w:shd w:val="clear" w:color="auto" w:fill="DBDBDB"/>
            <w:tcMar>
              <w:top w:w="40" w:type="dxa"/>
              <w:left w:w="20" w:type="dxa"/>
              <w:bottom w:w="40" w:type="dxa"/>
              <w:right w:w="20" w:type="dxa"/>
            </w:tcMar>
            <w:vAlign w:val="bottom"/>
          </w:tcPr>
          <w:p w14:paraId="22CFBA51" w14:textId="77777777" w:rsidR="002661BA" w:rsidRDefault="00D972BC">
            <w:pPr>
              <w:textAlignment w:val="bottom"/>
            </w:pPr>
            <w:r>
              <w:rPr>
                <w:rFonts w:ascii="Arial" w:eastAsia="宋体" w:hAnsi="Arial" w:cs="Arial"/>
                <w:color w:val="000000"/>
                <w:sz w:val="18"/>
                <w:szCs w:val="18"/>
              </w:rPr>
              <w:t xml:space="preserve">eBay Korea net cash provided by (used in) discontinued financing activities </w:t>
            </w:r>
          </w:p>
        </w:tc>
        <w:tc>
          <w:tcPr>
            <w:tcW w:w="0" w:type="auto"/>
            <w:shd w:val="clear" w:color="auto" w:fill="auto"/>
            <w:vAlign w:val="bottom"/>
          </w:tcPr>
          <w:p w14:paraId="22CFBA52" w14:textId="77777777" w:rsidR="002661BA" w:rsidRDefault="002661BA">
            <w:pPr>
              <w:rPr>
                <w:rFonts w:ascii="宋体"/>
                <w:vanish/>
              </w:rPr>
            </w:pPr>
          </w:p>
        </w:tc>
        <w:tc>
          <w:tcPr>
            <w:tcW w:w="0" w:type="auto"/>
            <w:shd w:val="clear" w:color="auto" w:fill="auto"/>
            <w:vAlign w:val="bottom"/>
          </w:tcPr>
          <w:p w14:paraId="22CFBA53" w14:textId="77777777" w:rsidR="002661BA" w:rsidRDefault="002661BA">
            <w:pPr>
              <w:rPr>
                <w:rFonts w:ascii="宋体"/>
                <w:vanish/>
              </w:rPr>
            </w:pPr>
          </w:p>
        </w:tc>
        <w:tc>
          <w:tcPr>
            <w:tcW w:w="0" w:type="auto"/>
            <w:shd w:val="clear" w:color="auto" w:fill="auto"/>
            <w:vAlign w:val="bottom"/>
          </w:tcPr>
          <w:p w14:paraId="22CFBA54" w14:textId="77777777" w:rsidR="002661BA" w:rsidRDefault="002661BA">
            <w:pPr>
              <w:rPr>
                <w:rFonts w:ascii="宋体"/>
                <w:vanish/>
              </w:rPr>
            </w:pPr>
          </w:p>
        </w:tc>
        <w:tc>
          <w:tcPr>
            <w:tcW w:w="0" w:type="auto"/>
            <w:shd w:val="clear" w:color="auto" w:fill="DBDBDB"/>
            <w:tcMar>
              <w:top w:w="40" w:type="dxa"/>
              <w:left w:w="20" w:type="dxa"/>
              <w:bottom w:w="40" w:type="dxa"/>
              <w:right w:w="0" w:type="dxa"/>
            </w:tcMar>
            <w:vAlign w:val="bottom"/>
          </w:tcPr>
          <w:p w14:paraId="22CFBA55"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BA56" w14:textId="77777777" w:rsidR="002661BA" w:rsidRDefault="00D972BC">
            <w:pPr>
              <w:jc w:val="right"/>
              <w:textAlignment w:val="bottom"/>
            </w:pPr>
            <w:r>
              <w:rPr>
                <w:rFonts w:ascii="Arial" w:eastAsia="宋体" w:hAnsi="Arial" w:cs="Arial"/>
                <w:color w:val="000000"/>
                <w:sz w:val="18"/>
                <w:szCs w:val="18"/>
              </w:rPr>
              <w:t>25 </w:t>
            </w:r>
          </w:p>
        </w:tc>
        <w:tc>
          <w:tcPr>
            <w:tcW w:w="0" w:type="auto"/>
            <w:shd w:val="clear" w:color="auto" w:fill="DBDBDB"/>
            <w:tcMar>
              <w:top w:w="40" w:type="dxa"/>
              <w:left w:w="0" w:type="dxa"/>
              <w:bottom w:w="40" w:type="dxa"/>
              <w:right w:w="20" w:type="dxa"/>
            </w:tcMar>
            <w:vAlign w:val="bottom"/>
          </w:tcPr>
          <w:p w14:paraId="22CFBA57"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A58"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BA5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BA5A" w14:textId="77777777" w:rsidR="002661BA" w:rsidRDefault="00D972BC">
            <w:pPr>
              <w:jc w:val="right"/>
              <w:textAlignment w:val="bottom"/>
            </w:pPr>
            <w:r>
              <w:rPr>
                <w:rFonts w:ascii="Arial" w:eastAsia="宋体" w:hAnsi="Arial" w:cs="Arial"/>
                <w:color w:val="000000"/>
                <w:sz w:val="18"/>
                <w:szCs w:val="18"/>
              </w:rPr>
              <w:t>(10)</w:t>
            </w:r>
          </w:p>
        </w:tc>
        <w:tc>
          <w:tcPr>
            <w:tcW w:w="0" w:type="auto"/>
            <w:shd w:val="clear" w:color="auto" w:fill="DBDBDB"/>
            <w:tcMar>
              <w:top w:w="40" w:type="dxa"/>
              <w:left w:w="0" w:type="dxa"/>
              <w:bottom w:w="40" w:type="dxa"/>
              <w:right w:w="20" w:type="dxa"/>
            </w:tcMar>
            <w:vAlign w:val="bottom"/>
          </w:tcPr>
          <w:p w14:paraId="22CFBA5B"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A5C"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BA5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BA5E" w14:textId="77777777" w:rsidR="002661BA" w:rsidRDefault="00D972BC">
            <w:pPr>
              <w:jc w:val="right"/>
              <w:textAlignment w:val="bottom"/>
            </w:pPr>
            <w:r>
              <w:rPr>
                <w:rFonts w:ascii="Arial" w:eastAsia="宋体" w:hAnsi="Arial" w:cs="Arial"/>
                <w:color w:val="000000"/>
                <w:sz w:val="18"/>
                <w:szCs w:val="18"/>
              </w:rPr>
              <w:t>(6)</w:t>
            </w:r>
          </w:p>
        </w:tc>
        <w:tc>
          <w:tcPr>
            <w:tcW w:w="0" w:type="auto"/>
            <w:shd w:val="clear" w:color="auto" w:fill="DBDBDB"/>
            <w:tcMar>
              <w:top w:w="40" w:type="dxa"/>
              <w:left w:w="0" w:type="dxa"/>
              <w:bottom w:w="40" w:type="dxa"/>
              <w:right w:w="20" w:type="dxa"/>
            </w:tcMar>
            <w:vAlign w:val="bottom"/>
          </w:tcPr>
          <w:p w14:paraId="22CFBA5F" w14:textId="77777777" w:rsidR="002661BA" w:rsidRDefault="002661BA">
            <w:pPr>
              <w:jc w:val="right"/>
              <w:rPr>
                <w:rFonts w:ascii="宋体"/>
              </w:rPr>
            </w:pPr>
          </w:p>
        </w:tc>
      </w:tr>
      <w:tr w:rsidR="002661BA" w14:paraId="22CFBA6D" w14:textId="77777777">
        <w:tc>
          <w:tcPr>
            <w:tcW w:w="0" w:type="auto"/>
            <w:gridSpan w:val="3"/>
            <w:shd w:val="clear" w:color="auto" w:fill="FFFFFF"/>
            <w:tcMar>
              <w:top w:w="40" w:type="dxa"/>
              <w:left w:w="20" w:type="dxa"/>
              <w:bottom w:w="40" w:type="dxa"/>
              <w:right w:w="20" w:type="dxa"/>
            </w:tcMar>
            <w:vAlign w:val="bottom"/>
          </w:tcPr>
          <w:p w14:paraId="22CFBA61" w14:textId="77777777" w:rsidR="002661BA" w:rsidRDefault="00D972BC">
            <w:pPr>
              <w:textAlignment w:val="bottom"/>
            </w:pPr>
            <w:r>
              <w:rPr>
                <w:rFonts w:ascii="Arial" w:eastAsia="宋体" w:hAnsi="Arial" w:cs="Arial"/>
                <w:color w:val="000000"/>
                <w:sz w:val="18"/>
                <w:szCs w:val="18"/>
              </w:rPr>
              <w:t xml:space="preserve">Classifieds net cash provided by (used in) discontinued financing activities </w:t>
            </w:r>
          </w:p>
        </w:tc>
        <w:tc>
          <w:tcPr>
            <w:tcW w:w="0" w:type="auto"/>
            <w:shd w:val="clear" w:color="auto" w:fill="auto"/>
            <w:vAlign w:val="bottom"/>
          </w:tcPr>
          <w:p w14:paraId="22CFBA62" w14:textId="77777777" w:rsidR="002661BA" w:rsidRDefault="002661BA">
            <w:pPr>
              <w:rPr>
                <w:rFonts w:ascii="宋体"/>
                <w:vanish/>
              </w:rPr>
            </w:pPr>
          </w:p>
        </w:tc>
        <w:tc>
          <w:tcPr>
            <w:tcW w:w="0" w:type="auto"/>
            <w:shd w:val="clear" w:color="auto" w:fill="auto"/>
            <w:vAlign w:val="bottom"/>
          </w:tcPr>
          <w:p w14:paraId="22CFBA63" w14:textId="77777777" w:rsidR="002661BA" w:rsidRDefault="002661BA">
            <w:pPr>
              <w:rPr>
                <w:rFonts w:ascii="宋体"/>
                <w:vanish/>
              </w:rPr>
            </w:pPr>
          </w:p>
        </w:tc>
        <w:tc>
          <w:tcPr>
            <w:tcW w:w="0" w:type="auto"/>
            <w:shd w:val="clear" w:color="auto" w:fill="auto"/>
            <w:vAlign w:val="bottom"/>
          </w:tcPr>
          <w:p w14:paraId="22CFBA64" w14:textId="77777777" w:rsidR="002661BA" w:rsidRDefault="002661BA">
            <w:pPr>
              <w:rPr>
                <w:rFonts w:ascii="宋体"/>
                <w:vanish/>
              </w:rPr>
            </w:pPr>
          </w:p>
        </w:tc>
        <w:tc>
          <w:tcPr>
            <w:tcW w:w="0" w:type="auto"/>
            <w:gridSpan w:val="2"/>
            <w:shd w:val="clear" w:color="auto" w:fill="FFFFFF"/>
            <w:tcMar>
              <w:top w:w="40" w:type="dxa"/>
              <w:left w:w="20" w:type="dxa"/>
              <w:bottom w:w="40" w:type="dxa"/>
              <w:right w:w="0" w:type="dxa"/>
            </w:tcMar>
            <w:vAlign w:val="bottom"/>
          </w:tcPr>
          <w:p w14:paraId="22CFBA65"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A6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A67"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A68" w14:textId="77777777" w:rsidR="002661BA" w:rsidRDefault="00D972BC">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22CFBA6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A6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A6B" w14:textId="77777777" w:rsidR="002661BA" w:rsidRDefault="00D972BC">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22CFBA6C" w14:textId="77777777" w:rsidR="002661BA" w:rsidRDefault="002661BA">
            <w:pPr>
              <w:jc w:val="right"/>
              <w:rPr>
                <w:rFonts w:ascii="宋体"/>
              </w:rPr>
            </w:pPr>
          </w:p>
        </w:tc>
      </w:tr>
      <w:tr w:rsidR="002661BA" w14:paraId="22CFBA7B" w14:textId="77777777">
        <w:tc>
          <w:tcPr>
            <w:tcW w:w="0" w:type="auto"/>
            <w:gridSpan w:val="3"/>
            <w:shd w:val="clear" w:color="auto" w:fill="DBDBDB"/>
            <w:tcMar>
              <w:top w:w="40" w:type="dxa"/>
              <w:left w:w="260" w:type="dxa"/>
              <w:bottom w:w="40" w:type="dxa"/>
              <w:right w:w="20" w:type="dxa"/>
            </w:tcMar>
            <w:vAlign w:val="bottom"/>
          </w:tcPr>
          <w:p w14:paraId="22CFBA6E" w14:textId="77777777" w:rsidR="002661BA" w:rsidRDefault="00D972BC">
            <w:pPr>
              <w:textAlignment w:val="bottom"/>
            </w:pPr>
            <w:r>
              <w:rPr>
                <w:rFonts w:ascii="Arial" w:eastAsia="宋体" w:hAnsi="Arial" w:cs="Arial"/>
                <w:color w:val="000000"/>
                <w:sz w:val="18"/>
                <w:szCs w:val="18"/>
              </w:rPr>
              <w:t>Net cash provided by (used in) discontinued financing activities</w:t>
            </w:r>
          </w:p>
        </w:tc>
        <w:tc>
          <w:tcPr>
            <w:tcW w:w="0" w:type="auto"/>
            <w:shd w:val="clear" w:color="auto" w:fill="auto"/>
            <w:vAlign w:val="bottom"/>
          </w:tcPr>
          <w:p w14:paraId="22CFBA6F" w14:textId="77777777" w:rsidR="002661BA" w:rsidRDefault="002661BA">
            <w:pPr>
              <w:rPr>
                <w:rFonts w:ascii="宋体"/>
                <w:vanish/>
              </w:rPr>
            </w:pPr>
          </w:p>
        </w:tc>
        <w:tc>
          <w:tcPr>
            <w:tcW w:w="0" w:type="auto"/>
            <w:shd w:val="clear" w:color="auto" w:fill="auto"/>
            <w:vAlign w:val="bottom"/>
          </w:tcPr>
          <w:p w14:paraId="22CFBA70" w14:textId="77777777" w:rsidR="002661BA" w:rsidRDefault="002661BA">
            <w:pPr>
              <w:rPr>
                <w:rFonts w:ascii="宋体"/>
                <w:vanish/>
              </w:rPr>
            </w:pPr>
          </w:p>
        </w:tc>
        <w:tc>
          <w:tcPr>
            <w:tcW w:w="0" w:type="auto"/>
            <w:shd w:val="clear" w:color="auto" w:fill="auto"/>
            <w:vAlign w:val="bottom"/>
          </w:tcPr>
          <w:p w14:paraId="22CFBA71" w14:textId="77777777" w:rsidR="002661BA" w:rsidRDefault="002661BA">
            <w:pPr>
              <w:rPr>
                <w:rFonts w:ascii="宋体"/>
                <w:vanish/>
              </w:rPr>
            </w:pPr>
          </w:p>
        </w:tc>
        <w:tc>
          <w:tcPr>
            <w:tcW w:w="0" w:type="auto"/>
            <w:gridSpan w:val="2"/>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22CFBA72" w14:textId="77777777" w:rsidR="002661BA" w:rsidRDefault="00D972BC">
            <w:pPr>
              <w:jc w:val="right"/>
              <w:textAlignment w:val="bottom"/>
            </w:pPr>
            <w:r>
              <w:rPr>
                <w:rFonts w:ascii="Arial" w:eastAsia="宋体" w:hAnsi="Arial" w:cs="Arial"/>
                <w:color w:val="000000"/>
                <w:sz w:val="18"/>
                <w:szCs w:val="18"/>
              </w:rPr>
              <w:t>25 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22CFBA73"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A74" w14:textId="77777777" w:rsidR="002661BA" w:rsidRDefault="002661BA">
            <w:pPr>
              <w:rPr>
                <w:rFonts w:ascii="宋体"/>
              </w:rPr>
            </w:pPr>
          </w:p>
        </w:tc>
        <w:tc>
          <w:tcPr>
            <w:tcW w:w="0" w:type="auto"/>
            <w:gridSpan w:val="2"/>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22CFBA75" w14:textId="77777777" w:rsidR="002661BA" w:rsidRDefault="00D972BC">
            <w:pPr>
              <w:jc w:val="right"/>
              <w:textAlignment w:val="bottom"/>
            </w:pPr>
            <w:r>
              <w:rPr>
                <w:rFonts w:ascii="Arial" w:eastAsia="宋体" w:hAnsi="Arial" w:cs="Arial"/>
                <w:color w:val="000000"/>
                <w:sz w:val="18"/>
                <w:szCs w:val="18"/>
              </w:rPr>
              <w:t>(12)</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22CFBA76"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A77" w14:textId="77777777" w:rsidR="002661BA" w:rsidRDefault="002661BA">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22CFBA7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22CFBA79" w14:textId="77777777" w:rsidR="002661BA" w:rsidRDefault="00D972BC">
            <w:pPr>
              <w:jc w:val="right"/>
              <w:textAlignment w:val="bottom"/>
            </w:pPr>
            <w:r>
              <w:rPr>
                <w:rFonts w:ascii="Arial" w:eastAsia="宋体" w:hAnsi="Arial" w:cs="Arial"/>
                <w:color w:val="000000"/>
                <w:sz w:val="18"/>
                <w:szCs w:val="18"/>
              </w:rPr>
              <w:t>(4)</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22CFBA7A" w14:textId="77777777" w:rsidR="002661BA" w:rsidRDefault="002661BA">
            <w:pPr>
              <w:jc w:val="right"/>
              <w:rPr>
                <w:rFonts w:ascii="宋体"/>
              </w:rPr>
            </w:pPr>
          </w:p>
        </w:tc>
      </w:tr>
    </w:tbl>
    <w:p w14:paraId="22CFBA7C" w14:textId="77777777" w:rsidR="002661BA" w:rsidRDefault="00D972BC">
      <w:pPr>
        <w:ind w:hanging="360"/>
        <w:jc w:val="both"/>
      </w:pPr>
      <w:r>
        <w:rPr>
          <w:rFonts w:ascii="Arial" w:eastAsia="宋体" w:hAnsi="Arial" w:cs="Arial"/>
          <w:color w:val="000000"/>
          <w:sz w:val="16"/>
          <w:szCs w:val="16"/>
        </w:rPr>
        <w:t>(1)Includes eBay Korea financial results through the transaction close on November 14, 2021 and the related gain on sale.</w:t>
      </w:r>
    </w:p>
    <w:p w14:paraId="22CFBA7D" w14:textId="77777777" w:rsidR="002661BA" w:rsidRDefault="00D972BC">
      <w:pPr>
        <w:ind w:hanging="360"/>
        <w:jc w:val="both"/>
      </w:pPr>
      <w:r>
        <w:rPr>
          <w:rFonts w:ascii="Arial" w:eastAsia="宋体" w:hAnsi="Arial" w:cs="Arial"/>
          <w:color w:val="000000"/>
          <w:sz w:val="16"/>
          <w:szCs w:val="16"/>
        </w:rPr>
        <w:t>(2)Includes Classifieds financial results through the transaction close on June 24, 2021 an</w:t>
      </w:r>
      <w:r>
        <w:rPr>
          <w:rFonts w:ascii="Arial" w:eastAsia="宋体" w:hAnsi="Arial" w:cs="Arial"/>
          <w:color w:val="000000"/>
          <w:sz w:val="16"/>
          <w:szCs w:val="16"/>
        </w:rPr>
        <w:t>d the related gain on sale.</w:t>
      </w:r>
    </w:p>
    <w:p w14:paraId="22CFBA7E" w14:textId="77777777" w:rsidR="002661BA" w:rsidRDefault="00D972BC">
      <w:pPr>
        <w:ind w:hanging="360"/>
        <w:jc w:val="both"/>
      </w:pPr>
      <w:r>
        <w:rPr>
          <w:rFonts w:ascii="Arial" w:eastAsia="宋体" w:hAnsi="Arial" w:cs="Arial"/>
          <w:color w:val="000000"/>
          <w:sz w:val="16"/>
          <w:szCs w:val="16"/>
        </w:rPr>
        <w:t>(3)Includes StubHub financial results from January 1, 2020 to February 13, 2020 and the related gain on sale.</w:t>
      </w:r>
    </w:p>
    <w:p w14:paraId="22CFBA7F" w14:textId="77777777" w:rsidR="002661BA" w:rsidRDefault="002661BA">
      <w:pPr>
        <w:ind w:firstLine="270"/>
        <w:jc w:val="both"/>
      </w:pPr>
    </w:p>
    <w:p w14:paraId="22CFBA80" w14:textId="77777777" w:rsidR="002661BA" w:rsidRDefault="00D972BC">
      <w:pPr>
        <w:ind w:firstLine="270"/>
        <w:jc w:val="both"/>
      </w:pPr>
      <w:r>
        <w:rPr>
          <w:rFonts w:ascii="Arial" w:eastAsia="宋体" w:hAnsi="Arial" w:cs="Arial"/>
          <w:b/>
          <w:bCs/>
          <w:i/>
          <w:iCs/>
          <w:color w:val="000000"/>
          <w:sz w:val="20"/>
          <w:szCs w:val="20"/>
        </w:rPr>
        <w:t>eBay Korea</w:t>
      </w:r>
    </w:p>
    <w:p w14:paraId="22CFBA81" w14:textId="77777777" w:rsidR="002661BA" w:rsidRDefault="002661BA">
      <w:pPr>
        <w:ind w:firstLine="270"/>
        <w:jc w:val="both"/>
      </w:pPr>
    </w:p>
    <w:p w14:paraId="22CFBA82" w14:textId="77777777" w:rsidR="002661BA" w:rsidRDefault="00D972BC">
      <w:pPr>
        <w:spacing w:after="120"/>
        <w:ind w:firstLine="540"/>
        <w:jc w:val="both"/>
      </w:pPr>
      <w:r>
        <w:rPr>
          <w:rFonts w:ascii="Arial" w:eastAsia="宋体" w:hAnsi="Arial" w:cs="Arial"/>
          <w:color w:val="000000"/>
          <w:sz w:val="20"/>
          <w:szCs w:val="20"/>
        </w:rPr>
        <w:t xml:space="preserve">The financial results of eBay Korea are presented as income from discontinued operations, net of </w:t>
      </w:r>
      <w:r>
        <w:rPr>
          <w:rFonts w:ascii="Arial" w:eastAsia="宋体" w:hAnsi="Arial" w:cs="Arial"/>
          <w:color w:val="000000"/>
          <w:sz w:val="20"/>
          <w:szCs w:val="20"/>
        </w:rPr>
        <w:t>income taxes on our consolidated statement of income through November 14, 2021, when the sale of 80.01% of the outstanding equity interests of eBay Korea was completed. The following table presents the financial results of eBay Korea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128"/>
        <w:gridCol w:w="39"/>
        <w:gridCol w:w="121"/>
        <w:gridCol w:w="813"/>
        <w:gridCol w:w="36"/>
        <w:gridCol w:w="36"/>
        <w:gridCol w:w="36"/>
        <w:gridCol w:w="36"/>
        <w:gridCol w:w="121"/>
        <w:gridCol w:w="813"/>
        <w:gridCol w:w="36"/>
        <w:gridCol w:w="36"/>
        <w:gridCol w:w="36"/>
        <w:gridCol w:w="36"/>
        <w:gridCol w:w="121"/>
        <w:gridCol w:w="816"/>
        <w:gridCol w:w="36"/>
      </w:tblGrid>
      <w:tr w:rsidR="002661BA" w14:paraId="22CFBA95" w14:textId="77777777">
        <w:tc>
          <w:tcPr>
            <w:tcW w:w="50" w:type="pct"/>
            <w:shd w:val="clear" w:color="auto" w:fill="auto"/>
            <w:vAlign w:val="bottom"/>
          </w:tcPr>
          <w:p w14:paraId="22CFBA83" w14:textId="77777777" w:rsidR="002661BA" w:rsidRDefault="002661BA">
            <w:pPr>
              <w:rPr>
                <w:rFonts w:ascii="宋体"/>
              </w:rPr>
            </w:pPr>
          </w:p>
        </w:tc>
        <w:tc>
          <w:tcPr>
            <w:tcW w:w="3132" w:type="pct"/>
            <w:shd w:val="clear" w:color="auto" w:fill="auto"/>
            <w:vAlign w:val="bottom"/>
          </w:tcPr>
          <w:p w14:paraId="22CFBA84" w14:textId="77777777" w:rsidR="002661BA" w:rsidRDefault="002661BA">
            <w:pPr>
              <w:rPr>
                <w:rFonts w:ascii="宋体"/>
              </w:rPr>
            </w:pPr>
          </w:p>
        </w:tc>
        <w:tc>
          <w:tcPr>
            <w:tcW w:w="5" w:type="pct"/>
            <w:shd w:val="clear" w:color="auto" w:fill="auto"/>
            <w:vAlign w:val="bottom"/>
          </w:tcPr>
          <w:p w14:paraId="22CFBA85" w14:textId="77777777" w:rsidR="002661BA" w:rsidRDefault="002661BA">
            <w:pPr>
              <w:rPr>
                <w:rFonts w:ascii="宋体"/>
              </w:rPr>
            </w:pPr>
          </w:p>
        </w:tc>
        <w:tc>
          <w:tcPr>
            <w:tcW w:w="50" w:type="pct"/>
            <w:shd w:val="clear" w:color="auto" w:fill="auto"/>
            <w:vAlign w:val="bottom"/>
          </w:tcPr>
          <w:p w14:paraId="22CFBA86" w14:textId="77777777" w:rsidR="002661BA" w:rsidRDefault="002661BA">
            <w:pPr>
              <w:rPr>
                <w:rFonts w:ascii="宋体"/>
              </w:rPr>
            </w:pPr>
          </w:p>
        </w:tc>
        <w:tc>
          <w:tcPr>
            <w:tcW w:w="529" w:type="pct"/>
            <w:shd w:val="clear" w:color="auto" w:fill="auto"/>
            <w:vAlign w:val="bottom"/>
          </w:tcPr>
          <w:p w14:paraId="22CFBA87" w14:textId="77777777" w:rsidR="002661BA" w:rsidRDefault="002661BA">
            <w:pPr>
              <w:rPr>
                <w:rFonts w:ascii="宋体"/>
              </w:rPr>
            </w:pPr>
          </w:p>
        </w:tc>
        <w:tc>
          <w:tcPr>
            <w:tcW w:w="5" w:type="pct"/>
            <w:shd w:val="clear" w:color="auto" w:fill="auto"/>
            <w:vAlign w:val="bottom"/>
          </w:tcPr>
          <w:p w14:paraId="22CFBA88" w14:textId="77777777" w:rsidR="002661BA" w:rsidRDefault="002661BA">
            <w:pPr>
              <w:rPr>
                <w:rFonts w:ascii="宋体"/>
              </w:rPr>
            </w:pPr>
          </w:p>
        </w:tc>
        <w:tc>
          <w:tcPr>
            <w:tcW w:w="5" w:type="pct"/>
            <w:shd w:val="clear" w:color="auto" w:fill="auto"/>
            <w:vAlign w:val="bottom"/>
          </w:tcPr>
          <w:p w14:paraId="22CFBA89" w14:textId="77777777" w:rsidR="002661BA" w:rsidRDefault="002661BA">
            <w:pPr>
              <w:rPr>
                <w:rFonts w:ascii="宋体"/>
              </w:rPr>
            </w:pPr>
          </w:p>
        </w:tc>
        <w:tc>
          <w:tcPr>
            <w:tcW w:w="19" w:type="pct"/>
            <w:shd w:val="clear" w:color="auto" w:fill="auto"/>
            <w:vAlign w:val="bottom"/>
          </w:tcPr>
          <w:p w14:paraId="22CFBA8A" w14:textId="77777777" w:rsidR="002661BA" w:rsidRDefault="002661BA">
            <w:pPr>
              <w:rPr>
                <w:rFonts w:ascii="宋体"/>
              </w:rPr>
            </w:pPr>
          </w:p>
        </w:tc>
        <w:tc>
          <w:tcPr>
            <w:tcW w:w="5" w:type="pct"/>
            <w:shd w:val="clear" w:color="auto" w:fill="auto"/>
            <w:vAlign w:val="bottom"/>
          </w:tcPr>
          <w:p w14:paraId="22CFBA8B" w14:textId="77777777" w:rsidR="002661BA" w:rsidRDefault="002661BA">
            <w:pPr>
              <w:rPr>
                <w:rFonts w:ascii="宋体"/>
              </w:rPr>
            </w:pPr>
          </w:p>
        </w:tc>
        <w:tc>
          <w:tcPr>
            <w:tcW w:w="50" w:type="pct"/>
            <w:shd w:val="clear" w:color="auto" w:fill="auto"/>
            <w:vAlign w:val="bottom"/>
          </w:tcPr>
          <w:p w14:paraId="22CFBA8C" w14:textId="77777777" w:rsidR="002661BA" w:rsidRDefault="002661BA">
            <w:pPr>
              <w:rPr>
                <w:rFonts w:ascii="宋体"/>
              </w:rPr>
            </w:pPr>
          </w:p>
        </w:tc>
        <w:tc>
          <w:tcPr>
            <w:tcW w:w="529" w:type="pct"/>
            <w:shd w:val="clear" w:color="auto" w:fill="auto"/>
            <w:vAlign w:val="bottom"/>
          </w:tcPr>
          <w:p w14:paraId="22CFBA8D" w14:textId="77777777" w:rsidR="002661BA" w:rsidRDefault="002661BA">
            <w:pPr>
              <w:rPr>
                <w:rFonts w:ascii="宋体"/>
              </w:rPr>
            </w:pPr>
          </w:p>
        </w:tc>
        <w:tc>
          <w:tcPr>
            <w:tcW w:w="5" w:type="pct"/>
            <w:shd w:val="clear" w:color="auto" w:fill="auto"/>
            <w:vAlign w:val="bottom"/>
          </w:tcPr>
          <w:p w14:paraId="22CFBA8E" w14:textId="77777777" w:rsidR="002661BA" w:rsidRDefault="002661BA">
            <w:pPr>
              <w:rPr>
                <w:rFonts w:ascii="宋体"/>
              </w:rPr>
            </w:pPr>
          </w:p>
        </w:tc>
        <w:tc>
          <w:tcPr>
            <w:tcW w:w="5" w:type="pct"/>
            <w:shd w:val="clear" w:color="auto" w:fill="auto"/>
            <w:vAlign w:val="bottom"/>
          </w:tcPr>
          <w:p w14:paraId="22CFBA8F" w14:textId="77777777" w:rsidR="002661BA" w:rsidRDefault="002661BA">
            <w:pPr>
              <w:rPr>
                <w:rFonts w:ascii="宋体"/>
              </w:rPr>
            </w:pPr>
          </w:p>
        </w:tc>
        <w:tc>
          <w:tcPr>
            <w:tcW w:w="19" w:type="pct"/>
            <w:shd w:val="clear" w:color="auto" w:fill="auto"/>
            <w:vAlign w:val="bottom"/>
          </w:tcPr>
          <w:p w14:paraId="22CFBA90" w14:textId="77777777" w:rsidR="002661BA" w:rsidRDefault="002661BA">
            <w:pPr>
              <w:rPr>
                <w:rFonts w:ascii="宋体"/>
              </w:rPr>
            </w:pPr>
          </w:p>
        </w:tc>
        <w:tc>
          <w:tcPr>
            <w:tcW w:w="5" w:type="pct"/>
            <w:shd w:val="clear" w:color="auto" w:fill="auto"/>
            <w:vAlign w:val="bottom"/>
          </w:tcPr>
          <w:p w14:paraId="22CFBA91" w14:textId="77777777" w:rsidR="002661BA" w:rsidRDefault="002661BA">
            <w:pPr>
              <w:rPr>
                <w:rFonts w:ascii="宋体"/>
              </w:rPr>
            </w:pPr>
          </w:p>
        </w:tc>
        <w:tc>
          <w:tcPr>
            <w:tcW w:w="50" w:type="pct"/>
            <w:shd w:val="clear" w:color="auto" w:fill="auto"/>
            <w:vAlign w:val="bottom"/>
          </w:tcPr>
          <w:p w14:paraId="22CFBA92" w14:textId="77777777" w:rsidR="002661BA" w:rsidRDefault="002661BA">
            <w:pPr>
              <w:rPr>
                <w:rFonts w:ascii="宋体"/>
              </w:rPr>
            </w:pPr>
          </w:p>
        </w:tc>
        <w:tc>
          <w:tcPr>
            <w:tcW w:w="530" w:type="pct"/>
            <w:shd w:val="clear" w:color="auto" w:fill="auto"/>
            <w:vAlign w:val="bottom"/>
          </w:tcPr>
          <w:p w14:paraId="22CFBA93" w14:textId="77777777" w:rsidR="002661BA" w:rsidRDefault="002661BA">
            <w:pPr>
              <w:rPr>
                <w:rFonts w:ascii="宋体"/>
              </w:rPr>
            </w:pPr>
          </w:p>
        </w:tc>
        <w:tc>
          <w:tcPr>
            <w:tcW w:w="5" w:type="pct"/>
            <w:shd w:val="clear" w:color="auto" w:fill="auto"/>
            <w:vAlign w:val="bottom"/>
          </w:tcPr>
          <w:p w14:paraId="22CFBA94" w14:textId="77777777" w:rsidR="002661BA" w:rsidRDefault="002661BA">
            <w:pPr>
              <w:rPr>
                <w:rFonts w:ascii="宋体"/>
              </w:rPr>
            </w:pPr>
          </w:p>
        </w:tc>
      </w:tr>
      <w:tr w:rsidR="002661BA" w14:paraId="22CFBA98" w14:textId="77777777">
        <w:tc>
          <w:tcPr>
            <w:tcW w:w="0" w:type="auto"/>
            <w:gridSpan w:val="3"/>
            <w:shd w:val="clear" w:color="auto" w:fill="auto"/>
            <w:tcMar>
              <w:top w:w="40" w:type="dxa"/>
              <w:left w:w="20" w:type="dxa"/>
              <w:bottom w:w="40" w:type="dxa"/>
              <w:right w:w="20" w:type="dxa"/>
            </w:tcMar>
            <w:vAlign w:val="bottom"/>
          </w:tcPr>
          <w:p w14:paraId="22CFBA96" w14:textId="77777777" w:rsidR="002661BA" w:rsidRDefault="00D972BC">
            <w:pPr>
              <w:textAlignment w:val="bottom"/>
            </w:pPr>
            <w:r>
              <w:rPr>
                <w:rFonts w:ascii="Arial" w:eastAsia="宋体" w:hAnsi="Arial" w:cs="Arial"/>
                <w:b/>
                <w:bCs/>
                <w:color w:val="000000"/>
                <w:sz w:val="18"/>
                <w:szCs w:val="18"/>
              </w:rPr>
              <w:t> </w:t>
            </w:r>
          </w:p>
        </w:tc>
        <w:tc>
          <w:tcPr>
            <w:tcW w:w="0" w:type="auto"/>
            <w:gridSpan w:val="15"/>
            <w:shd w:val="clear" w:color="auto" w:fill="auto"/>
            <w:tcMar>
              <w:top w:w="40" w:type="dxa"/>
              <w:left w:w="20" w:type="dxa"/>
              <w:bottom w:w="40" w:type="dxa"/>
              <w:right w:w="20" w:type="dxa"/>
            </w:tcMar>
            <w:vAlign w:val="bottom"/>
          </w:tcPr>
          <w:p w14:paraId="22CFBA97"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BA9F" w14:textId="77777777">
        <w:tc>
          <w:tcPr>
            <w:tcW w:w="0" w:type="auto"/>
            <w:gridSpan w:val="3"/>
            <w:shd w:val="clear" w:color="auto" w:fill="auto"/>
            <w:tcMar>
              <w:top w:w="40" w:type="dxa"/>
              <w:left w:w="20" w:type="dxa"/>
              <w:bottom w:w="40" w:type="dxa"/>
              <w:right w:w="20" w:type="dxa"/>
            </w:tcMar>
            <w:vAlign w:val="bottom"/>
          </w:tcPr>
          <w:p w14:paraId="22CFBA99" w14:textId="77777777" w:rsidR="002661BA" w:rsidRDefault="00D972BC">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A9A" w14:textId="77777777" w:rsidR="002661BA" w:rsidRDefault="00D972BC">
            <w:pPr>
              <w:jc w:val="center"/>
              <w:textAlignment w:val="bottom"/>
            </w:pPr>
            <w:r>
              <w:rPr>
                <w:rFonts w:ascii="Arial" w:eastAsia="宋体" w:hAnsi="Arial" w:cs="Arial"/>
                <w:b/>
                <w:bCs/>
                <w:color w:val="000000"/>
                <w:sz w:val="17"/>
                <w:szCs w:val="17"/>
              </w:rPr>
              <w:t xml:space="preserve">2021 </w:t>
            </w:r>
            <w:r>
              <w:rPr>
                <w:rFonts w:ascii="Arial" w:eastAsia="宋体" w:hAnsi="Arial" w:cs="Arial"/>
                <w:b/>
                <w:bCs/>
                <w:color w:val="000000"/>
                <w:sz w:val="11"/>
                <w:szCs w:val="11"/>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A9B"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A9C"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A9D"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A9E"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BAAC" w14:textId="77777777">
        <w:tc>
          <w:tcPr>
            <w:tcW w:w="0" w:type="auto"/>
            <w:gridSpan w:val="3"/>
            <w:shd w:val="clear" w:color="auto" w:fill="E1E1E1"/>
            <w:tcMar>
              <w:top w:w="40" w:type="dxa"/>
              <w:left w:w="20" w:type="dxa"/>
              <w:bottom w:w="40" w:type="dxa"/>
              <w:right w:w="20" w:type="dxa"/>
            </w:tcMar>
            <w:vAlign w:val="bottom"/>
          </w:tcPr>
          <w:p w14:paraId="22CFBAA0" w14:textId="77777777" w:rsidR="002661BA" w:rsidRDefault="00D972BC">
            <w:pPr>
              <w:textAlignment w:val="bottom"/>
            </w:pPr>
            <w:r>
              <w:rPr>
                <w:rFonts w:ascii="Arial" w:eastAsia="宋体" w:hAnsi="Arial" w:cs="Arial"/>
                <w:color w:val="000000"/>
                <w:sz w:val="18"/>
                <w:szCs w:val="18"/>
              </w:rPr>
              <w:t>Net revenues</w:t>
            </w:r>
          </w:p>
        </w:tc>
        <w:tc>
          <w:tcPr>
            <w:tcW w:w="0" w:type="auto"/>
            <w:tcBorders>
              <w:top w:val="single" w:sz="8" w:space="0" w:color="000000"/>
            </w:tcBorders>
            <w:shd w:val="clear" w:color="auto" w:fill="E1E1E1"/>
            <w:tcMar>
              <w:top w:w="40" w:type="dxa"/>
              <w:left w:w="20" w:type="dxa"/>
              <w:bottom w:w="40" w:type="dxa"/>
              <w:right w:w="0" w:type="dxa"/>
            </w:tcMar>
            <w:vAlign w:val="bottom"/>
          </w:tcPr>
          <w:p w14:paraId="22CFBAA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22CFBAA2" w14:textId="77777777" w:rsidR="002661BA" w:rsidRDefault="00D972BC">
            <w:pPr>
              <w:jc w:val="right"/>
              <w:textAlignment w:val="bottom"/>
            </w:pPr>
            <w:r>
              <w:rPr>
                <w:rFonts w:ascii="Arial" w:eastAsia="宋体" w:hAnsi="Arial" w:cs="Arial"/>
                <w:color w:val="000000"/>
                <w:sz w:val="18"/>
                <w:szCs w:val="18"/>
              </w:rPr>
              <w:t>1,409 </w:t>
            </w:r>
          </w:p>
        </w:tc>
        <w:tc>
          <w:tcPr>
            <w:tcW w:w="0" w:type="auto"/>
            <w:tcBorders>
              <w:top w:val="single" w:sz="8" w:space="0" w:color="000000"/>
            </w:tcBorders>
            <w:shd w:val="clear" w:color="auto" w:fill="E1E1E1"/>
            <w:tcMar>
              <w:top w:w="40" w:type="dxa"/>
              <w:left w:w="0" w:type="dxa"/>
              <w:bottom w:w="40" w:type="dxa"/>
              <w:right w:w="20" w:type="dxa"/>
            </w:tcMar>
            <w:vAlign w:val="bottom"/>
          </w:tcPr>
          <w:p w14:paraId="22CFBAA3" w14:textId="77777777" w:rsidR="002661BA" w:rsidRDefault="002661BA">
            <w:pPr>
              <w:jc w:val="right"/>
              <w:rPr>
                <w:rFonts w:ascii="宋体"/>
              </w:rPr>
            </w:pPr>
          </w:p>
        </w:tc>
        <w:tc>
          <w:tcPr>
            <w:tcW w:w="0" w:type="auto"/>
            <w:gridSpan w:val="3"/>
            <w:shd w:val="clear" w:color="auto" w:fill="E1E1E1"/>
            <w:tcMar>
              <w:top w:w="0" w:type="dxa"/>
              <w:left w:w="20" w:type="dxa"/>
              <w:bottom w:w="0" w:type="dxa"/>
              <w:right w:w="20" w:type="dxa"/>
            </w:tcMar>
            <w:vAlign w:val="bottom"/>
          </w:tcPr>
          <w:p w14:paraId="22CFBAA4" w14:textId="77777777" w:rsidR="002661BA" w:rsidRDefault="002661B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22CFBAA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22CFBAA6" w14:textId="77777777" w:rsidR="002661BA" w:rsidRDefault="00D972BC">
            <w:pPr>
              <w:jc w:val="right"/>
              <w:textAlignment w:val="bottom"/>
            </w:pPr>
            <w:r>
              <w:rPr>
                <w:rFonts w:ascii="Arial" w:eastAsia="宋体" w:hAnsi="Arial" w:cs="Arial"/>
                <w:color w:val="000000"/>
                <w:sz w:val="18"/>
                <w:szCs w:val="18"/>
              </w:rPr>
              <w:t>1,377 </w:t>
            </w:r>
          </w:p>
        </w:tc>
        <w:tc>
          <w:tcPr>
            <w:tcW w:w="0" w:type="auto"/>
            <w:tcBorders>
              <w:top w:val="single" w:sz="8" w:space="0" w:color="000000"/>
            </w:tcBorders>
            <w:shd w:val="clear" w:color="auto" w:fill="E1E1E1"/>
            <w:tcMar>
              <w:top w:w="40" w:type="dxa"/>
              <w:left w:w="0" w:type="dxa"/>
              <w:bottom w:w="40" w:type="dxa"/>
              <w:right w:w="20" w:type="dxa"/>
            </w:tcMar>
            <w:vAlign w:val="bottom"/>
          </w:tcPr>
          <w:p w14:paraId="22CFBAA7" w14:textId="77777777" w:rsidR="002661BA" w:rsidRDefault="002661BA">
            <w:pPr>
              <w:jc w:val="right"/>
              <w:rPr>
                <w:rFonts w:ascii="宋体"/>
              </w:rPr>
            </w:pPr>
          </w:p>
        </w:tc>
        <w:tc>
          <w:tcPr>
            <w:tcW w:w="0" w:type="auto"/>
            <w:gridSpan w:val="3"/>
            <w:shd w:val="clear" w:color="auto" w:fill="E1E1E1"/>
            <w:tcMar>
              <w:top w:w="0" w:type="dxa"/>
              <w:left w:w="20" w:type="dxa"/>
              <w:bottom w:w="0" w:type="dxa"/>
              <w:right w:w="20" w:type="dxa"/>
            </w:tcMar>
            <w:vAlign w:val="bottom"/>
          </w:tcPr>
          <w:p w14:paraId="22CFBAA8" w14:textId="77777777" w:rsidR="002661BA" w:rsidRDefault="002661B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22CFBAA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22CFBAAA" w14:textId="77777777" w:rsidR="002661BA" w:rsidRDefault="00D972BC">
            <w:pPr>
              <w:jc w:val="right"/>
              <w:textAlignment w:val="bottom"/>
            </w:pPr>
            <w:r>
              <w:rPr>
                <w:rFonts w:ascii="Arial" w:eastAsia="宋体" w:hAnsi="Arial" w:cs="Arial"/>
                <w:color w:val="000000"/>
                <w:sz w:val="18"/>
                <w:szCs w:val="18"/>
              </w:rPr>
              <w:t>1,207 </w:t>
            </w:r>
          </w:p>
        </w:tc>
        <w:tc>
          <w:tcPr>
            <w:tcW w:w="0" w:type="auto"/>
            <w:tcBorders>
              <w:top w:val="single" w:sz="8" w:space="0" w:color="000000"/>
            </w:tcBorders>
            <w:shd w:val="clear" w:color="auto" w:fill="E1E1E1"/>
            <w:tcMar>
              <w:top w:w="40" w:type="dxa"/>
              <w:left w:w="0" w:type="dxa"/>
              <w:bottom w:w="40" w:type="dxa"/>
              <w:right w:w="20" w:type="dxa"/>
            </w:tcMar>
            <w:vAlign w:val="bottom"/>
          </w:tcPr>
          <w:p w14:paraId="22CFBAAB" w14:textId="77777777" w:rsidR="002661BA" w:rsidRDefault="002661BA">
            <w:pPr>
              <w:jc w:val="right"/>
              <w:rPr>
                <w:rFonts w:ascii="宋体"/>
              </w:rPr>
            </w:pPr>
          </w:p>
        </w:tc>
      </w:tr>
      <w:tr w:rsidR="002661BA" w14:paraId="22CFBAB6" w14:textId="77777777">
        <w:tc>
          <w:tcPr>
            <w:tcW w:w="0" w:type="auto"/>
            <w:gridSpan w:val="3"/>
            <w:shd w:val="clear" w:color="auto" w:fill="FFFFFF"/>
            <w:tcMar>
              <w:top w:w="40" w:type="dxa"/>
              <w:left w:w="20" w:type="dxa"/>
              <w:bottom w:w="40" w:type="dxa"/>
              <w:right w:w="20" w:type="dxa"/>
            </w:tcMar>
            <w:vAlign w:val="bottom"/>
          </w:tcPr>
          <w:p w14:paraId="22CFBAAD" w14:textId="77777777" w:rsidR="002661BA" w:rsidRDefault="00D972BC">
            <w:pPr>
              <w:textAlignment w:val="bottom"/>
            </w:pPr>
            <w:r>
              <w:rPr>
                <w:rFonts w:ascii="Arial" w:eastAsia="宋体" w:hAnsi="Arial" w:cs="Arial"/>
                <w:color w:val="000000"/>
                <w:sz w:val="18"/>
                <w:szCs w:val="18"/>
              </w:rPr>
              <w:t>Cost of net revenues</w:t>
            </w:r>
          </w:p>
        </w:tc>
        <w:tc>
          <w:tcPr>
            <w:tcW w:w="0" w:type="auto"/>
            <w:gridSpan w:val="2"/>
            <w:shd w:val="clear" w:color="auto" w:fill="FFFFFF"/>
            <w:tcMar>
              <w:top w:w="40" w:type="dxa"/>
              <w:left w:w="20" w:type="dxa"/>
              <w:bottom w:w="40" w:type="dxa"/>
              <w:right w:w="0" w:type="dxa"/>
            </w:tcMar>
            <w:vAlign w:val="bottom"/>
          </w:tcPr>
          <w:p w14:paraId="22CFBAAE" w14:textId="77777777" w:rsidR="002661BA" w:rsidRDefault="00D972BC">
            <w:pPr>
              <w:jc w:val="right"/>
              <w:textAlignment w:val="bottom"/>
            </w:pPr>
            <w:r>
              <w:rPr>
                <w:rFonts w:ascii="Arial" w:eastAsia="宋体" w:hAnsi="Arial" w:cs="Arial"/>
                <w:color w:val="000000"/>
                <w:sz w:val="18"/>
                <w:szCs w:val="18"/>
              </w:rPr>
              <w:t>815 </w:t>
            </w:r>
          </w:p>
        </w:tc>
        <w:tc>
          <w:tcPr>
            <w:tcW w:w="0" w:type="auto"/>
            <w:shd w:val="clear" w:color="auto" w:fill="FFFFFF"/>
            <w:tcMar>
              <w:top w:w="40" w:type="dxa"/>
              <w:left w:w="0" w:type="dxa"/>
              <w:bottom w:w="40" w:type="dxa"/>
              <w:right w:w="20" w:type="dxa"/>
            </w:tcMar>
            <w:vAlign w:val="bottom"/>
          </w:tcPr>
          <w:p w14:paraId="22CFBAA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AB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AB1" w14:textId="77777777" w:rsidR="002661BA" w:rsidRDefault="00D972BC">
            <w:pPr>
              <w:jc w:val="right"/>
              <w:textAlignment w:val="bottom"/>
            </w:pPr>
            <w:r>
              <w:rPr>
                <w:rFonts w:ascii="Arial" w:eastAsia="宋体" w:hAnsi="Arial" w:cs="Arial"/>
                <w:color w:val="000000"/>
                <w:sz w:val="18"/>
                <w:szCs w:val="18"/>
              </w:rPr>
              <w:t>676 </w:t>
            </w:r>
          </w:p>
        </w:tc>
        <w:tc>
          <w:tcPr>
            <w:tcW w:w="0" w:type="auto"/>
            <w:shd w:val="clear" w:color="auto" w:fill="FFFFFF"/>
            <w:tcMar>
              <w:top w:w="40" w:type="dxa"/>
              <w:left w:w="0" w:type="dxa"/>
              <w:bottom w:w="40" w:type="dxa"/>
              <w:right w:w="20" w:type="dxa"/>
            </w:tcMar>
            <w:vAlign w:val="bottom"/>
          </w:tcPr>
          <w:p w14:paraId="22CFBAB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AB3"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AB4" w14:textId="77777777" w:rsidR="002661BA" w:rsidRDefault="00D972BC">
            <w:pPr>
              <w:jc w:val="right"/>
              <w:textAlignment w:val="bottom"/>
            </w:pPr>
            <w:r>
              <w:rPr>
                <w:rFonts w:ascii="Arial" w:eastAsia="宋体" w:hAnsi="Arial" w:cs="Arial"/>
                <w:color w:val="000000"/>
                <w:sz w:val="18"/>
                <w:szCs w:val="18"/>
              </w:rPr>
              <w:t>551 </w:t>
            </w:r>
          </w:p>
        </w:tc>
        <w:tc>
          <w:tcPr>
            <w:tcW w:w="0" w:type="auto"/>
            <w:shd w:val="clear" w:color="auto" w:fill="FFFFFF"/>
            <w:tcMar>
              <w:top w:w="40" w:type="dxa"/>
              <w:left w:w="0" w:type="dxa"/>
              <w:bottom w:w="40" w:type="dxa"/>
              <w:right w:w="20" w:type="dxa"/>
            </w:tcMar>
            <w:vAlign w:val="bottom"/>
          </w:tcPr>
          <w:p w14:paraId="22CFBAB5" w14:textId="77777777" w:rsidR="002661BA" w:rsidRDefault="002661BA">
            <w:pPr>
              <w:jc w:val="right"/>
              <w:rPr>
                <w:rFonts w:ascii="宋体"/>
              </w:rPr>
            </w:pPr>
          </w:p>
        </w:tc>
      </w:tr>
      <w:tr w:rsidR="002661BA" w14:paraId="22CFBAC0" w14:textId="77777777">
        <w:tc>
          <w:tcPr>
            <w:tcW w:w="0" w:type="auto"/>
            <w:gridSpan w:val="3"/>
            <w:shd w:val="clear" w:color="auto" w:fill="E1E1E1"/>
            <w:tcMar>
              <w:top w:w="40" w:type="dxa"/>
              <w:left w:w="875" w:type="dxa"/>
              <w:bottom w:w="40" w:type="dxa"/>
              <w:right w:w="20" w:type="dxa"/>
            </w:tcMar>
            <w:vAlign w:val="bottom"/>
          </w:tcPr>
          <w:p w14:paraId="22CFBAB7" w14:textId="77777777" w:rsidR="002661BA" w:rsidRDefault="00D972BC">
            <w:pPr>
              <w:textAlignment w:val="bottom"/>
            </w:pPr>
            <w:r>
              <w:rPr>
                <w:rFonts w:ascii="Arial" w:eastAsia="宋体" w:hAnsi="Arial" w:cs="Arial"/>
                <w:color w:val="000000"/>
                <w:sz w:val="18"/>
                <w:szCs w:val="18"/>
              </w:rPr>
              <w:t>Gross profit</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22CFBAB8" w14:textId="77777777" w:rsidR="002661BA" w:rsidRDefault="00D972BC">
            <w:pPr>
              <w:jc w:val="right"/>
              <w:textAlignment w:val="bottom"/>
            </w:pPr>
            <w:r>
              <w:rPr>
                <w:rFonts w:ascii="Arial" w:eastAsia="宋体" w:hAnsi="Arial" w:cs="Arial"/>
                <w:color w:val="000000"/>
                <w:sz w:val="18"/>
                <w:szCs w:val="18"/>
              </w:rPr>
              <w:t>594 </w:t>
            </w:r>
          </w:p>
        </w:tc>
        <w:tc>
          <w:tcPr>
            <w:tcW w:w="0" w:type="auto"/>
            <w:tcBorders>
              <w:top w:val="single" w:sz="8" w:space="0" w:color="000000"/>
            </w:tcBorders>
            <w:shd w:val="clear" w:color="auto" w:fill="E1E1E1"/>
            <w:tcMar>
              <w:top w:w="40" w:type="dxa"/>
              <w:left w:w="0" w:type="dxa"/>
              <w:bottom w:w="40" w:type="dxa"/>
              <w:right w:w="20" w:type="dxa"/>
            </w:tcMar>
            <w:vAlign w:val="bottom"/>
          </w:tcPr>
          <w:p w14:paraId="22CFBAB9" w14:textId="77777777" w:rsidR="002661BA" w:rsidRDefault="002661BA">
            <w:pPr>
              <w:jc w:val="right"/>
              <w:rPr>
                <w:rFonts w:ascii="宋体"/>
              </w:rPr>
            </w:pPr>
          </w:p>
        </w:tc>
        <w:tc>
          <w:tcPr>
            <w:tcW w:w="0" w:type="auto"/>
            <w:gridSpan w:val="3"/>
            <w:shd w:val="clear" w:color="auto" w:fill="E1E1E1"/>
            <w:tcMar>
              <w:top w:w="0" w:type="dxa"/>
              <w:left w:w="20" w:type="dxa"/>
              <w:bottom w:w="0" w:type="dxa"/>
              <w:right w:w="20" w:type="dxa"/>
            </w:tcMar>
            <w:vAlign w:val="bottom"/>
          </w:tcPr>
          <w:p w14:paraId="22CFBABA" w14:textId="77777777" w:rsidR="002661BA" w:rsidRDefault="002661B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22CFBABB" w14:textId="77777777" w:rsidR="002661BA" w:rsidRDefault="00D972BC">
            <w:pPr>
              <w:jc w:val="right"/>
              <w:textAlignment w:val="bottom"/>
            </w:pPr>
            <w:r>
              <w:rPr>
                <w:rFonts w:ascii="Arial" w:eastAsia="宋体" w:hAnsi="Arial" w:cs="Arial"/>
                <w:color w:val="000000"/>
                <w:sz w:val="18"/>
                <w:szCs w:val="18"/>
              </w:rPr>
              <w:t>701 </w:t>
            </w:r>
          </w:p>
        </w:tc>
        <w:tc>
          <w:tcPr>
            <w:tcW w:w="0" w:type="auto"/>
            <w:tcBorders>
              <w:top w:val="single" w:sz="8" w:space="0" w:color="000000"/>
            </w:tcBorders>
            <w:shd w:val="clear" w:color="auto" w:fill="E1E1E1"/>
            <w:tcMar>
              <w:top w:w="40" w:type="dxa"/>
              <w:left w:w="0" w:type="dxa"/>
              <w:bottom w:w="40" w:type="dxa"/>
              <w:right w:w="20" w:type="dxa"/>
            </w:tcMar>
            <w:vAlign w:val="bottom"/>
          </w:tcPr>
          <w:p w14:paraId="22CFBABC" w14:textId="77777777" w:rsidR="002661BA" w:rsidRDefault="002661BA">
            <w:pPr>
              <w:jc w:val="right"/>
              <w:rPr>
                <w:rFonts w:ascii="宋体"/>
              </w:rPr>
            </w:pPr>
          </w:p>
        </w:tc>
        <w:tc>
          <w:tcPr>
            <w:tcW w:w="0" w:type="auto"/>
            <w:gridSpan w:val="3"/>
            <w:shd w:val="clear" w:color="auto" w:fill="E1E1E1"/>
            <w:tcMar>
              <w:top w:w="0" w:type="dxa"/>
              <w:left w:w="20" w:type="dxa"/>
              <w:bottom w:w="0" w:type="dxa"/>
              <w:right w:w="20" w:type="dxa"/>
            </w:tcMar>
            <w:vAlign w:val="bottom"/>
          </w:tcPr>
          <w:p w14:paraId="22CFBABD" w14:textId="77777777" w:rsidR="002661BA" w:rsidRDefault="002661B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22CFBABE" w14:textId="77777777" w:rsidR="002661BA" w:rsidRDefault="00D972BC">
            <w:pPr>
              <w:jc w:val="right"/>
              <w:textAlignment w:val="bottom"/>
            </w:pPr>
            <w:r>
              <w:rPr>
                <w:rFonts w:ascii="Arial" w:eastAsia="宋体" w:hAnsi="Arial" w:cs="Arial"/>
                <w:color w:val="000000"/>
                <w:sz w:val="18"/>
                <w:szCs w:val="18"/>
              </w:rPr>
              <w:t>656 </w:t>
            </w:r>
          </w:p>
        </w:tc>
        <w:tc>
          <w:tcPr>
            <w:tcW w:w="0" w:type="auto"/>
            <w:tcBorders>
              <w:top w:val="single" w:sz="8" w:space="0" w:color="000000"/>
            </w:tcBorders>
            <w:shd w:val="clear" w:color="auto" w:fill="E1E1E1"/>
            <w:tcMar>
              <w:top w:w="40" w:type="dxa"/>
              <w:left w:w="0" w:type="dxa"/>
              <w:bottom w:w="40" w:type="dxa"/>
              <w:right w:w="20" w:type="dxa"/>
            </w:tcMar>
            <w:vAlign w:val="bottom"/>
          </w:tcPr>
          <w:p w14:paraId="22CFBABF" w14:textId="77777777" w:rsidR="002661BA" w:rsidRDefault="002661BA">
            <w:pPr>
              <w:jc w:val="right"/>
              <w:rPr>
                <w:rFonts w:ascii="宋体"/>
              </w:rPr>
            </w:pPr>
          </w:p>
        </w:tc>
      </w:tr>
      <w:tr w:rsidR="002661BA" w14:paraId="22CFBAC7" w14:textId="77777777">
        <w:tc>
          <w:tcPr>
            <w:tcW w:w="0" w:type="auto"/>
            <w:gridSpan w:val="3"/>
            <w:shd w:val="clear" w:color="auto" w:fill="FFFFFF"/>
            <w:tcMar>
              <w:top w:w="40" w:type="dxa"/>
              <w:left w:w="20" w:type="dxa"/>
              <w:bottom w:w="40" w:type="dxa"/>
              <w:right w:w="20" w:type="dxa"/>
            </w:tcMar>
            <w:vAlign w:val="bottom"/>
          </w:tcPr>
          <w:p w14:paraId="22CFBAC1" w14:textId="77777777" w:rsidR="002661BA" w:rsidRDefault="00D972BC">
            <w:pPr>
              <w:textAlignment w:val="bottom"/>
            </w:pPr>
            <w:r>
              <w:rPr>
                <w:rFonts w:ascii="Arial" w:eastAsia="宋体" w:hAnsi="Arial" w:cs="Arial"/>
                <w:color w:val="000000"/>
                <w:sz w:val="18"/>
                <w:szCs w:val="18"/>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AC2"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AC3" w14:textId="77777777" w:rsidR="002661BA" w:rsidRDefault="002661B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AC4"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AC5" w14:textId="77777777" w:rsidR="002661BA" w:rsidRDefault="002661B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AC6" w14:textId="77777777" w:rsidR="002661BA" w:rsidRDefault="002661BA">
            <w:pPr>
              <w:rPr>
                <w:rFonts w:ascii="宋体"/>
              </w:rPr>
            </w:pPr>
          </w:p>
        </w:tc>
      </w:tr>
      <w:tr w:rsidR="002661BA" w14:paraId="22CFBAD1" w14:textId="77777777">
        <w:tc>
          <w:tcPr>
            <w:tcW w:w="0" w:type="auto"/>
            <w:gridSpan w:val="3"/>
            <w:shd w:val="clear" w:color="auto" w:fill="E1E1E1"/>
            <w:tcMar>
              <w:top w:w="40" w:type="dxa"/>
              <w:left w:w="515" w:type="dxa"/>
              <w:bottom w:w="40" w:type="dxa"/>
              <w:right w:w="20" w:type="dxa"/>
            </w:tcMar>
            <w:vAlign w:val="bottom"/>
          </w:tcPr>
          <w:p w14:paraId="22CFBAC8" w14:textId="77777777" w:rsidR="002661BA" w:rsidRDefault="00D972BC">
            <w:pPr>
              <w:textAlignment w:val="bottom"/>
            </w:pPr>
            <w:r>
              <w:rPr>
                <w:rFonts w:ascii="Arial" w:eastAsia="宋体" w:hAnsi="Arial" w:cs="Arial"/>
                <w:color w:val="000000"/>
                <w:sz w:val="18"/>
                <w:szCs w:val="18"/>
              </w:rPr>
              <w:t>Sales and marketing</w:t>
            </w:r>
          </w:p>
        </w:tc>
        <w:tc>
          <w:tcPr>
            <w:tcW w:w="0" w:type="auto"/>
            <w:gridSpan w:val="2"/>
            <w:shd w:val="clear" w:color="auto" w:fill="E1E1E1"/>
            <w:tcMar>
              <w:top w:w="40" w:type="dxa"/>
              <w:left w:w="20" w:type="dxa"/>
              <w:bottom w:w="40" w:type="dxa"/>
              <w:right w:w="0" w:type="dxa"/>
            </w:tcMar>
            <w:vAlign w:val="bottom"/>
          </w:tcPr>
          <w:p w14:paraId="22CFBAC9" w14:textId="77777777" w:rsidR="002661BA" w:rsidRDefault="00D972BC">
            <w:pPr>
              <w:jc w:val="right"/>
              <w:textAlignment w:val="bottom"/>
            </w:pPr>
            <w:r>
              <w:rPr>
                <w:rFonts w:ascii="Arial" w:eastAsia="宋体" w:hAnsi="Arial" w:cs="Arial"/>
                <w:color w:val="000000"/>
                <w:sz w:val="18"/>
                <w:szCs w:val="18"/>
              </w:rPr>
              <w:t>529 </w:t>
            </w:r>
          </w:p>
        </w:tc>
        <w:tc>
          <w:tcPr>
            <w:tcW w:w="0" w:type="auto"/>
            <w:shd w:val="clear" w:color="auto" w:fill="E1E1E1"/>
            <w:tcMar>
              <w:top w:w="40" w:type="dxa"/>
              <w:left w:w="0" w:type="dxa"/>
              <w:bottom w:w="40" w:type="dxa"/>
              <w:right w:w="20" w:type="dxa"/>
            </w:tcMar>
            <w:vAlign w:val="bottom"/>
          </w:tcPr>
          <w:p w14:paraId="22CFBACA" w14:textId="77777777" w:rsidR="002661BA" w:rsidRDefault="002661BA">
            <w:pPr>
              <w:jc w:val="right"/>
              <w:rPr>
                <w:rFonts w:ascii="宋体"/>
              </w:rPr>
            </w:pPr>
          </w:p>
        </w:tc>
        <w:tc>
          <w:tcPr>
            <w:tcW w:w="0" w:type="auto"/>
            <w:gridSpan w:val="3"/>
            <w:shd w:val="clear" w:color="auto" w:fill="E1E1E1"/>
            <w:tcMar>
              <w:top w:w="0" w:type="dxa"/>
              <w:left w:w="20" w:type="dxa"/>
              <w:bottom w:w="0" w:type="dxa"/>
              <w:right w:w="20" w:type="dxa"/>
            </w:tcMar>
            <w:vAlign w:val="bottom"/>
          </w:tcPr>
          <w:p w14:paraId="22CFBACB" w14:textId="77777777" w:rsidR="002661BA" w:rsidRDefault="002661BA">
            <w:pPr>
              <w:rPr>
                <w:rFonts w:ascii="宋体"/>
              </w:rPr>
            </w:pPr>
          </w:p>
        </w:tc>
        <w:tc>
          <w:tcPr>
            <w:tcW w:w="0" w:type="auto"/>
            <w:gridSpan w:val="2"/>
            <w:shd w:val="clear" w:color="auto" w:fill="E1E1E1"/>
            <w:tcMar>
              <w:top w:w="40" w:type="dxa"/>
              <w:left w:w="20" w:type="dxa"/>
              <w:bottom w:w="40" w:type="dxa"/>
              <w:right w:w="0" w:type="dxa"/>
            </w:tcMar>
            <w:vAlign w:val="bottom"/>
          </w:tcPr>
          <w:p w14:paraId="22CFBACC" w14:textId="77777777" w:rsidR="002661BA" w:rsidRDefault="00D972BC">
            <w:pPr>
              <w:jc w:val="right"/>
              <w:textAlignment w:val="bottom"/>
            </w:pPr>
            <w:r>
              <w:rPr>
                <w:rFonts w:ascii="Arial" w:eastAsia="宋体" w:hAnsi="Arial" w:cs="Arial"/>
                <w:color w:val="000000"/>
                <w:sz w:val="18"/>
                <w:szCs w:val="18"/>
              </w:rPr>
              <w:t>548 </w:t>
            </w:r>
          </w:p>
        </w:tc>
        <w:tc>
          <w:tcPr>
            <w:tcW w:w="0" w:type="auto"/>
            <w:shd w:val="clear" w:color="auto" w:fill="E1E1E1"/>
            <w:tcMar>
              <w:top w:w="40" w:type="dxa"/>
              <w:left w:w="0" w:type="dxa"/>
              <w:bottom w:w="40" w:type="dxa"/>
              <w:right w:w="20" w:type="dxa"/>
            </w:tcMar>
            <w:vAlign w:val="bottom"/>
          </w:tcPr>
          <w:p w14:paraId="22CFBACD" w14:textId="77777777" w:rsidR="002661BA" w:rsidRDefault="002661BA">
            <w:pPr>
              <w:jc w:val="right"/>
              <w:rPr>
                <w:rFonts w:ascii="宋体"/>
              </w:rPr>
            </w:pPr>
          </w:p>
        </w:tc>
        <w:tc>
          <w:tcPr>
            <w:tcW w:w="0" w:type="auto"/>
            <w:gridSpan w:val="3"/>
            <w:shd w:val="clear" w:color="auto" w:fill="E1E1E1"/>
            <w:tcMar>
              <w:top w:w="0" w:type="dxa"/>
              <w:left w:w="20" w:type="dxa"/>
              <w:bottom w:w="0" w:type="dxa"/>
              <w:right w:w="20" w:type="dxa"/>
            </w:tcMar>
            <w:vAlign w:val="bottom"/>
          </w:tcPr>
          <w:p w14:paraId="22CFBACE" w14:textId="77777777" w:rsidR="002661BA" w:rsidRDefault="002661BA">
            <w:pPr>
              <w:rPr>
                <w:rFonts w:ascii="宋体"/>
              </w:rPr>
            </w:pPr>
          </w:p>
        </w:tc>
        <w:tc>
          <w:tcPr>
            <w:tcW w:w="0" w:type="auto"/>
            <w:gridSpan w:val="2"/>
            <w:shd w:val="clear" w:color="auto" w:fill="E1E1E1"/>
            <w:tcMar>
              <w:top w:w="40" w:type="dxa"/>
              <w:left w:w="20" w:type="dxa"/>
              <w:bottom w:w="40" w:type="dxa"/>
              <w:right w:w="0" w:type="dxa"/>
            </w:tcMar>
            <w:vAlign w:val="bottom"/>
          </w:tcPr>
          <w:p w14:paraId="22CFBACF" w14:textId="77777777" w:rsidR="002661BA" w:rsidRDefault="00D972BC">
            <w:pPr>
              <w:jc w:val="right"/>
              <w:textAlignment w:val="bottom"/>
            </w:pPr>
            <w:r>
              <w:rPr>
                <w:rFonts w:ascii="Arial" w:eastAsia="宋体" w:hAnsi="Arial" w:cs="Arial"/>
                <w:color w:val="000000"/>
                <w:sz w:val="18"/>
                <w:szCs w:val="18"/>
              </w:rPr>
              <w:t>502 </w:t>
            </w:r>
          </w:p>
        </w:tc>
        <w:tc>
          <w:tcPr>
            <w:tcW w:w="0" w:type="auto"/>
            <w:shd w:val="clear" w:color="auto" w:fill="E1E1E1"/>
            <w:tcMar>
              <w:top w:w="40" w:type="dxa"/>
              <w:left w:w="0" w:type="dxa"/>
              <w:bottom w:w="40" w:type="dxa"/>
              <w:right w:w="20" w:type="dxa"/>
            </w:tcMar>
            <w:vAlign w:val="bottom"/>
          </w:tcPr>
          <w:p w14:paraId="22CFBAD0" w14:textId="77777777" w:rsidR="002661BA" w:rsidRDefault="002661BA">
            <w:pPr>
              <w:jc w:val="right"/>
              <w:rPr>
                <w:rFonts w:ascii="宋体"/>
              </w:rPr>
            </w:pPr>
          </w:p>
        </w:tc>
      </w:tr>
      <w:tr w:rsidR="002661BA" w14:paraId="22CFBADB" w14:textId="77777777">
        <w:tc>
          <w:tcPr>
            <w:tcW w:w="0" w:type="auto"/>
            <w:gridSpan w:val="3"/>
            <w:shd w:val="clear" w:color="auto" w:fill="FFFFFF"/>
            <w:tcMar>
              <w:top w:w="40" w:type="dxa"/>
              <w:left w:w="515" w:type="dxa"/>
              <w:bottom w:w="40" w:type="dxa"/>
              <w:right w:w="20" w:type="dxa"/>
            </w:tcMar>
            <w:vAlign w:val="bottom"/>
          </w:tcPr>
          <w:p w14:paraId="22CFBAD2" w14:textId="77777777" w:rsidR="002661BA" w:rsidRDefault="00D972BC">
            <w:pPr>
              <w:textAlignment w:val="bottom"/>
            </w:pPr>
            <w:r>
              <w:rPr>
                <w:rFonts w:ascii="Arial" w:eastAsia="宋体" w:hAnsi="Arial" w:cs="Arial"/>
                <w:color w:val="000000"/>
                <w:sz w:val="18"/>
                <w:szCs w:val="18"/>
              </w:rPr>
              <w:t>Product development</w:t>
            </w:r>
          </w:p>
        </w:tc>
        <w:tc>
          <w:tcPr>
            <w:tcW w:w="0" w:type="auto"/>
            <w:gridSpan w:val="2"/>
            <w:shd w:val="clear" w:color="auto" w:fill="FFFFFF"/>
            <w:tcMar>
              <w:top w:w="40" w:type="dxa"/>
              <w:left w:w="20" w:type="dxa"/>
              <w:bottom w:w="40" w:type="dxa"/>
              <w:right w:w="0" w:type="dxa"/>
            </w:tcMar>
            <w:vAlign w:val="bottom"/>
          </w:tcPr>
          <w:p w14:paraId="22CFBAD3" w14:textId="77777777" w:rsidR="002661BA" w:rsidRDefault="00D972BC">
            <w:pPr>
              <w:jc w:val="right"/>
              <w:textAlignment w:val="bottom"/>
            </w:pPr>
            <w:r>
              <w:rPr>
                <w:rFonts w:ascii="Arial" w:eastAsia="宋体" w:hAnsi="Arial" w:cs="Arial"/>
                <w:color w:val="000000"/>
                <w:sz w:val="18"/>
                <w:szCs w:val="18"/>
              </w:rPr>
              <w:t>64 </w:t>
            </w:r>
          </w:p>
        </w:tc>
        <w:tc>
          <w:tcPr>
            <w:tcW w:w="0" w:type="auto"/>
            <w:shd w:val="clear" w:color="auto" w:fill="FFFFFF"/>
            <w:tcMar>
              <w:top w:w="40" w:type="dxa"/>
              <w:left w:w="0" w:type="dxa"/>
              <w:bottom w:w="40" w:type="dxa"/>
              <w:right w:w="20" w:type="dxa"/>
            </w:tcMar>
            <w:vAlign w:val="bottom"/>
          </w:tcPr>
          <w:p w14:paraId="22CFBAD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AD5"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AD6" w14:textId="77777777" w:rsidR="002661BA" w:rsidRDefault="00D972BC">
            <w:pPr>
              <w:jc w:val="right"/>
              <w:textAlignment w:val="bottom"/>
            </w:pPr>
            <w:r>
              <w:rPr>
                <w:rFonts w:ascii="Arial" w:eastAsia="宋体" w:hAnsi="Arial" w:cs="Arial"/>
                <w:color w:val="000000"/>
                <w:sz w:val="18"/>
                <w:szCs w:val="18"/>
              </w:rPr>
              <w:t>59 </w:t>
            </w:r>
          </w:p>
        </w:tc>
        <w:tc>
          <w:tcPr>
            <w:tcW w:w="0" w:type="auto"/>
            <w:shd w:val="clear" w:color="auto" w:fill="FFFFFF"/>
            <w:tcMar>
              <w:top w:w="40" w:type="dxa"/>
              <w:left w:w="0" w:type="dxa"/>
              <w:bottom w:w="40" w:type="dxa"/>
              <w:right w:w="20" w:type="dxa"/>
            </w:tcMar>
            <w:vAlign w:val="bottom"/>
          </w:tcPr>
          <w:p w14:paraId="22CFBAD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AD8"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AD9" w14:textId="77777777" w:rsidR="002661BA" w:rsidRDefault="00D972BC">
            <w:pPr>
              <w:jc w:val="right"/>
              <w:textAlignment w:val="bottom"/>
            </w:pPr>
            <w:r>
              <w:rPr>
                <w:rFonts w:ascii="Arial" w:eastAsia="宋体" w:hAnsi="Arial" w:cs="Arial"/>
                <w:color w:val="000000"/>
                <w:sz w:val="18"/>
                <w:szCs w:val="18"/>
              </w:rPr>
              <w:t>46 </w:t>
            </w:r>
          </w:p>
        </w:tc>
        <w:tc>
          <w:tcPr>
            <w:tcW w:w="0" w:type="auto"/>
            <w:shd w:val="clear" w:color="auto" w:fill="FFFFFF"/>
            <w:tcMar>
              <w:top w:w="40" w:type="dxa"/>
              <w:left w:w="0" w:type="dxa"/>
              <w:bottom w:w="40" w:type="dxa"/>
              <w:right w:w="20" w:type="dxa"/>
            </w:tcMar>
            <w:vAlign w:val="bottom"/>
          </w:tcPr>
          <w:p w14:paraId="22CFBADA" w14:textId="77777777" w:rsidR="002661BA" w:rsidRDefault="002661BA">
            <w:pPr>
              <w:jc w:val="right"/>
              <w:rPr>
                <w:rFonts w:ascii="宋体"/>
              </w:rPr>
            </w:pPr>
          </w:p>
        </w:tc>
      </w:tr>
      <w:tr w:rsidR="002661BA" w14:paraId="22CFBAE5" w14:textId="77777777">
        <w:tc>
          <w:tcPr>
            <w:tcW w:w="0" w:type="auto"/>
            <w:gridSpan w:val="3"/>
            <w:shd w:val="clear" w:color="auto" w:fill="E1E1E1"/>
            <w:tcMar>
              <w:top w:w="40" w:type="dxa"/>
              <w:left w:w="515" w:type="dxa"/>
              <w:bottom w:w="40" w:type="dxa"/>
              <w:right w:w="20" w:type="dxa"/>
            </w:tcMar>
            <w:vAlign w:val="bottom"/>
          </w:tcPr>
          <w:p w14:paraId="22CFBADC" w14:textId="77777777" w:rsidR="002661BA" w:rsidRDefault="00D972BC">
            <w:pPr>
              <w:textAlignment w:val="bottom"/>
            </w:pPr>
            <w:r>
              <w:rPr>
                <w:rFonts w:ascii="Arial" w:eastAsia="宋体" w:hAnsi="Arial" w:cs="Arial"/>
                <w:color w:val="000000"/>
                <w:sz w:val="18"/>
                <w:szCs w:val="18"/>
              </w:rPr>
              <w:t>General and administrative</w:t>
            </w:r>
          </w:p>
        </w:tc>
        <w:tc>
          <w:tcPr>
            <w:tcW w:w="0" w:type="auto"/>
            <w:gridSpan w:val="2"/>
            <w:shd w:val="clear" w:color="auto" w:fill="E1E1E1"/>
            <w:tcMar>
              <w:top w:w="40" w:type="dxa"/>
              <w:left w:w="20" w:type="dxa"/>
              <w:bottom w:w="40" w:type="dxa"/>
              <w:right w:w="0" w:type="dxa"/>
            </w:tcMar>
            <w:vAlign w:val="bottom"/>
          </w:tcPr>
          <w:p w14:paraId="22CFBADD" w14:textId="77777777" w:rsidR="002661BA" w:rsidRDefault="00D972BC">
            <w:pPr>
              <w:jc w:val="right"/>
              <w:textAlignment w:val="bottom"/>
            </w:pPr>
            <w:r>
              <w:rPr>
                <w:rFonts w:ascii="Arial" w:eastAsia="宋体" w:hAnsi="Arial" w:cs="Arial"/>
                <w:color w:val="000000"/>
                <w:sz w:val="18"/>
                <w:szCs w:val="18"/>
              </w:rPr>
              <w:t>38 </w:t>
            </w:r>
          </w:p>
        </w:tc>
        <w:tc>
          <w:tcPr>
            <w:tcW w:w="0" w:type="auto"/>
            <w:shd w:val="clear" w:color="auto" w:fill="E1E1E1"/>
            <w:tcMar>
              <w:top w:w="40" w:type="dxa"/>
              <w:left w:w="0" w:type="dxa"/>
              <w:bottom w:w="40" w:type="dxa"/>
              <w:right w:w="20" w:type="dxa"/>
            </w:tcMar>
            <w:vAlign w:val="bottom"/>
          </w:tcPr>
          <w:p w14:paraId="22CFBADE" w14:textId="77777777" w:rsidR="002661BA" w:rsidRDefault="002661BA">
            <w:pPr>
              <w:jc w:val="right"/>
              <w:rPr>
                <w:rFonts w:ascii="宋体"/>
              </w:rPr>
            </w:pPr>
          </w:p>
        </w:tc>
        <w:tc>
          <w:tcPr>
            <w:tcW w:w="0" w:type="auto"/>
            <w:gridSpan w:val="3"/>
            <w:shd w:val="clear" w:color="auto" w:fill="E1E1E1"/>
            <w:tcMar>
              <w:top w:w="0" w:type="dxa"/>
              <w:left w:w="20" w:type="dxa"/>
              <w:bottom w:w="0" w:type="dxa"/>
              <w:right w:w="20" w:type="dxa"/>
            </w:tcMar>
            <w:vAlign w:val="bottom"/>
          </w:tcPr>
          <w:p w14:paraId="22CFBADF" w14:textId="77777777" w:rsidR="002661BA" w:rsidRDefault="002661BA">
            <w:pPr>
              <w:rPr>
                <w:rFonts w:ascii="宋体"/>
              </w:rPr>
            </w:pPr>
          </w:p>
        </w:tc>
        <w:tc>
          <w:tcPr>
            <w:tcW w:w="0" w:type="auto"/>
            <w:gridSpan w:val="2"/>
            <w:shd w:val="clear" w:color="auto" w:fill="E1E1E1"/>
            <w:tcMar>
              <w:top w:w="40" w:type="dxa"/>
              <w:left w:w="20" w:type="dxa"/>
              <w:bottom w:w="40" w:type="dxa"/>
              <w:right w:w="0" w:type="dxa"/>
            </w:tcMar>
            <w:vAlign w:val="bottom"/>
          </w:tcPr>
          <w:p w14:paraId="22CFBAE0" w14:textId="77777777" w:rsidR="002661BA" w:rsidRDefault="00D972BC">
            <w:pPr>
              <w:jc w:val="right"/>
              <w:textAlignment w:val="bottom"/>
            </w:pPr>
            <w:r>
              <w:rPr>
                <w:rFonts w:ascii="Arial" w:eastAsia="宋体" w:hAnsi="Arial" w:cs="Arial"/>
                <w:color w:val="000000"/>
                <w:sz w:val="18"/>
                <w:szCs w:val="18"/>
              </w:rPr>
              <w:t>18 </w:t>
            </w:r>
          </w:p>
        </w:tc>
        <w:tc>
          <w:tcPr>
            <w:tcW w:w="0" w:type="auto"/>
            <w:shd w:val="clear" w:color="auto" w:fill="E1E1E1"/>
            <w:tcMar>
              <w:top w:w="40" w:type="dxa"/>
              <w:left w:w="0" w:type="dxa"/>
              <w:bottom w:w="40" w:type="dxa"/>
              <w:right w:w="20" w:type="dxa"/>
            </w:tcMar>
            <w:vAlign w:val="bottom"/>
          </w:tcPr>
          <w:p w14:paraId="22CFBAE1" w14:textId="77777777" w:rsidR="002661BA" w:rsidRDefault="002661BA">
            <w:pPr>
              <w:jc w:val="right"/>
              <w:rPr>
                <w:rFonts w:ascii="宋体"/>
              </w:rPr>
            </w:pPr>
          </w:p>
        </w:tc>
        <w:tc>
          <w:tcPr>
            <w:tcW w:w="0" w:type="auto"/>
            <w:gridSpan w:val="3"/>
            <w:shd w:val="clear" w:color="auto" w:fill="E1E1E1"/>
            <w:tcMar>
              <w:top w:w="0" w:type="dxa"/>
              <w:left w:w="20" w:type="dxa"/>
              <w:bottom w:w="0" w:type="dxa"/>
              <w:right w:w="20" w:type="dxa"/>
            </w:tcMar>
            <w:vAlign w:val="bottom"/>
          </w:tcPr>
          <w:p w14:paraId="22CFBAE2" w14:textId="77777777" w:rsidR="002661BA" w:rsidRDefault="002661BA">
            <w:pPr>
              <w:rPr>
                <w:rFonts w:ascii="宋体"/>
              </w:rPr>
            </w:pPr>
          </w:p>
        </w:tc>
        <w:tc>
          <w:tcPr>
            <w:tcW w:w="0" w:type="auto"/>
            <w:gridSpan w:val="2"/>
            <w:shd w:val="clear" w:color="auto" w:fill="E1E1E1"/>
            <w:tcMar>
              <w:top w:w="40" w:type="dxa"/>
              <w:left w:w="20" w:type="dxa"/>
              <w:bottom w:w="40" w:type="dxa"/>
              <w:right w:w="0" w:type="dxa"/>
            </w:tcMar>
            <w:vAlign w:val="bottom"/>
          </w:tcPr>
          <w:p w14:paraId="22CFBAE3" w14:textId="77777777" w:rsidR="002661BA" w:rsidRDefault="00D972BC">
            <w:pPr>
              <w:jc w:val="right"/>
              <w:textAlignment w:val="bottom"/>
            </w:pPr>
            <w:r>
              <w:rPr>
                <w:rFonts w:ascii="Arial" w:eastAsia="宋体" w:hAnsi="Arial" w:cs="Arial"/>
                <w:color w:val="000000"/>
                <w:sz w:val="18"/>
                <w:szCs w:val="18"/>
              </w:rPr>
              <w:t>17 </w:t>
            </w:r>
          </w:p>
        </w:tc>
        <w:tc>
          <w:tcPr>
            <w:tcW w:w="0" w:type="auto"/>
            <w:shd w:val="clear" w:color="auto" w:fill="E1E1E1"/>
            <w:tcMar>
              <w:top w:w="40" w:type="dxa"/>
              <w:left w:w="0" w:type="dxa"/>
              <w:bottom w:w="40" w:type="dxa"/>
              <w:right w:w="20" w:type="dxa"/>
            </w:tcMar>
            <w:vAlign w:val="bottom"/>
          </w:tcPr>
          <w:p w14:paraId="22CFBAE4" w14:textId="77777777" w:rsidR="002661BA" w:rsidRDefault="002661BA">
            <w:pPr>
              <w:jc w:val="right"/>
              <w:rPr>
                <w:rFonts w:ascii="宋体"/>
              </w:rPr>
            </w:pPr>
          </w:p>
        </w:tc>
      </w:tr>
      <w:tr w:rsidR="002661BA" w14:paraId="22CFBAEF" w14:textId="77777777">
        <w:tc>
          <w:tcPr>
            <w:tcW w:w="0" w:type="auto"/>
            <w:gridSpan w:val="3"/>
            <w:shd w:val="clear" w:color="auto" w:fill="FFFFFF"/>
            <w:tcMar>
              <w:top w:w="40" w:type="dxa"/>
              <w:left w:w="515" w:type="dxa"/>
              <w:bottom w:w="40" w:type="dxa"/>
              <w:right w:w="20" w:type="dxa"/>
            </w:tcMar>
            <w:vAlign w:val="bottom"/>
          </w:tcPr>
          <w:p w14:paraId="22CFBAE6" w14:textId="77777777" w:rsidR="002661BA" w:rsidRDefault="00D972BC">
            <w:pPr>
              <w:textAlignment w:val="bottom"/>
            </w:pPr>
            <w:r>
              <w:rPr>
                <w:rFonts w:ascii="Arial" w:eastAsia="宋体" w:hAnsi="Arial" w:cs="Arial"/>
                <w:color w:val="000000"/>
                <w:sz w:val="18"/>
                <w:szCs w:val="18"/>
              </w:rPr>
              <w:t>Provision for transaction losses</w:t>
            </w:r>
          </w:p>
        </w:tc>
        <w:tc>
          <w:tcPr>
            <w:tcW w:w="0" w:type="auto"/>
            <w:gridSpan w:val="2"/>
            <w:shd w:val="clear" w:color="auto" w:fill="FFFFFF"/>
            <w:tcMar>
              <w:top w:w="40" w:type="dxa"/>
              <w:left w:w="20" w:type="dxa"/>
              <w:bottom w:w="40" w:type="dxa"/>
              <w:right w:w="0" w:type="dxa"/>
            </w:tcMar>
            <w:vAlign w:val="bottom"/>
          </w:tcPr>
          <w:p w14:paraId="22CFBAE7"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AE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AE9"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AEA" w14:textId="77777777" w:rsidR="002661BA" w:rsidRDefault="00D972BC">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22CFBAE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AE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AED"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AEE" w14:textId="77777777" w:rsidR="002661BA" w:rsidRDefault="002661BA">
            <w:pPr>
              <w:jc w:val="right"/>
              <w:rPr>
                <w:rFonts w:ascii="宋体"/>
              </w:rPr>
            </w:pPr>
          </w:p>
        </w:tc>
      </w:tr>
      <w:tr w:rsidR="002661BA" w14:paraId="22CFBAF6" w14:textId="77777777">
        <w:trPr>
          <w:hidden/>
        </w:trPr>
        <w:tc>
          <w:tcPr>
            <w:tcW w:w="0" w:type="auto"/>
            <w:gridSpan w:val="3"/>
            <w:shd w:val="clear" w:color="auto" w:fill="auto"/>
            <w:vAlign w:val="bottom"/>
          </w:tcPr>
          <w:p w14:paraId="22CFBAF0" w14:textId="77777777" w:rsidR="002661BA" w:rsidRDefault="002661BA">
            <w:pPr>
              <w:rPr>
                <w:rFonts w:ascii="宋体"/>
                <w:vanish/>
              </w:rPr>
            </w:pPr>
          </w:p>
        </w:tc>
        <w:tc>
          <w:tcPr>
            <w:tcW w:w="0" w:type="auto"/>
            <w:gridSpan w:val="3"/>
            <w:shd w:val="clear" w:color="auto" w:fill="auto"/>
            <w:vAlign w:val="bottom"/>
          </w:tcPr>
          <w:p w14:paraId="22CFBAF1" w14:textId="77777777" w:rsidR="002661BA" w:rsidRDefault="002661BA">
            <w:pPr>
              <w:rPr>
                <w:rFonts w:ascii="宋体"/>
                <w:vanish/>
              </w:rPr>
            </w:pPr>
          </w:p>
        </w:tc>
        <w:tc>
          <w:tcPr>
            <w:tcW w:w="0" w:type="auto"/>
            <w:gridSpan w:val="3"/>
            <w:shd w:val="clear" w:color="auto" w:fill="auto"/>
            <w:vAlign w:val="bottom"/>
          </w:tcPr>
          <w:p w14:paraId="22CFBAF2" w14:textId="77777777" w:rsidR="002661BA" w:rsidRDefault="002661BA">
            <w:pPr>
              <w:rPr>
                <w:rFonts w:ascii="宋体"/>
                <w:vanish/>
              </w:rPr>
            </w:pPr>
          </w:p>
        </w:tc>
        <w:tc>
          <w:tcPr>
            <w:tcW w:w="0" w:type="auto"/>
            <w:gridSpan w:val="3"/>
            <w:shd w:val="clear" w:color="auto" w:fill="auto"/>
            <w:vAlign w:val="bottom"/>
          </w:tcPr>
          <w:p w14:paraId="22CFBAF3" w14:textId="77777777" w:rsidR="002661BA" w:rsidRDefault="002661BA">
            <w:pPr>
              <w:rPr>
                <w:rFonts w:ascii="宋体"/>
                <w:vanish/>
              </w:rPr>
            </w:pPr>
          </w:p>
        </w:tc>
        <w:tc>
          <w:tcPr>
            <w:tcW w:w="0" w:type="auto"/>
            <w:gridSpan w:val="3"/>
            <w:shd w:val="clear" w:color="auto" w:fill="auto"/>
            <w:vAlign w:val="bottom"/>
          </w:tcPr>
          <w:p w14:paraId="22CFBAF4" w14:textId="77777777" w:rsidR="002661BA" w:rsidRDefault="002661BA">
            <w:pPr>
              <w:rPr>
                <w:rFonts w:ascii="宋体"/>
                <w:vanish/>
              </w:rPr>
            </w:pPr>
          </w:p>
        </w:tc>
        <w:tc>
          <w:tcPr>
            <w:tcW w:w="0" w:type="auto"/>
            <w:gridSpan w:val="3"/>
            <w:shd w:val="clear" w:color="auto" w:fill="auto"/>
            <w:vAlign w:val="bottom"/>
          </w:tcPr>
          <w:p w14:paraId="22CFBAF5" w14:textId="77777777" w:rsidR="002661BA" w:rsidRDefault="002661BA">
            <w:pPr>
              <w:rPr>
                <w:rFonts w:ascii="宋体"/>
                <w:vanish/>
              </w:rPr>
            </w:pPr>
          </w:p>
        </w:tc>
      </w:tr>
      <w:tr w:rsidR="002661BA" w14:paraId="22CFBB00" w14:textId="77777777">
        <w:tc>
          <w:tcPr>
            <w:tcW w:w="0" w:type="auto"/>
            <w:gridSpan w:val="3"/>
            <w:shd w:val="clear" w:color="auto" w:fill="E1E1E1"/>
            <w:tcMar>
              <w:top w:w="40" w:type="dxa"/>
              <w:left w:w="875" w:type="dxa"/>
              <w:bottom w:w="40" w:type="dxa"/>
              <w:right w:w="20" w:type="dxa"/>
            </w:tcMar>
            <w:vAlign w:val="bottom"/>
          </w:tcPr>
          <w:p w14:paraId="22CFBAF7" w14:textId="77777777" w:rsidR="002661BA" w:rsidRDefault="00D972BC">
            <w:pPr>
              <w:textAlignment w:val="bottom"/>
            </w:pPr>
            <w:r>
              <w:rPr>
                <w:rFonts w:ascii="Arial" w:eastAsia="宋体" w:hAnsi="Arial" w:cs="Arial"/>
                <w:color w:val="000000"/>
                <w:sz w:val="18"/>
                <w:szCs w:val="18"/>
              </w:rPr>
              <w:t>Total operating expenses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22CFBAF8" w14:textId="77777777" w:rsidR="002661BA" w:rsidRDefault="00D972BC">
            <w:pPr>
              <w:jc w:val="right"/>
              <w:textAlignment w:val="bottom"/>
            </w:pPr>
            <w:r>
              <w:rPr>
                <w:rFonts w:ascii="Arial" w:eastAsia="宋体" w:hAnsi="Arial" w:cs="Arial"/>
                <w:color w:val="000000"/>
                <w:sz w:val="18"/>
                <w:szCs w:val="18"/>
              </w:rPr>
              <w:t>631 </w:t>
            </w:r>
          </w:p>
        </w:tc>
        <w:tc>
          <w:tcPr>
            <w:tcW w:w="0" w:type="auto"/>
            <w:tcBorders>
              <w:top w:val="single" w:sz="8" w:space="0" w:color="000000"/>
            </w:tcBorders>
            <w:shd w:val="clear" w:color="auto" w:fill="E1E1E1"/>
            <w:tcMar>
              <w:top w:w="40" w:type="dxa"/>
              <w:left w:w="0" w:type="dxa"/>
              <w:bottom w:w="40" w:type="dxa"/>
              <w:right w:w="20" w:type="dxa"/>
            </w:tcMar>
            <w:vAlign w:val="bottom"/>
          </w:tcPr>
          <w:p w14:paraId="22CFBAF9" w14:textId="77777777" w:rsidR="002661BA" w:rsidRDefault="002661BA">
            <w:pPr>
              <w:jc w:val="right"/>
              <w:rPr>
                <w:rFonts w:ascii="宋体"/>
              </w:rPr>
            </w:pPr>
          </w:p>
        </w:tc>
        <w:tc>
          <w:tcPr>
            <w:tcW w:w="0" w:type="auto"/>
            <w:gridSpan w:val="3"/>
            <w:shd w:val="clear" w:color="auto" w:fill="E1E1E1"/>
            <w:tcMar>
              <w:top w:w="0" w:type="dxa"/>
              <w:left w:w="20" w:type="dxa"/>
              <w:bottom w:w="0" w:type="dxa"/>
              <w:right w:w="20" w:type="dxa"/>
            </w:tcMar>
            <w:vAlign w:val="bottom"/>
          </w:tcPr>
          <w:p w14:paraId="22CFBAFA" w14:textId="77777777" w:rsidR="002661BA" w:rsidRDefault="002661B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22CFBAFB" w14:textId="77777777" w:rsidR="002661BA" w:rsidRDefault="00D972BC">
            <w:pPr>
              <w:jc w:val="right"/>
              <w:textAlignment w:val="bottom"/>
            </w:pPr>
            <w:r>
              <w:rPr>
                <w:rFonts w:ascii="Arial" w:eastAsia="宋体" w:hAnsi="Arial" w:cs="Arial"/>
                <w:color w:val="000000"/>
                <w:sz w:val="18"/>
                <w:szCs w:val="18"/>
              </w:rPr>
              <w:t>626 </w:t>
            </w:r>
          </w:p>
        </w:tc>
        <w:tc>
          <w:tcPr>
            <w:tcW w:w="0" w:type="auto"/>
            <w:tcBorders>
              <w:top w:val="single" w:sz="8" w:space="0" w:color="000000"/>
            </w:tcBorders>
            <w:shd w:val="clear" w:color="auto" w:fill="E1E1E1"/>
            <w:tcMar>
              <w:top w:w="40" w:type="dxa"/>
              <w:left w:w="0" w:type="dxa"/>
              <w:bottom w:w="40" w:type="dxa"/>
              <w:right w:w="20" w:type="dxa"/>
            </w:tcMar>
            <w:vAlign w:val="bottom"/>
          </w:tcPr>
          <w:p w14:paraId="22CFBAFC" w14:textId="77777777" w:rsidR="002661BA" w:rsidRDefault="002661BA">
            <w:pPr>
              <w:jc w:val="right"/>
              <w:rPr>
                <w:rFonts w:ascii="宋体"/>
              </w:rPr>
            </w:pPr>
          </w:p>
        </w:tc>
        <w:tc>
          <w:tcPr>
            <w:tcW w:w="0" w:type="auto"/>
            <w:gridSpan w:val="3"/>
            <w:shd w:val="clear" w:color="auto" w:fill="E1E1E1"/>
            <w:tcMar>
              <w:top w:w="0" w:type="dxa"/>
              <w:left w:w="20" w:type="dxa"/>
              <w:bottom w:w="0" w:type="dxa"/>
              <w:right w:w="20" w:type="dxa"/>
            </w:tcMar>
            <w:vAlign w:val="bottom"/>
          </w:tcPr>
          <w:p w14:paraId="22CFBAFD" w14:textId="77777777" w:rsidR="002661BA" w:rsidRDefault="002661B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22CFBAFE" w14:textId="77777777" w:rsidR="002661BA" w:rsidRDefault="00D972BC">
            <w:pPr>
              <w:jc w:val="right"/>
              <w:textAlignment w:val="bottom"/>
            </w:pPr>
            <w:r>
              <w:rPr>
                <w:rFonts w:ascii="Arial" w:eastAsia="宋体" w:hAnsi="Arial" w:cs="Arial"/>
                <w:color w:val="000000"/>
                <w:sz w:val="18"/>
                <w:szCs w:val="18"/>
              </w:rPr>
              <w:t>565 </w:t>
            </w:r>
          </w:p>
        </w:tc>
        <w:tc>
          <w:tcPr>
            <w:tcW w:w="0" w:type="auto"/>
            <w:tcBorders>
              <w:top w:val="single" w:sz="8" w:space="0" w:color="000000"/>
            </w:tcBorders>
            <w:shd w:val="clear" w:color="auto" w:fill="E1E1E1"/>
            <w:tcMar>
              <w:top w:w="40" w:type="dxa"/>
              <w:left w:w="0" w:type="dxa"/>
              <w:bottom w:w="40" w:type="dxa"/>
              <w:right w:w="20" w:type="dxa"/>
            </w:tcMar>
            <w:vAlign w:val="bottom"/>
          </w:tcPr>
          <w:p w14:paraId="22CFBAFF" w14:textId="77777777" w:rsidR="002661BA" w:rsidRDefault="002661BA">
            <w:pPr>
              <w:jc w:val="right"/>
              <w:rPr>
                <w:rFonts w:ascii="宋体"/>
              </w:rPr>
            </w:pPr>
          </w:p>
        </w:tc>
      </w:tr>
      <w:tr w:rsidR="002661BA" w14:paraId="22CFBB0A" w14:textId="77777777">
        <w:tc>
          <w:tcPr>
            <w:tcW w:w="0" w:type="auto"/>
            <w:gridSpan w:val="3"/>
            <w:shd w:val="clear" w:color="auto" w:fill="FFFFFF"/>
            <w:tcMar>
              <w:top w:w="40" w:type="dxa"/>
              <w:left w:w="20" w:type="dxa"/>
              <w:bottom w:w="40" w:type="dxa"/>
              <w:right w:w="20" w:type="dxa"/>
            </w:tcMar>
            <w:vAlign w:val="bottom"/>
          </w:tcPr>
          <w:p w14:paraId="22CFBB01" w14:textId="77777777" w:rsidR="002661BA" w:rsidRDefault="00D972BC">
            <w:pPr>
              <w:textAlignment w:val="bottom"/>
            </w:pPr>
            <w:r>
              <w:rPr>
                <w:rFonts w:ascii="Arial" w:eastAsia="宋体" w:hAnsi="Arial" w:cs="Arial"/>
                <w:color w:val="000000"/>
                <w:sz w:val="18"/>
                <w:szCs w:val="18"/>
              </w:rPr>
              <w:t>Income (loss) from operations of discontinued operations</w:t>
            </w:r>
          </w:p>
        </w:tc>
        <w:tc>
          <w:tcPr>
            <w:tcW w:w="0" w:type="auto"/>
            <w:gridSpan w:val="2"/>
            <w:shd w:val="clear" w:color="auto" w:fill="FFFFFF"/>
            <w:tcMar>
              <w:top w:w="40" w:type="dxa"/>
              <w:left w:w="20" w:type="dxa"/>
              <w:bottom w:w="40" w:type="dxa"/>
              <w:right w:w="0" w:type="dxa"/>
            </w:tcMar>
            <w:vAlign w:val="bottom"/>
          </w:tcPr>
          <w:p w14:paraId="22CFBB02" w14:textId="77777777" w:rsidR="002661BA" w:rsidRDefault="00D972BC">
            <w:pPr>
              <w:jc w:val="right"/>
              <w:textAlignment w:val="bottom"/>
            </w:pPr>
            <w:r>
              <w:rPr>
                <w:rFonts w:ascii="Arial" w:eastAsia="宋体" w:hAnsi="Arial" w:cs="Arial"/>
                <w:color w:val="000000"/>
                <w:sz w:val="18"/>
                <w:szCs w:val="18"/>
              </w:rPr>
              <w:t>(37)</w:t>
            </w:r>
          </w:p>
        </w:tc>
        <w:tc>
          <w:tcPr>
            <w:tcW w:w="0" w:type="auto"/>
            <w:shd w:val="clear" w:color="auto" w:fill="FFFFFF"/>
            <w:tcMar>
              <w:top w:w="40" w:type="dxa"/>
              <w:left w:w="0" w:type="dxa"/>
              <w:bottom w:w="40" w:type="dxa"/>
              <w:right w:w="20" w:type="dxa"/>
            </w:tcMar>
            <w:vAlign w:val="bottom"/>
          </w:tcPr>
          <w:p w14:paraId="22CFBB0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B04"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B05" w14:textId="77777777" w:rsidR="002661BA" w:rsidRDefault="00D972BC">
            <w:pPr>
              <w:jc w:val="right"/>
              <w:textAlignment w:val="bottom"/>
            </w:pPr>
            <w:r>
              <w:rPr>
                <w:rFonts w:ascii="Arial" w:eastAsia="宋体" w:hAnsi="Arial" w:cs="Arial"/>
                <w:color w:val="000000"/>
                <w:sz w:val="18"/>
                <w:szCs w:val="18"/>
              </w:rPr>
              <w:t>75 </w:t>
            </w:r>
          </w:p>
        </w:tc>
        <w:tc>
          <w:tcPr>
            <w:tcW w:w="0" w:type="auto"/>
            <w:shd w:val="clear" w:color="auto" w:fill="FFFFFF"/>
            <w:tcMar>
              <w:top w:w="40" w:type="dxa"/>
              <w:left w:w="0" w:type="dxa"/>
              <w:bottom w:w="40" w:type="dxa"/>
              <w:right w:w="20" w:type="dxa"/>
            </w:tcMar>
            <w:vAlign w:val="bottom"/>
          </w:tcPr>
          <w:p w14:paraId="22CFBB0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B07"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B08" w14:textId="77777777" w:rsidR="002661BA" w:rsidRDefault="00D972BC">
            <w:pPr>
              <w:jc w:val="right"/>
              <w:textAlignment w:val="bottom"/>
            </w:pPr>
            <w:r>
              <w:rPr>
                <w:rFonts w:ascii="Arial" w:eastAsia="宋体" w:hAnsi="Arial" w:cs="Arial"/>
                <w:color w:val="000000"/>
                <w:sz w:val="18"/>
                <w:szCs w:val="18"/>
              </w:rPr>
              <w:t>91 </w:t>
            </w:r>
          </w:p>
        </w:tc>
        <w:tc>
          <w:tcPr>
            <w:tcW w:w="0" w:type="auto"/>
            <w:shd w:val="clear" w:color="auto" w:fill="FFFFFF"/>
            <w:tcMar>
              <w:top w:w="40" w:type="dxa"/>
              <w:left w:w="0" w:type="dxa"/>
              <w:bottom w:w="40" w:type="dxa"/>
              <w:right w:w="20" w:type="dxa"/>
            </w:tcMar>
            <w:vAlign w:val="bottom"/>
          </w:tcPr>
          <w:p w14:paraId="22CFBB09" w14:textId="77777777" w:rsidR="002661BA" w:rsidRDefault="002661BA">
            <w:pPr>
              <w:jc w:val="right"/>
              <w:rPr>
                <w:rFonts w:ascii="宋体"/>
              </w:rPr>
            </w:pPr>
          </w:p>
        </w:tc>
      </w:tr>
      <w:tr w:rsidR="002661BA" w14:paraId="22CFBB14" w14:textId="77777777">
        <w:tc>
          <w:tcPr>
            <w:tcW w:w="0" w:type="auto"/>
            <w:gridSpan w:val="3"/>
            <w:shd w:val="clear" w:color="auto" w:fill="E1E1E1"/>
            <w:tcMar>
              <w:top w:w="40" w:type="dxa"/>
              <w:left w:w="20" w:type="dxa"/>
              <w:bottom w:w="40" w:type="dxa"/>
              <w:right w:w="20" w:type="dxa"/>
            </w:tcMar>
            <w:vAlign w:val="bottom"/>
          </w:tcPr>
          <w:p w14:paraId="22CFBB0B" w14:textId="77777777" w:rsidR="002661BA" w:rsidRDefault="00D972BC">
            <w:pPr>
              <w:textAlignment w:val="bottom"/>
            </w:pPr>
            <w:r>
              <w:rPr>
                <w:rFonts w:ascii="Arial" w:eastAsia="宋体" w:hAnsi="Arial" w:cs="Arial"/>
                <w:color w:val="000000"/>
                <w:sz w:val="18"/>
                <w:szCs w:val="18"/>
              </w:rPr>
              <w:t>Interest and other, net</w:t>
            </w:r>
          </w:p>
        </w:tc>
        <w:tc>
          <w:tcPr>
            <w:tcW w:w="0" w:type="auto"/>
            <w:gridSpan w:val="2"/>
            <w:shd w:val="clear" w:color="auto" w:fill="E1E1E1"/>
            <w:tcMar>
              <w:top w:w="40" w:type="dxa"/>
              <w:left w:w="20" w:type="dxa"/>
              <w:bottom w:w="40" w:type="dxa"/>
              <w:right w:w="0" w:type="dxa"/>
            </w:tcMar>
            <w:vAlign w:val="bottom"/>
          </w:tcPr>
          <w:p w14:paraId="22CFBB0C" w14:textId="77777777" w:rsidR="002661BA" w:rsidRDefault="00D972BC">
            <w:pPr>
              <w:jc w:val="right"/>
              <w:textAlignment w:val="bottom"/>
            </w:pPr>
            <w:r>
              <w:rPr>
                <w:rFonts w:ascii="Arial" w:eastAsia="宋体" w:hAnsi="Arial" w:cs="Arial"/>
                <w:color w:val="000000"/>
                <w:sz w:val="18"/>
                <w:szCs w:val="18"/>
              </w:rPr>
              <w:t>2 </w:t>
            </w:r>
          </w:p>
        </w:tc>
        <w:tc>
          <w:tcPr>
            <w:tcW w:w="0" w:type="auto"/>
            <w:shd w:val="clear" w:color="auto" w:fill="E1E1E1"/>
            <w:tcMar>
              <w:top w:w="40" w:type="dxa"/>
              <w:left w:w="0" w:type="dxa"/>
              <w:bottom w:w="40" w:type="dxa"/>
              <w:right w:w="20" w:type="dxa"/>
            </w:tcMar>
            <w:vAlign w:val="bottom"/>
          </w:tcPr>
          <w:p w14:paraId="22CFBB0D" w14:textId="77777777" w:rsidR="002661BA" w:rsidRDefault="002661BA">
            <w:pPr>
              <w:jc w:val="right"/>
              <w:rPr>
                <w:rFonts w:ascii="宋体"/>
              </w:rPr>
            </w:pPr>
          </w:p>
        </w:tc>
        <w:tc>
          <w:tcPr>
            <w:tcW w:w="0" w:type="auto"/>
            <w:gridSpan w:val="3"/>
            <w:shd w:val="clear" w:color="auto" w:fill="E1E1E1"/>
            <w:tcMar>
              <w:top w:w="0" w:type="dxa"/>
              <w:left w:w="20" w:type="dxa"/>
              <w:bottom w:w="0" w:type="dxa"/>
              <w:right w:w="20" w:type="dxa"/>
            </w:tcMar>
            <w:vAlign w:val="bottom"/>
          </w:tcPr>
          <w:p w14:paraId="22CFBB0E" w14:textId="77777777" w:rsidR="002661BA" w:rsidRDefault="002661BA">
            <w:pPr>
              <w:rPr>
                <w:rFonts w:ascii="宋体"/>
              </w:rPr>
            </w:pPr>
          </w:p>
        </w:tc>
        <w:tc>
          <w:tcPr>
            <w:tcW w:w="0" w:type="auto"/>
            <w:gridSpan w:val="2"/>
            <w:shd w:val="clear" w:color="auto" w:fill="E1E1E1"/>
            <w:tcMar>
              <w:top w:w="40" w:type="dxa"/>
              <w:left w:w="20" w:type="dxa"/>
              <w:bottom w:w="40" w:type="dxa"/>
              <w:right w:w="0" w:type="dxa"/>
            </w:tcMar>
            <w:vAlign w:val="bottom"/>
          </w:tcPr>
          <w:p w14:paraId="22CFBB0F"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22CFBB10" w14:textId="77777777" w:rsidR="002661BA" w:rsidRDefault="002661BA">
            <w:pPr>
              <w:jc w:val="right"/>
              <w:rPr>
                <w:rFonts w:ascii="宋体"/>
              </w:rPr>
            </w:pPr>
          </w:p>
        </w:tc>
        <w:tc>
          <w:tcPr>
            <w:tcW w:w="0" w:type="auto"/>
            <w:gridSpan w:val="3"/>
            <w:shd w:val="clear" w:color="auto" w:fill="E1E1E1"/>
            <w:tcMar>
              <w:top w:w="0" w:type="dxa"/>
              <w:left w:w="20" w:type="dxa"/>
              <w:bottom w:w="0" w:type="dxa"/>
              <w:right w:w="20" w:type="dxa"/>
            </w:tcMar>
            <w:vAlign w:val="bottom"/>
          </w:tcPr>
          <w:p w14:paraId="22CFBB11" w14:textId="77777777" w:rsidR="002661BA" w:rsidRDefault="002661BA">
            <w:pPr>
              <w:rPr>
                <w:rFonts w:ascii="宋体"/>
              </w:rPr>
            </w:pPr>
          </w:p>
        </w:tc>
        <w:tc>
          <w:tcPr>
            <w:tcW w:w="0" w:type="auto"/>
            <w:gridSpan w:val="2"/>
            <w:shd w:val="clear" w:color="auto" w:fill="E1E1E1"/>
            <w:tcMar>
              <w:top w:w="40" w:type="dxa"/>
              <w:left w:w="20" w:type="dxa"/>
              <w:bottom w:w="40" w:type="dxa"/>
              <w:right w:w="0" w:type="dxa"/>
            </w:tcMar>
            <w:vAlign w:val="bottom"/>
          </w:tcPr>
          <w:p w14:paraId="22CFBB12" w14:textId="77777777" w:rsidR="002661BA" w:rsidRDefault="00D972BC">
            <w:pPr>
              <w:jc w:val="right"/>
              <w:textAlignment w:val="bottom"/>
            </w:pPr>
            <w:r>
              <w:rPr>
                <w:rFonts w:ascii="Arial" w:eastAsia="宋体" w:hAnsi="Arial" w:cs="Arial"/>
                <w:color w:val="000000"/>
                <w:sz w:val="18"/>
                <w:szCs w:val="18"/>
              </w:rPr>
              <w:t>6 </w:t>
            </w:r>
          </w:p>
        </w:tc>
        <w:tc>
          <w:tcPr>
            <w:tcW w:w="0" w:type="auto"/>
            <w:shd w:val="clear" w:color="auto" w:fill="E1E1E1"/>
            <w:tcMar>
              <w:top w:w="40" w:type="dxa"/>
              <w:left w:w="0" w:type="dxa"/>
              <w:bottom w:w="40" w:type="dxa"/>
              <w:right w:w="20" w:type="dxa"/>
            </w:tcMar>
            <w:vAlign w:val="bottom"/>
          </w:tcPr>
          <w:p w14:paraId="22CFBB13" w14:textId="77777777" w:rsidR="002661BA" w:rsidRDefault="002661BA">
            <w:pPr>
              <w:jc w:val="right"/>
              <w:rPr>
                <w:rFonts w:ascii="宋体"/>
              </w:rPr>
            </w:pPr>
          </w:p>
        </w:tc>
      </w:tr>
      <w:tr w:rsidR="002661BA" w14:paraId="22CFBB1E" w14:textId="77777777">
        <w:tc>
          <w:tcPr>
            <w:tcW w:w="0" w:type="auto"/>
            <w:gridSpan w:val="3"/>
            <w:shd w:val="clear" w:color="auto" w:fill="FFFFFF"/>
            <w:tcMar>
              <w:top w:w="40" w:type="dxa"/>
              <w:left w:w="20" w:type="dxa"/>
              <w:bottom w:w="40" w:type="dxa"/>
              <w:right w:w="20" w:type="dxa"/>
            </w:tcMar>
            <w:vAlign w:val="bottom"/>
          </w:tcPr>
          <w:p w14:paraId="22CFBB15" w14:textId="77777777" w:rsidR="002661BA" w:rsidRDefault="00D972BC">
            <w:pPr>
              <w:textAlignment w:val="bottom"/>
            </w:pPr>
            <w:r>
              <w:rPr>
                <w:rFonts w:ascii="Arial" w:eastAsia="宋体" w:hAnsi="Arial" w:cs="Arial"/>
                <w:color w:val="000000"/>
                <w:sz w:val="18"/>
                <w:szCs w:val="18"/>
              </w:rPr>
              <w:t>Pre-tax gain on sale</w:t>
            </w:r>
          </w:p>
        </w:tc>
        <w:tc>
          <w:tcPr>
            <w:tcW w:w="0" w:type="auto"/>
            <w:gridSpan w:val="2"/>
            <w:shd w:val="clear" w:color="auto" w:fill="FFFFFF"/>
            <w:tcMar>
              <w:top w:w="40" w:type="dxa"/>
              <w:left w:w="20" w:type="dxa"/>
              <w:bottom w:w="40" w:type="dxa"/>
              <w:right w:w="0" w:type="dxa"/>
            </w:tcMar>
            <w:vAlign w:val="bottom"/>
          </w:tcPr>
          <w:p w14:paraId="22CFBB16" w14:textId="77777777" w:rsidR="002661BA" w:rsidRDefault="00D972BC">
            <w:pPr>
              <w:jc w:val="right"/>
              <w:textAlignment w:val="bottom"/>
            </w:pPr>
            <w:r>
              <w:rPr>
                <w:rFonts w:ascii="Arial" w:eastAsia="宋体" w:hAnsi="Arial" w:cs="Arial"/>
                <w:color w:val="000000"/>
                <w:sz w:val="18"/>
                <w:szCs w:val="18"/>
              </w:rPr>
              <w:t>3,240 </w:t>
            </w:r>
          </w:p>
        </w:tc>
        <w:tc>
          <w:tcPr>
            <w:tcW w:w="0" w:type="auto"/>
            <w:shd w:val="clear" w:color="auto" w:fill="FFFFFF"/>
            <w:tcMar>
              <w:top w:w="40" w:type="dxa"/>
              <w:left w:w="0" w:type="dxa"/>
              <w:bottom w:w="40" w:type="dxa"/>
              <w:right w:w="20" w:type="dxa"/>
            </w:tcMar>
            <w:vAlign w:val="bottom"/>
          </w:tcPr>
          <w:p w14:paraId="22CFBB1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B18"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B19"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B1A"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B1B"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B1C"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B1D" w14:textId="77777777" w:rsidR="002661BA" w:rsidRDefault="002661BA">
            <w:pPr>
              <w:jc w:val="right"/>
              <w:rPr>
                <w:rFonts w:ascii="宋体"/>
              </w:rPr>
            </w:pPr>
          </w:p>
        </w:tc>
      </w:tr>
      <w:tr w:rsidR="002661BA" w14:paraId="22CFBB28" w14:textId="77777777">
        <w:tc>
          <w:tcPr>
            <w:tcW w:w="0" w:type="auto"/>
            <w:gridSpan w:val="3"/>
            <w:shd w:val="clear" w:color="auto" w:fill="E1E1E1"/>
            <w:tcMar>
              <w:top w:w="40" w:type="dxa"/>
              <w:left w:w="20" w:type="dxa"/>
              <w:bottom w:w="40" w:type="dxa"/>
              <w:right w:w="20" w:type="dxa"/>
            </w:tcMar>
            <w:vAlign w:val="bottom"/>
          </w:tcPr>
          <w:p w14:paraId="22CFBB1F" w14:textId="77777777" w:rsidR="002661BA" w:rsidRDefault="00D972BC">
            <w:pPr>
              <w:textAlignment w:val="bottom"/>
            </w:pPr>
            <w:r>
              <w:rPr>
                <w:rFonts w:ascii="Arial" w:eastAsia="宋体" w:hAnsi="Arial" w:cs="Arial"/>
                <w:color w:val="000000"/>
                <w:sz w:val="18"/>
                <w:szCs w:val="18"/>
              </w:rPr>
              <w:t>Income (loss) from discontinued operations before income taxes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22CFBB20" w14:textId="77777777" w:rsidR="002661BA" w:rsidRDefault="00D972BC">
            <w:pPr>
              <w:jc w:val="right"/>
              <w:textAlignment w:val="bottom"/>
            </w:pPr>
            <w:r>
              <w:rPr>
                <w:rFonts w:ascii="Arial" w:eastAsia="宋体" w:hAnsi="Arial" w:cs="Arial"/>
                <w:color w:val="000000"/>
                <w:sz w:val="18"/>
                <w:szCs w:val="18"/>
              </w:rPr>
              <w:t>3,205 </w:t>
            </w:r>
          </w:p>
        </w:tc>
        <w:tc>
          <w:tcPr>
            <w:tcW w:w="0" w:type="auto"/>
            <w:tcBorders>
              <w:top w:val="single" w:sz="8" w:space="0" w:color="000000"/>
            </w:tcBorders>
            <w:shd w:val="clear" w:color="auto" w:fill="E1E1E1"/>
            <w:tcMar>
              <w:top w:w="40" w:type="dxa"/>
              <w:left w:w="0" w:type="dxa"/>
              <w:bottom w:w="40" w:type="dxa"/>
              <w:right w:w="20" w:type="dxa"/>
            </w:tcMar>
            <w:vAlign w:val="bottom"/>
          </w:tcPr>
          <w:p w14:paraId="22CFBB21" w14:textId="77777777" w:rsidR="002661BA" w:rsidRDefault="002661BA">
            <w:pPr>
              <w:jc w:val="right"/>
              <w:rPr>
                <w:rFonts w:ascii="宋体"/>
              </w:rPr>
            </w:pPr>
          </w:p>
        </w:tc>
        <w:tc>
          <w:tcPr>
            <w:tcW w:w="0" w:type="auto"/>
            <w:gridSpan w:val="3"/>
            <w:shd w:val="clear" w:color="auto" w:fill="E1E1E1"/>
            <w:tcMar>
              <w:top w:w="0" w:type="dxa"/>
              <w:left w:w="20" w:type="dxa"/>
              <w:bottom w:w="0" w:type="dxa"/>
              <w:right w:w="20" w:type="dxa"/>
            </w:tcMar>
            <w:vAlign w:val="bottom"/>
          </w:tcPr>
          <w:p w14:paraId="22CFBB22" w14:textId="77777777" w:rsidR="002661BA" w:rsidRDefault="002661B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22CFBB23" w14:textId="77777777" w:rsidR="002661BA" w:rsidRDefault="00D972BC">
            <w:pPr>
              <w:jc w:val="right"/>
              <w:textAlignment w:val="bottom"/>
            </w:pPr>
            <w:r>
              <w:rPr>
                <w:rFonts w:ascii="Arial" w:eastAsia="宋体" w:hAnsi="Arial" w:cs="Arial"/>
                <w:color w:val="000000"/>
                <w:sz w:val="18"/>
                <w:szCs w:val="18"/>
              </w:rPr>
              <w:t>75 </w:t>
            </w:r>
          </w:p>
        </w:tc>
        <w:tc>
          <w:tcPr>
            <w:tcW w:w="0" w:type="auto"/>
            <w:tcBorders>
              <w:top w:val="single" w:sz="8" w:space="0" w:color="000000"/>
            </w:tcBorders>
            <w:shd w:val="clear" w:color="auto" w:fill="E1E1E1"/>
            <w:tcMar>
              <w:top w:w="40" w:type="dxa"/>
              <w:left w:w="0" w:type="dxa"/>
              <w:bottom w:w="40" w:type="dxa"/>
              <w:right w:w="20" w:type="dxa"/>
            </w:tcMar>
            <w:vAlign w:val="bottom"/>
          </w:tcPr>
          <w:p w14:paraId="22CFBB24" w14:textId="77777777" w:rsidR="002661BA" w:rsidRDefault="002661BA">
            <w:pPr>
              <w:jc w:val="right"/>
              <w:rPr>
                <w:rFonts w:ascii="宋体"/>
              </w:rPr>
            </w:pPr>
          </w:p>
        </w:tc>
        <w:tc>
          <w:tcPr>
            <w:tcW w:w="0" w:type="auto"/>
            <w:gridSpan w:val="3"/>
            <w:shd w:val="clear" w:color="auto" w:fill="E1E1E1"/>
            <w:tcMar>
              <w:top w:w="0" w:type="dxa"/>
              <w:left w:w="20" w:type="dxa"/>
              <w:bottom w:w="0" w:type="dxa"/>
              <w:right w:w="20" w:type="dxa"/>
            </w:tcMar>
            <w:vAlign w:val="bottom"/>
          </w:tcPr>
          <w:p w14:paraId="22CFBB25" w14:textId="77777777" w:rsidR="002661BA" w:rsidRDefault="002661B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22CFBB26" w14:textId="77777777" w:rsidR="002661BA" w:rsidRDefault="00D972BC">
            <w:pPr>
              <w:jc w:val="right"/>
              <w:textAlignment w:val="bottom"/>
            </w:pPr>
            <w:r>
              <w:rPr>
                <w:rFonts w:ascii="Arial" w:eastAsia="宋体" w:hAnsi="Arial" w:cs="Arial"/>
                <w:color w:val="000000"/>
                <w:sz w:val="18"/>
                <w:szCs w:val="18"/>
              </w:rPr>
              <w:t>97 </w:t>
            </w:r>
          </w:p>
        </w:tc>
        <w:tc>
          <w:tcPr>
            <w:tcW w:w="0" w:type="auto"/>
            <w:tcBorders>
              <w:top w:val="single" w:sz="8" w:space="0" w:color="000000"/>
            </w:tcBorders>
            <w:shd w:val="clear" w:color="auto" w:fill="E1E1E1"/>
            <w:tcMar>
              <w:top w:w="40" w:type="dxa"/>
              <w:left w:w="0" w:type="dxa"/>
              <w:bottom w:w="40" w:type="dxa"/>
              <w:right w:w="20" w:type="dxa"/>
            </w:tcMar>
            <w:vAlign w:val="bottom"/>
          </w:tcPr>
          <w:p w14:paraId="22CFBB27" w14:textId="77777777" w:rsidR="002661BA" w:rsidRDefault="002661BA">
            <w:pPr>
              <w:jc w:val="right"/>
              <w:rPr>
                <w:rFonts w:ascii="宋体"/>
              </w:rPr>
            </w:pPr>
          </w:p>
        </w:tc>
      </w:tr>
      <w:tr w:rsidR="002661BA" w14:paraId="22CFBB32" w14:textId="77777777">
        <w:tc>
          <w:tcPr>
            <w:tcW w:w="0" w:type="auto"/>
            <w:gridSpan w:val="3"/>
            <w:shd w:val="clear" w:color="auto" w:fill="FFFFFF"/>
            <w:tcMar>
              <w:top w:w="40" w:type="dxa"/>
              <w:left w:w="20" w:type="dxa"/>
              <w:bottom w:w="40" w:type="dxa"/>
              <w:right w:w="20" w:type="dxa"/>
            </w:tcMar>
            <w:vAlign w:val="bottom"/>
          </w:tcPr>
          <w:p w14:paraId="22CFBB29" w14:textId="77777777" w:rsidR="002661BA" w:rsidRDefault="00D972BC">
            <w:pPr>
              <w:textAlignment w:val="bottom"/>
            </w:pPr>
            <w:r>
              <w:rPr>
                <w:rFonts w:ascii="Arial" w:eastAsia="宋体" w:hAnsi="Arial" w:cs="Arial"/>
                <w:color w:val="000000"/>
                <w:sz w:val="18"/>
                <w:szCs w:val="18"/>
              </w:rPr>
              <w:t>Income tax benefit (provision)</w:t>
            </w:r>
          </w:p>
        </w:tc>
        <w:tc>
          <w:tcPr>
            <w:tcW w:w="0" w:type="auto"/>
            <w:gridSpan w:val="2"/>
            <w:shd w:val="clear" w:color="auto" w:fill="FFFFFF"/>
            <w:tcMar>
              <w:top w:w="40" w:type="dxa"/>
              <w:left w:w="20" w:type="dxa"/>
              <w:bottom w:w="40" w:type="dxa"/>
              <w:right w:w="0" w:type="dxa"/>
            </w:tcMar>
            <w:vAlign w:val="bottom"/>
          </w:tcPr>
          <w:p w14:paraId="22CFBB2A" w14:textId="77777777" w:rsidR="002661BA" w:rsidRDefault="00D972BC">
            <w:pPr>
              <w:jc w:val="right"/>
              <w:textAlignment w:val="bottom"/>
            </w:pPr>
            <w:r>
              <w:rPr>
                <w:rFonts w:ascii="Arial" w:eastAsia="宋体" w:hAnsi="Arial" w:cs="Arial"/>
                <w:color w:val="000000"/>
                <w:sz w:val="18"/>
                <w:szCs w:val="18"/>
              </w:rPr>
              <w:t>(335)</w:t>
            </w:r>
          </w:p>
        </w:tc>
        <w:tc>
          <w:tcPr>
            <w:tcW w:w="0" w:type="auto"/>
            <w:shd w:val="clear" w:color="auto" w:fill="FFFFFF"/>
            <w:tcMar>
              <w:top w:w="40" w:type="dxa"/>
              <w:left w:w="0" w:type="dxa"/>
              <w:bottom w:w="40" w:type="dxa"/>
              <w:right w:w="20" w:type="dxa"/>
            </w:tcMar>
            <w:vAlign w:val="bottom"/>
          </w:tcPr>
          <w:p w14:paraId="22CFBB2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B2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B2D" w14:textId="77777777" w:rsidR="002661BA" w:rsidRDefault="00D972BC">
            <w:pPr>
              <w:jc w:val="right"/>
              <w:textAlignment w:val="bottom"/>
            </w:pPr>
            <w:r>
              <w:rPr>
                <w:rFonts w:ascii="Arial" w:eastAsia="宋体" w:hAnsi="Arial" w:cs="Arial"/>
                <w:color w:val="000000"/>
                <w:sz w:val="18"/>
                <w:szCs w:val="18"/>
              </w:rPr>
              <w:t>(20)</w:t>
            </w:r>
          </w:p>
        </w:tc>
        <w:tc>
          <w:tcPr>
            <w:tcW w:w="0" w:type="auto"/>
            <w:shd w:val="clear" w:color="auto" w:fill="FFFFFF"/>
            <w:tcMar>
              <w:top w:w="40" w:type="dxa"/>
              <w:left w:w="0" w:type="dxa"/>
              <w:bottom w:w="40" w:type="dxa"/>
              <w:right w:w="20" w:type="dxa"/>
            </w:tcMar>
            <w:vAlign w:val="bottom"/>
          </w:tcPr>
          <w:p w14:paraId="22CFBB2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B2F"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B30" w14:textId="77777777" w:rsidR="002661BA" w:rsidRDefault="00D972BC">
            <w:pPr>
              <w:jc w:val="right"/>
              <w:textAlignment w:val="bottom"/>
            </w:pPr>
            <w:r>
              <w:rPr>
                <w:rFonts w:ascii="Arial" w:eastAsia="宋体" w:hAnsi="Arial" w:cs="Arial"/>
                <w:color w:val="000000"/>
                <w:sz w:val="18"/>
                <w:szCs w:val="18"/>
              </w:rPr>
              <w:t>(14)</w:t>
            </w:r>
          </w:p>
        </w:tc>
        <w:tc>
          <w:tcPr>
            <w:tcW w:w="0" w:type="auto"/>
            <w:shd w:val="clear" w:color="auto" w:fill="FFFFFF"/>
            <w:tcMar>
              <w:top w:w="40" w:type="dxa"/>
              <w:left w:w="0" w:type="dxa"/>
              <w:bottom w:w="40" w:type="dxa"/>
              <w:right w:w="20" w:type="dxa"/>
            </w:tcMar>
            <w:vAlign w:val="bottom"/>
          </w:tcPr>
          <w:p w14:paraId="22CFBB31" w14:textId="77777777" w:rsidR="002661BA" w:rsidRDefault="002661BA">
            <w:pPr>
              <w:jc w:val="right"/>
              <w:rPr>
                <w:rFonts w:ascii="宋体"/>
              </w:rPr>
            </w:pPr>
          </w:p>
        </w:tc>
      </w:tr>
      <w:tr w:rsidR="002661BA" w14:paraId="22CFBB3F" w14:textId="77777777">
        <w:tc>
          <w:tcPr>
            <w:tcW w:w="0" w:type="auto"/>
            <w:gridSpan w:val="3"/>
            <w:shd w:val="clear" w:color="auto" w:fill="E1E1E1"/>
            <w:tcMar>
              <w:top w:w="40" w:type="dxa"/>
              <w:left w:w="20" w:type="dxa"/>
              <w:bottom w:w="40" w:type="dxa"/>
              <w:right w:w="20" w:type="dxa"/>
            </w:tcMar>
            <w:vAlign w:val="bottom"/>
          </w:tcPr>
          <w:p w14:paraId="22CFBB33" w14:textId="77777777" w:rsidR="002661BA" w:rsidRDefault="00D972BC">
            <w:pPr>
              <w:textAlignment w:val="bottom"/>
            </w:pPr>
            <w:r>
              <w:rPr>
                <w:rFonts w:ascii="Arial" w:eastAsia="宋体" w:hAnsi="Arial" w:cs="Arial"/>
                <w:color w:val="000000"/>
                <w:sz w:val="18"/>
                <w:szCs w:val="18"/>
              </w:rPr>
              <w:t>Income (loss) from discontinued operations, net of income taxes</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22CFBB3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22CFBB35" w14:textId="77777777" w:rsidR="002661BA" w:rsidRDefault="00D972BC">
            <w:pPr>
              <w:jc w:val="right"/>
              <w:textAlignment w:val="bottom"/>
            </w:pPr>
            <w:r>
              <w:rPr>
                <w:rFonts w:ascii="Arial" w:eastAsia="宋体" w:hAnsi="Arial" w:cs="Arial"/>
                <w:color w:val="000000"/>
                <w:sz w:val="18"/>
                <w:szCs w:val="18"/>
              </w:rPr>
              <w:t>2,870 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22CFBB36" w14:textId="77777777" w:rsidR="002661BA" w:rsidRDefault="002661BA">
            <w:pPr>
              <w:jc w:val="right"/>
              <w:rPr>
                <w:rFonts w:ascii="宋体"/>
              </w:rPr>
            </w:pPr>
          </w:p>
        </w:tc>
        <w:tc>
          <w:tcPr>
            <w:tcW w:w="0" w:type="auto"/>
            <w:gridSpan w:val="3"/>
            <w:shd w:val="clear" w:color="auto" w:fill="E1E1E1"/>
            <w:tcMar>
              <w:top w:w="0" w:type="dxa"/>
              <w:left w:w="20" w:type="dxa"/>
              <w:bottom w:w="0" w:type="dxa"/>
              <w:right w:w="20" w:type="dxa"/>
            </w:tcMar>
            <w:vAlign w:val="bottom"/>
          </w:tcPr>
          <w:p w14:paraId="22CFBB37" w14:textId="77777777" w:rsidR="002661BA" w:rsidRDefault="002661B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22CFBB3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22CFBB39" w14:textId="77777777" w:rsidR="002661BA" w:rsidRDefault="00D972BC">
            <w:pPr>
              <w:jc w:val="right"/>
              <w:textAlignment w:val="bottom"/>
            </w:pPr>
            <w:r>
              <w:rPr>
                <w:rFonts w:ascii="Arial" w:eastAsia="宋体" w:hAnsi="Arial" w:cs="Arial"/>
                <w:color w:val="000000"/>
                <w:sz w:val="18"/>
                <w:szCs w:val="18"/>
              </w:rPr>
              <w:t>55 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22CFBB3A" w14:textId="77777777" w:rsidR="002661BA" w:rsidRDefault="002661BA">
            <w:pPr>
              <w:jc w:val="right"/>
              <w:rPr>
                <w:rFonts w:ascii="宋体"/>
              </w:rPr>
            </w:pPr>
          </w:p>
        </w:tc>
        <w:tc>
          <w:tcPr>
            <w:tcW w:w="0" w:type="auto"/>
            <w:gridSpan w:val="3"/>
            <w:shd w:val="clear" w:color="auto" w:fill="E1E1E1"/>
            <w:tcMar>
              <w:top w:w="0" w:type="dxa"/>
              <w:left w:w="20" w:type="dxa"/>
              <w:bottom w:w="0" w:type="dxa"/>
              <w:right w:w="20" w:type="dxa"/>
            </w:tcMar>
            <w:vAlign w:val="bottom"/>
          </w:tcPr>
          <w:p w14:paraId="22CFBB3B" w14:textId="77777777" w:rsidR="002661BA" w:rsidRDefault="002661B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22CFBB3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22CFBB3D" w14:textId="77777777" w:rsidR="002661BA" w:rsidRDefault="00D972BC">
            <w:pPr>
              <w:jc w:val="right"/>
              <w:textAlignment w:val="bottom"/>
            </w:pPr>
            <w:r>
              <w:rPr>
                <w:rFonts w:ascii="Arial" w:eastAsia="宋体" w:hAnsi="Arial" w:cs="Arial"/>
                <w:color w:val="000000"/>
                <w:sz w:val="18"/>
                <w:szCs w:val="18"/>
              </w:rPr>
              <w:t>83 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22CFBB3E" w14:textId="77777777" w:rsidR="002661BA" w:rsidRDefault="002661BA">
            <w:pPr>
              <w:jc w:val="right"/>
              <w:rPr>
                <w:rFonts w:ascii="宋体"/>
              </w:rPr>
            </w:pPr>
          </w:p>
        </w:tc>
      </w:tr>
    </w:tbl>
    <w:p w14:paraId="22CFBB40" w14:textId="77777777" w:rsidR="002661BA" w:rsidRDefault="00D972BC">
      <w:pPr>
        <w:ind w:hanging="360"/>
        <w:jc w:val="both"/>
      </w:pPr>
      <w:r>
        <w:rPr>
          <w:rFonts w:ascii="Arial" w:eastAsia="宋体" w:hAnsi="Arial" w:cs="Arial"/>
          <w:color w:val="000000"/>
          <w:sz w:val="16"/>
          <w:szCs w:val="16"/>
        </w:rPr>
        <w:t>(1)Includes eBay Korea financial results through the transaction close on November 14, 2021 and the related gain on sale.</w:t>
      </w:r>
    </w:p>
    <w:p w14:paraId="22CFBB41" w14:textId="77777777" w:rsidR="002661BA" w:rsidRDefault="002661BA">
      <w:pPr>
        <w:spacing w:after="120"/>
        <w:ind w:firstLine="540"/>
        <w:jc w:val="both"/>
      </w:pPr>
    </w:p>
    <w:p w14:paraId="22CFBB42" w14:textId="77777777" w:rsidR="002661BA" w:rsidRDefault="00D972BC">
      <w:pPr>
        <w:jc w:val="center"/>
      </w:pPr>
      <w:r>
        <w:rPr>
          <w:rFonts w:ascii="Arial" w:eastAsia="宋体" w:hAnsi="Arial" w:cs="Arial"/>
          <w:color w:val="000000"/>
          <w:sz w:val="18"/>
          <w:szCs w:val="18"/>
        </w:rPr>
        <w:t>74</w:t>
      </w:r>
    </w:p>
    <w:p w14:paraId="22CFBB43" w14:textId="77777777" w:rsidR="002661BA" w:rsidRDefault="00D972BC">
      <w:r>
        <w:pict w14:anchorId="22CFE4FB">
          <v:rect id="_x0000_i1098" style="width:415.3pt;height:1.5pt" o:hralign="center" o:hrstd="t" o:hr="t" fillcolor="#a0a0a0" stroked="f"/>
        </w:pict>
      </w:r>
    </w:p>
    <w:p w14:paraId="22CFBB44" w14:textId="77777777" w:rsidR="002661BA" w:rsidRDefault="00D972BC">
      <w:hyperlink r:id="rId109" w:anchor="id0d7a71b05ce452ea9fdb54f3cb359c7_7" w:history="1">
        <w:r>
          <w:rPr>
            <w:rStyle w:val="a5"/>
            <w:rFonts w:ascii="Arial" w:eastAsia="宋体" w:hAnsi="Arial" w:cs="Arial"/>
            <w:sz w:val="18"/>
            <w:szCs w:val="18"/>
          </w:rPr>
          <w:t>Table of Contents</w:t>
        </w:r>
      </w:hyperlink>
    </w:p>
    <w:p w14:paraId="22CFBB45" w14:textId="77777777" w:rsidR="002661BA" w:rsidRDefault="00D972BC">
      <w:pPr>
        <w:jc w:val="center"/>
      </w:pPr>
      <w:r>
        <w:rPr>
          <w:rFonts w:ascii="Arial" w:eastAsia="宋体" w:hAnsi="Arial" w:cs="Arial"/>
          <w:b/>
          <w:bCs/>
          <w:color w:val="000000"/>
          <w:sz w:val="20"/>
          <w:szCs w:val="20"/>
        </w:rPr>
        <w:t>eBay Inc.</w:t>
      </w:r>
    </w:p>
    <w:p w14:paraId="22CFBB46"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BB47" w14:textId="77777777" w:rsidR="002661BA" w:rsidRDefault="00D972BC">
      <w:pPr>
        <w:spacing w:after="120"/>
        <w:ind w:firstLine="540"/>
        <w:jc w:val="both"/>
      </w:pPr>
      <w:r>
        <w:rPr>
          <w:rFonts w:ascii="Arial" w:eastAsia="宋体" w:hAnsi="Arial" w:cs="Arial"/>
          <w:color w:val="000000"/>
          <w:sz w:val="20"/>
          <w:szCs w:val="20"/>
        </w:rPr>
        <w:t xml:space="preserve">The following table presents the aggregate carrying amounts of assets and </w:t>
      </w:r>
      <w:r>
        <w:rPr>
          <w:rFonts w:ascii="Arial" w:eastAsia="宋体" w:hAnsi="Arial" w:cs="Arial"/>
          <w:color w:val="000000"/>
          <w:sz w:val="20"/>
          <w:szCs w:val="20"/>
        </w:rPr>
        <w:t>liabilities of discontinued operations for eBay Korea in the consolidated balance sheet as of the date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51"/>
        <w:gridCol w:w="7090"/>
        <w:gridCol w:w="37"/>
        <w:gridCol w:w="36"/>
        <w:gridCol w:w="36"/>
        <w:gridCol w:w="122"/>
        <w:gridCol w:w="928"/>
        <w:gridCol w:w="36"/>
      </w:tblGrid>
      <w:tr w:rsidR="002661BA" w14:paraId="22CFBB50" w14:textId="77777777">
        <w:tc>
          <w:tcPr>
            <w:tcW w:w="50" w:type="pct"/>
            <w:shd w:val="clear" w:color="auto" w:fill="auto"/>
            <w:vAlign w:val="bottom"/>
          </w:tcPr>
          <w:p w14:paraId="22CFBB48" w14:textId="77777777" w:rsidR="002661BA" w:rsidRDefault="002661BA">
            <w:pPr>
              <w:rPr>
                <w:rFonts w:ascii="宋体"/>
              </w:rPr>
            </w:pPr>
          </w:p>
        </w:tc>
        <w:tc>
          <w:tcPr>
            <w:tcW w:w="4309" w:type="pct"/>
            <w:shd w:val="clear" w:color="auto" w:fill="auto"/>
            <w:vAlign w:val="bottom"/>
          </w:tcPr>
          <w:p w14:paraId="22CFBB49" w14:textId="77777777" w:rsidR="002661BA" w:rsidRDefault="002661BA">
            <w:pPr>
              <w:rPr>
                <w:rFonts w:ascii="宋体"/>
              </w:rPr>
            </w:pPr>
          </w:p>
        </w:tc>
        <w:tc>
          <w:tcPr>
            <w:tcW w:w="5" w:type="pct"/>
            <w:shd w:val="clear" w:color="auto" w:fill="auto"/>
            <w:vAlign w:val="bottom"/>
          </w:tcPr>
          <w:p w14:paraId="22CFBB4A" w14:textId="77777777" w:rsidR="002661BA" w:rsidRDefault="002661BA">
            <w:pPr>
              <w:rPr>
                <w:rFonts w:ascii="宋体"/>
              </w:rPr>
            </w:pPr>
          </w:p>
        </w:tc>
        <w:tc>
          <w:tcPr>
            <w:tcW w:w="0" w:type="auto"/>
            <w:shd w:val="clear" w:color="auto" w:fill="auto"/>
            <w:vAlign w:val="bottom"/>
          </w:tcPr>
          <w:p w14:paraId="22CFBB4B" w14:textId="77777777" w:rsidR="002661BA" w:rsidRDefault="002661BA">
            <w:pPr>
              <w:rPr>
                <w:rFonts w:ascii="宋体"/>
                <w:vanish/>
              </w:rPr>
            </w:pPr>
          </w:p>
        </w:tc>
        <w:tc>
          <w:tcPr>
            <w:tcW w:w="0" w:type="auto"/>
            <w:shd w:val="clear" w:color="auto" w:fill="auto"/>
            <w:vAlign w:val="bottom"/>
          </w:tcPr>
          <w:p w14:paraId="22CFBB4C" w14:textId="77777777" w:rsidR="002661BA" w:rsidRDefault="002661BA">
            <w:pPr>
              <w:rPr>
                <w:rFonts w:ascii="宋体"/>
                <w:vanish/>
              </w:rPr>
            </w:pPr>
          </w:p>
        </w:tc>
        <w:tc>
          <w:tcPr>
            <w:tcW w:w="50" w:type="pct"/>
            <w:shd w:val="clear" w:color="auto" w:fill="auto"/>
            <w:vAlign w:val="bottom"/>
          </w:tcPr>
          <w:p w14:paraId="22CFBB4D" w14:textId="77777777" w:rsidR="002661BA" w:rsidRDefault="002661BA">
            <w:pPr>
              <w:rPr>
                <w:rFonts w:ascii="宋体"/>
              </w:rPr>
            </w:pPr>
          </w:p>
        </w:tc>
        <w:tc>
          <w:tcPr>
            <w:tcW w:w="581" w:type="pct"/>
            <w:shd w:val="clear" w:color="auto" w:fill="auto"/>
            <w:vAlign w:val="bottom"/>
          </w:tcPr>
          <w:p w14:paraId="22CFBB4E" w14:textId="77777777" w:rsidR="002661BA" w:rsidRDefault="002661BA">
            <w:pPr>
              <w:rPr>
                <w:rFonts w:ascii="宋体"/>
              </w:rPr>
            </w:pPr>
          </w:p>
        </w:tc>
        <w:tc>
          <w:tcPr>
            <w:tcW w:w="5" w:type="pct"/>
            <w:shd w:val="clear" w:color="auto" w:fill="auto"/>
            <w:vAlign w:val="bottom"/>
          </w:tcPr>
          <w:p w14:paraId="22CFBB4F" w14:textId="77777777" w:rsidR="002661BA" w:rsidRDefault="002661BA">
            <w:pPr>
              <w:rPr>
                <w:rFonts w:ascii="宋体"/>
              </w:rPr>
            </w:pPr>
          </w:p>
        </w:tc>
      </w:tr>
      <w:tr w:rsidR="002661BA" w14:paraId="22CFBB55" w14:textId="77777777">
        <w:tc>
          <w:tcPr>
            <w:tcW w:w="0" w:type="auto"/>
            <w:gridSpan w:val="3"/>
            <w:shd w:val="clear" w:color="auto" w:fill="auto"/>
            <w:tcMar>
              <w:top w:w="40" w:type="dxa"/>
              <w:left w:w="20" w:type="dxa"/>
              <w:bottom w:w="40" w:type="dxa"/>
              <w:right w:w="20" w:type="dxa"/>
            </w:tcMar>
            <w:vAlign w:val="bottom"/>
          </w:tcPr>
          <w:p w14:paraId="22CFBB51" w14:textId="77777777" w:rsidR="002661BA" w:rsidRDefault="00D972BC">
            <w:pPr>
              <w:textAlignment w:val="bottom"/>
            </w:pPr>
            <w:r>
              <w:rPr>
                <w:rFonts w:ascii="Arial" w:eastAsia="宋体" w:hAnsi="Arial" w:cs="Arial"/>
                <w:b/>
                <w:bCs/>
                <w:color w:val="000000"/>
                <w:sz w:val="18"/>
                <w:szCs w:val="18"/>
              </w:rPr>
              <w:t> </w:t>
            </w:r>
          </w:p>
        </w:tc>
        <w:tc>
          <w:tcPr>
            <w:tcW w:w="0" w:type="auto"/>
            <w:shd w:val="clear" w:color="auto" w:fill="auto"/>
            <w:vAlign w:val="bottom"/>
          </w:tcPr>
          <w:p w14:paraId="22CFBB52" w14:textId="77777777" w:rsidR="002661BA" w:rsidRDefault="002661BA">
            <w:pPr>
              <w:rPr>
                <w:rFonts w:ascii="宋体"/>
                <w:vanish/>
              </w:rPr>
            </w:pPr>
          </w:p>
        </w:tc>
        <w:tc>
          <w:tcPr>
            <w:tcW w:w="0" w:type="auto"/>
            <w:shd w:val="clear" w:color="auto" w:fill="auto"/>
            <w:vAlign w:val="bottom"/>
          </w:tcPr>
          <w:p w14:paraId="22CFBB53" w14:textId="77777777" w:rsidR="002661BA" w:rsidRDefault="002661BA">
            <w:pPr>
              <w:rPr>
                <w:rFonts w:ascii="宋体"/>
                <w:vanish/>
              </w:rPr>
            </w:pPr>
          </w:p>
        </w:tc>
        <w:tc>
          <w:tcPr>
            <w:tcW w:w="0" w:type="auto"/>
            <w:gridSpan w:val="3"/>
            <w:shd w:val="clear" w:color="auto" w:fill="FFFFFF"/>
            <w:tcMar>
              <w:top w:w="40" w:type="dxa"/>
              <w:left w:w="20" w:type="dxa"/>
              <w:bottom w:w="40" w:type="dxa"/>
              <w:right w:w="20" w:type="dxa"/>
            </w:tcMar>
            <w:vAlign w:val="bottom"/>
          </w:tcPr>
          <w:p w14:paraId="22CFBB54" w14:textId="77777777" w:rsidR="002661BA" w:rsidRDefault="00D972BC">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2020</w:t>
            </w:r>
          </w:p>
        </w:tc>
      </w:tr>
      <w:tr w:rsidR="002661BA" w14:paraId="22CFBB5A" w14:textId="77777777">
        <w:tc>
          <w:tcPr>
            <w:tcW w:w="0" w:type="auto"/>
            <w:gridSpan w:val="3"/>
            <w:shd w:val="clear" w:color="auto" w:fill="E1E1E1"/>
            <w:tcMar>
              <w:top w:w="40" w:type="dxa"/>
              <w:left w:w="20" w:type="dxa"/>
              <w:bottom w:w="40" w:type="dxa"/>
              <w:right w:w="20" w:type="dxa"/>
            </w:tcMar>
            <w:vAlign w:val="bottom"/>
          </w:tcPr>
          <w:p w14:paraId="22CFBB56" w14:textId="77777777" w:rsidR="002661BA" w:rsidRDefault="00D972BC">
            <w:pPr>
              <w:textAlignment w:val="bottom"/>
            </w:pPr>
            <w:r>
              <w:rPr>
                <w:rFonts w:ascii="Arial" w:eastAsia="宋体" w:hAnsi="Arial" w:cs="Arial"/>
                <w:color w:val="000000"/>
                <w:sz w:val="18"/>
                <w:szCs w:val="18"/>
              </w:rPr>
              <w:t>Carrying amounts of assets included as part of discontinued operations:</w:t>
            </w:r>
          </w:p>
        </w:tc>
        <w:tc>
          <w:tcPr>
            <w:tcW w:w="0" w:type="auto"/>
            <w:shd w:val="clear" w:color="auto" w:fill="auto"/>
            <w:vAlign w:val="bottom"/>
          </w:tcPr>
          <w:p w14:paraId="22CFBB57" w14:textId="77777777" w:rsidR="002661BA" w:rsidRDefault="002661BA">
            <w:pPr>
              <w:rPr>
                <w:rFonts w:ascii="宋体"/>
                <w:vanish/>
              </w:rPr>
            </w:pPr>
          </w:p>
        </w:tc>
        <w:tc>
          <w:tcPr>
            <w:tcW w:w="0" w:type="auto"/>
            <w:shd w:val="clear" w:color="auto" w:fill="auto"/>
            <w:vAlign w:val="bottom"/>
          </w:tcPr>
          <w:p w14:paraId="22CFBB58" w14:textId="77777777" w:rsidR="002661BA" w:rsidRDefault="002661BA">
            <w:pPr>
              <w:rPr>
                <w:rFonts w:ascii="宋体"/>
                <w:vanish/>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22CFBB59" w14:textId="77777777" w:rsidR="002661BA" w:rsidRDefault="002661BA">
            <w:pPr>
              <w:rPr>
                <w:rFonts w:ascii="宋体"/>
              </w:rPr>
            </w:pPr>
          </w:p>
        </w:tc>
      </w:tr>
      <w:tr w:rsidR="002661BA" w14:paraId="22CFBB61" w14:textId="77777777">
        <w:tc>
          <w:tcPr>
            <w:tcW w:w="0" w:type="auto"/>
            <w:gridSpan w:val="3"/>
            <w:shd w:val="clear" w:color="auto" w:fill="FFFFFF"/>
            <w:tcMar>
              <w:top w:w="40" w:type="dxa"/>
              <w:left w:w="20" w:type="dxa"/>
              <w:bottom w:w="40" w:type="dxa"/>
              <w:right w:w="20" w:type="dxa"/>
            </w:tcMar>
            <w:vAlign w:val="bottom"/>
          </w:tcPr>
          <w:p w14:paraId="22CFBB5B" w14:textId="77777777" w:rsidR="002661BA" w:rsidRDefault="00D972BC">
            <w:pPr>
              <w:textAlignment w:val="bottom"/>
            </w:pPr>
            <w:r>
              <w:rPr>
                <w:rFonts w:ascii="Arial" w:eastAsia="宋体" w:hAnsi="Arial" w:cs="Arial"/>
                <w:color w:val="000000"/>
                <w:sz w:val="18"/>
                <w:szCs w:val="18"/>
              </w:rPr>
              <w:t xml:space="preserve">Cash and cash </w:t>
            </w:r>
            <w:r>
              <w:rPr>
                <w:rFonts w:ascii="Arial" w:eastAsia="宋体" w:hAnsi="Arial" w:cs="Arial"/>
                <w:color w:val="000000"/>
                <w:sz w:val="18"/>
                <w:szCs w:val="18"/>
              </w:rPr>
              <w:t>equivalents</w:t>
            </w:r>
          </w:p>
        </w:tc>
        <w:tc>
          <w:tcPr>
            <w:tcW w:w="0" w:type="auto"/>
            <w:shd w:val="clear" w:color="auto" w:fill="auto"/>
            <w:vAlign w:val="bottom"/>
          </w:tcPr>
          <w:p w14:paraId="22CFBB5C" w14:textId="77777777" w:rsidR="002661BA" w:rsidRDefault="002661BA">
            <w:pPr>
              <w:rPr>
                <w:rFonts w:ascii="宋体"/>
                <w:vanish/>
              </w:rPr>
            </w:pPr>
          </w:p>
        </w:tc>
        <w:tc>
          <w:tcPr>
            <w:tcW w:w="0" w:type="auto"/>
            <w:shd w:val="clear" w:color="auto" w:fill="auto"/>
            <w:vAlign w:val="bottom"/>
          </w:tcPr>
          <w:p w14:paraId="22CFBB5D" w14:textId="77777777" w:rsidR="002661BA" w:rsidRDefault="002661BA">
            <w:pPr>
              <w:rPr>
                <w:rFonts w:ascii="宋体"/>
                <w:vanish/>
              </w:rPr>
            </w:pPr>
          </w:p>
        </w:tc>
        <w:tc>
          <w:tcPr>
            <w:tcW w:w="0" w:type="auto"/>
            <w:shd w:val="clear" w:color="auto" w:fill="FFFFFF"/>
            <w:tcMar>
              <w:top w:w="40" w:type="dxa"/>
              <w:left w:w="20" w:type="dxa"/>
              <w:bottom w:w="40" w:type="dxa"/>
              <w:right w:w="0" w:type="dxa"/>
            </w:tcMar>
            <w:vAlign w:val="bottom"/>
          </w:tcPr>
          <w:p w14:paraId="22CFBB5E"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B5F" w14:textId="77777777" w:rsidR="002661BA" w:rsidRDefault="00D972BC">
            <w:pPr>
              <w:jc w:val="right"/>
              <w:textAlignment w:val="bottom"/>
            </w:pPr>
            <w:r>
              <w:rPr>
                <w:rFonts w:ascii="Arial" w:eastAsia="宋体" w:hAnsi="Arial" w:cs="Arial"/>
                <w:color w:val="000000"/>
                <w:sz w:val="18"/>
                <w:szCs w:val="18"/>
              </w:rPr>
              <w:t>327 </w:t>
            </w:r>
          </w:p>
        </w:tc>
        <w:tc>
          <w:tcPr>
            <w:tcW w:w="0" w:type="auto"/>
            <w:shd w:val="clear" w:color="auto" w:fill="FFFFFF"/>
            <w:tcMar>
              <w:top w:w="40" w:type="dxa"/>
              <w:left w:w="0" w:type="dxa"/>
              <w:bottom w:w="40" w:type="dxa"/>
              <w:right w:w="20" w:type="dxa"/>
            </w:tcMar>
            <w:vAlign w:val="bottom"/>
          </w:tcPr>
          <w:p w14:paraId="22CFBB60" w14:textId="77777777" w:rsidR="002661BA" w:rsidRDefault="002661BA">
            <w:pPr>
              <w:jc w:val="right"/>
              <w:rPr>
                <w:rFonts w:ascii="宋体"/>
              </w:rPr>
            </w:pPr>
          </w:p>
        </w:tc>
      </w:tr>
      <w:tr w:rsidR="002661BA" w14:paraId="22CFBB67" w14:textId="77777777">
        <w:tc>
          <w:tcPr>
            <w:tcW w:w="0" w:type="auto"/>
            <w:gridSpan w:val="3"/>
            <w:shd w:val="clear" w:color="auto" w:fill="E1E1E1"/>
            <w:tcMar>
              <w:top w:w="40" w:type="dxa"/>
              <w:left w:w="20" w:type="dxa"/>
              <w:bottom w:w="40" w:type="dxa"/>
              <w:right w:w="20" w:type="dxa"/>
            </w:tcMar>
            <w:vAlign w:val="bottom"/>
          </w:tcPr>
          <w:p w14:paraId="22CFBB62" w14:textId="77777777" w:rsidR="002661BA" w:rsidRDefault="00D972BC">
            <w:pPr>
              <w:textAlignment w:val="bottom"/>
            </w:pPr>
            <w:r>
              <w:rPr>
                <w:rFonts w:ascii="Arial" w:eastAsia="宋体" w:hAnsi="Arial" w:cs="Arial"/>
                <w:color w:val="000000"/>
                <w:sz w:val="18"/>
                <w:szCs w:val="18"/>
              </w:rPr>
              <w:t>Short-term investments</w:t>
            </w:r>
          </w:p>
        </w:tc>
        <w:tc>
          <w:tcPr>
            <w:tcW w:w="0" w:type="auto"/>
            <w:shd w:val="clear" w:color="auto" w:fill="auto"/>
            <w:vAlign w:val="bottom"/>
          </w:tcPr>
          <w:p w14:paraId="22CFBB63" w14:textId="77777777" w:rsidR="002661BA" w:rsidRDefault="002661BA">
            <w:pPr>
              <w:rPr>
                <w:rFonts w:ascii="宋体"/>
                <w:vanish/>
              </w:rPr>
            </w:pPr>
          </w:p>
        </w:tc>
        <w:tc>
          <w:tcPr>
            <w:tcW w:w="0" w:type="auto"/>
            <w:shd w:val="clear" w:color="auto" w:fill="auto"/>
            <w:vAlign w:val="bottom"/>
          </w:tcPr>
          <w:p w14:paraId="22CFBB64" w14:textId="77777777" w:rsidR="002661BA" w:rsidRDefault="002661BA">
            <w:pPr>
              <w:rPr>
                <w:rFonts w:ascii="宋体"/>
                <w:vanish/>
              </w:rPr>
            </w:pPr>
          </w:p>
        </w:tc>
        <w:tc>
          <w:tcPr>
            <w:tcW w:w="0" w:type="auto"/>
            <w:gridSpan w:val="2"/>
            <w:shd w:val="clear" w:color="auto" w:fill="E1E1E1"/>
            <w:tcMar>
              <w:top w:w="40" w:type="dxa"/>
              <w:left w:w="20" w:type="dxa"/>
              <w:bottom w:w="40" w:type="dxa"/>
              <w:right w:w="0" w:type="dxa"/>
            </w:tcMar>
            <w:vAlign w:val="bottom"/>
          </w:tcPr>
          <w:p w14:paraId="22CFBB65" w14:textId="77777777" w:rsidR="002661BA" w:rsidRDefault="00D972BC">
            <w:pPr>
              <w:jc w:val="right"/>
              <w:textAlignment w:val="bottom"/>
            </w:pPr>
            <w:r>
              <w:rPr>
                <w:rFonts w:ascii="Arial" w:eastAsia="宋体" w:hAnsi="Arial" w:cs="Arial"/>
                <w:color w:val="000000"/>
                <w:sz w:val="18"/>
                <w:szCs w:val="18"/>
              </w:rPr>
              <w:t>6 </w:t>
            </w:r>
          </w:p>
        </w:tc>
        <w:tc>
          <w:tcPr>
            <w:tcW w:w="0" w:type="auto"/>
            <w:shd w:val="clear" w:color="auto" w:fill="E1E1E1"/>
            <w:tcMar>
              <w:top w:w="40" w:type="dxa"/>
              <w:left w:w="0" w:type="dxa"/>
              <w:bottom w:w="40" w:type="dxa"/>
              <w:right w:w="20" w:type="dxa"/>
            </w:tcMar>
            <w:vAlign w:val="bottom"/>
          </w:tcPr>
          <w:p w14:paraId="22CFBB66" w14:textId="77777777" w:rsidR="002661BA" w:rsidRDefault="002661BA">
            <w:pPr>
              <w:jc w:val="right"/>
              <w:rPr>
                <w:rFonts w:ascii="宋体"/>
              </w:rPr>
            </w:pPr>
          </w:p>
        </w:tc>
      </w:tr>
      <w:tr w:rsidR="002661BA" w14:paraId="22CFBB6D" w14:textId="77777777">
        <w:tc>
          <w:tcPr>
            <w:tcW w:w="0" w:type="auto"/>
            <w:gridSpan w:val="3"/>
            <w:shd w:val="clear" w:color="auto" w:fill="FFFFFF"/>
            <w:tcMar>
              <w:top w:w="40" w:type="dxa"/>
              <w:left w:w="20" w:type="dxa"/>
              <w:bottom w:w="40" w:type="dxa"/>
              <w:right w:w="20" w:type="dxa"/>
            </w:tcMar>
            <w:vAlign w:val="bottom"/>
          </w:tcPr>
          <w:p w14:paraId="22CFBB68" w14:textId="77777777" w:rsidR="002661BA" w:rsidRDefault="00D972BC">
            <w:pPr>
              <w:textAlignment w:val="bottom"/>
            </w:pPr>
            <w:r>
              <w:rPr>
                <w:rFonts w:ascii="Arial" w:eastAsia="宋体" w:hAnsi="Arial" w:cs="Arial"/>
                <w:color w:val="000000"/>
                <w:sz w:val="18"/>
                <w:szCs w:val="18"/>
              </w:rPr>
              <w:t>Accounts receivable, net</w:t>
            </w:r>
          </w:p>
        </w:tc>
        <w:tc>
          <w:tcPr>
            <w:tcW w:w="0" w:type="auto"/>
            <w:shd w:val="clear" w:color="auto" w:fill="auto"/>
            <w:vAlign w:val="bottom"/>
          </w:tcPr>
          <w:p w14:paraId="22CFBB69" w14:textId="77777777" w:rsidR="002661BA" w:rsidRDefault="002661BA">
            <w:pPr>
              <w:rPr>
                <w:rFonts w:ascii="宋体"/>
                <w:vanish/>
              </w:rPr>
            </w:pPr>
          </w:p>
        </w:tc>
        <w:tc>
          <w:tcPr>
            <w:tcW w:w="0" w:type="auto"/>
            <w:shd w:val="clear" w:color="auto" w:fill="auto"/>
            <w:vAlign w:val="bottom"/>
          </w:tcPr>
          <w:p w14:paraId="22CFBB6A" w14:textId="77777777" w:rsidR="002661BA" w:rsidRDefault="002661BA">
            <w:pPr>
              <w:rPr>
                <w:rFonts w:ascii="宋体"/>
                <w:vanish/>
              </w:rPr>
            </w:pPr>
          </w:p>
        </w:tc>
        <w:tc>
          <w:tcPr>
            <w:tcW w:w="0" w:type="auto"/>
            <w:gridSpan w:val="2"/>
            <w:shd w:val="clear" w:color="auto" w:fill="FFFFFF"/>
            <w:tcMar>
              <w:top w:w="40" w:type="dxa"/>
              <w:left w:w="20" w:type="dxa"/>
              <w:bottom w:w="40" w:type="dxa"/>
              <w:right w:w="0" w:type="dxa"/>
            </w:tcMar>
            <w:vAlign w:val="bottom"/>
          </w:tcPr>
          <w:p w14:paraId="22CFBB6B" w14:textId="77777777" w:rsidR="002661BA" w:rsidRDefault="00D972BC">
            <w:pPr>
              <w:jc w:val="right"/>
              <w:textAlignment w:val="bottom"/>
            </w:pPr>
            <w:r>
              <w:rPr>
                <w:rFonts w:ascii="Arial" w:eastAsia="宋体" w:hAnsi="Arial" w:cs="Arial"/>
                <w:color w:val="000000"/>
                <w:sz w:val="18"/>
                <w:szCs w:val="18"/>
              </w:rPr>
              <w:t>50 </w:t>
            </w:r>
          </w:p>
        </w:tc>
        <w:tc>
          <w:tcPr>
            <w:tcW w:w="0" w:type="auto"/>
            <w:shd w:val="clear" w:color="auto" w:fill="FFFFFF"/>
            <w:tcMar>
              <w:top w:w="40" w:type="dxa"/>
              <w:left w:w="0" w:type="dxa"/>
              <w:bottom w:w="40" w:type="dxa"/>
              <w:right w:w="20" w:type="dxa"/>
            </w:tcMar>
            <w:vAlign w:val="bottom"/>
          </w:tcPr>
          <w:p w14:paraId="22CFBB6C" w14:textId="77777777" w:rsidR="002661BA" w:rsidRDefault="002661BA">
            <w:pPr>
              <w:jc w:val="right"/>
              <w:rPr>
                <w:rFonts w:ascii="宋体"/>
              </w:rPr>
            </w:pPr>
          </w:p>
        </w:tc>
      </w:tr>
      <w:tr w:rsidR="002661BA" w14:paraId="22CFBB73" w14:textId="77777777">
        <w:tc>
          <w:tcPr>
            <w:tcW w:w="0" w:type="auto"/>
            <w:gridSpan w:val="3"/>
            <w:shd w:val="clear" w:color="auto" w:fill="E1E1E1"/>
            <w:tcMar>
              <w:top w:w="40" w:type="dxa"/>
              <w:left w:w="20" w:type="dxa"/>
              <w:bottom w:w="40" w:type="dxa"/>
              <w:right w:w="20" w:type="dxa"/>
            </w:tcMar>
            <w:vAlign w:val="bottom"/>
          </w:tcPr>
          <w:p w14:paraId="22CFBB6E" w14:textId="77777777" w:rsidR="002661BA" w:rsidRDefault="00D972BC">
            <w:pPr>
              <w:textAlignment w:val="bottom"/>
            </w:pPr>
            <w:r>
              <w:rPr>
                <w:rFonts w:ascii="Arial" w:eastAsia="宋体" w:hAnsi="Arial" w:cs="Arial"/>
                <w:color w:val="000000"/>
                <w:sz w:val="18"/>
                <w:szCs w:val="18"/>
              </w:rPr>
              <w:t>Customer accounts and funds receivable</w:t>
            </w:r>
          </w:p>
        </w:tc>
        <w:tc>
          <w:tcPr>
            <w:tcW w:w="0" w:type="auto"/>
            <w:shd w:val="clear" w:color="auto" w:fill="auto"/>
            <w:vAlign w:val="bottom"/>
          </w:tcPr>
          <w:p w14:paraId="22CFBB6F" w14:textId="77777777" w:rsidR="002661BA" w:rsidRDefault="002661BA">
            <w:pPr>
              <w:rPr>
                <w:rFonts w:ascii="宋体"/>
                <w:vanish/>
              </w:rPr>
            </w:pPr>
          </w:p>
        </w:tc>
        <w:tc>
          <w:tcPr>
            <w:tcW w:w="0" w:type="auto"/>
            <w:shd w:val="clear" w:color="auto" w:fill="auto"/>
            <w:vAlign w:val="bottom"/>
          </w:tcPr>
          <w:p w14:paraId="22CFBB70" w14:textId="77777777" w:rsidR="002661BA" w:rsidRDefault="002661BA">
            <w:pPr>
              <w:rPr>
                <w:rFonts w:ascii="宋体"/>
                <w:vanish/>
              </w:rPr>
            </w:pPr>
          </w:p>
        </w:tc>
        <w:tc>
          <w:tcPr>
            <w:tcW w:w="0" w:type="auto"/>
            <w:gridSpan w:val="2"/>
            <w:shd w:val="clear" w:color="auto" w:fill="E1E1E1"/>
            <w:tcMar>
              <w:top w:w="40" w:type="dxa"/>
              <w:left w:w="20" w:type="dxa"/>
              <w:bottom w:w="40" w:type="dxa"/>
              <w:right w:w="0" w:type="dxa"/>
            </w:tcMar>
            <w:vAlign w:val="bottom"/>
          </w:tcPr>
          <w:p w14:paraId="22CFBB71" w14:textId="77777777" w:rsidR="002661BA" w:rsidRDefault="00D972BC">
            <w:pPr>
              <w:jc w:val="right"/>
              <w:textAlignment w:val="bottom"/>
            </w:pPr>
            <w:r>
              <w:rPr>
                <w:rFonts w:ascii="Arial" w:eastAsia="宋体" w:hAnsi="Arial" w:cs="Arial"/>
                <w:color w:val="000000"/>
                <w:sz w:val="18"/>
                <w:szCs w:val="18"/>
              </w:rPr>
              <w:t>649 </w:t>
            </w:r>
          </w:p>
        </w:tc>
        <w:tc>
          <w:tcPr>
            <w:tcW w:w="0" w:type="auto"/>
            <w:shd w:val="clear" w:color="auto" w:fill="E1E1E1"/>
            <w:tcMar>
              <w:top w:w="40" w:type="dxa"/>
              <w:left w:w="0" w:type="dxa"/>
              <w:bottom w:w="40" w:type="dxa"/>
              <w:right w:w="20" w:type="dxa"/>
            </w:tcMar>
            <w:vAlign w:val="bottom"/>
          </w:tcPr>
          <w:p w14:paraId="22CFBB72" w14:textId="77777777" w:rsidR="002661BA" w:rsidRDefault="002661BA">
            <w:pPr>
              <w:jc w:val="right"/>
              <w:rPr>
                <w:rFonts w:ascii="宋体"/>
              </w:rPr>
            </w:pPr>
          </w:p>
        </w:tc>
      </w:tr>
      <w:tr w:rsidR="002661BA" w14:paraId="22CFBB79" w14:textId="77777777">
        <w:tc>
          <w:tcPr>
            <w:tcW w:w="0" w:type="auto"/>
            <w:gridSpan w:val="3"/>
            <w:shd w:val="clear" w:color="auto" w:fill="FFFFFF"/>
            <w:tcMar>
              <w:top w:w="40" w:type="dxa"/>
              <w:left w:w="20" w:type="dxa"/>
              <w:bottom w:w="40" w:type="dxa"/>
              <w:right w:w="20" w:type="dxa"/>
            </w:tcMar>
            <w:vAlign w:val="bottom"/>
          </w:tcPr>
          <w:p w14:paraId="22CFBB74" w14:textId="77777777" w:rsidR="002661BA" w:rsidRDefault="00D972BC">
            <w:pPr>
              <w:textAlignment w:val="bottom"/>
            </w:pPr>
            <w:r>
              <w:rPr>
                <w:rFonts w:ascii="Arial" w:eastAsia="宋体" w:hAnsi="Arial" w:cs="Arial"/>
                <w:color w:val="000000"/>
                <w:sz w:val="18"/>
                <w:szCs w:val="18"/>
              </w:rPr>
              <w:t>Other current assets</w:t>
            </w:r>
          </w:p>
        </w:tc>
        <w:tc>
          <w:tcPr>
            <w:tcW w:w="0" w:type="auto"/>
            <w:shd w:val="clear" w:color="auto" w:fill="auto"/>
            <w:vAlign w:val="bottom"/>
          </w:tcPr>
          <w:p w14:paraId="22CFBB75" w14:textId="77777777" w:rsidR="002661BA" w:rsidRDefault="002661BA">
            <w:pPr>
              <w:rPr>
                <w:rFonts w:ascii="宋体"/>
                <w:vanish/>
              </w:rPr>
            </w:pPr>
          </w:p>
        </w:tc>
        <w:tc>
          <w:tcPr>
            <w:tcW w:w="0" w:type="auto"/>
            <w:shd w:val="clear" w:color="auto" w:fill="auto"/>
            <w:vAlign w:val="bottom"/>
          </w:tcPr>
          <w:p w14:paraId="22CFBB76" w14:textId="77777777" w:rsidR="002661BA" w:rsidRDefault="002661BA">
            <w:pPr>
              <w:rPr>
                <w:rFonts w:ascii="宋体"/>
                <w:vanish/>
              </w:rPr>
            </w:pPr>
          </w:p>
        </w:tc>
        <w:tc>
          <w:tcPr>
            <w:tcW w:w="0" w:type="auto"/>
            <w:gridSpan w:val="2"/>
            <w:shd w:val="clear" w:color="auto" w:fill="FFFFFF"/>
            <w:tcMar>
              <w:top w:w="40" w:type="dxa"/>
              <w:left w:w="20" w:type="dxa"/>
              <w:bottom w:w="40" w:type="dxa"/>
              <w:right w:w="0" w:type="dxa"/>
            </w:tcMar>
            <w:vAlign w:val="bottom"/>
          </w:tcPr>
          <w:p w14:paraId="22CFBB77" w14:textId="77777777" w:rsidR="002661BA" w:rsidRDefault="00D972BC">
            <w:pPr>
              <w:jc w:val="right"/>
              <w:textAlignment w:val="bottom"/>
            </w:pPr>
            <w:r>
              <w:rPr>
                <w:rFonts w:ascii="Arial" w:eastAsia="宋体" w:hAnsi="Arial" w:cs="Arial"/>
                <w:color w:val="000000"/>
                <w:sz w:val="18"/>
                <w:szCs w:val="18"/>
              </w:rPr>
              <w:t>45 </w:t>
            </w:r>
          </w:p>
        </w:tc>
        <w:tc>
          <w:tcPr>
            <w:tcW w:w="0" w:type="auto"/>
            <w:shd w:val="clear" w:color="auto" w:fill="FFFFFF"/>
            <w:tcMar>
              <w:top w:w="40" w:type="dxa"/>
              <w:left w:w="0" w:type="dxa"/>
              <w:bottom w:w="40" w:type="dxa"/>
              <w:right w:w="20" w:type="dxa"/>
            </w:tcMar>
            <w:vAlign w:val="bottom"/>
          </w:tcPr>
          <w:p w14:paraId="22CFBB78" w14:textId="77777777" w:rsidR="002661BA" w:rsidRDefault="002661BA">
            <w:pPr>
              <w:jc w:val="right"/>
              <w:rPr>
                <w:rFonts w:ascii="宋体"/>
              </w:rPr>
            </w:pPr>
          </w:p>
        </w:tc>
      </w:tr>
      <w:tr w:rsidR="002661BA" w14:paraId="22CFBB7F" w14:textId="77777777">
        <w:tc>
          <w:tcPr>
            <w:tcW w:w="0" w:type="auto"/>
            <w:gridSpan w:val="3"/>
            <w:shd w:val="clear" w:color="auto" w:fill="E1E1E1"/>
            <w:tcMar>
              <w:top w:w="40" w:type="dxa"/>
              <w:left w:w="20" w:type="dxa"/>
              <w:bottom w:w="40" w:type="dxa"/>
              <w:right w:w="20" w:type="dxa"/>
            </w:tcMar>
            <w:vAlign w:val="bottom"/>
          </w:tcPr>
          <w:p w14:paraId="22CFBB7A" w14:textId="77777777" w:rsidR="002661BA" w:rsidRDefault="00D972BC">
            <w:pPr>
              <w:textAlignment w:val="bottom"/>
            </w:pPr>
            <w:r>
              <w:rPr>
                <w:rFonts w:ascii="Arial" w:eastAsia="宋体" w:hAnsi="Arial" w:cs="Arial"/>
                <w:color w:val="000000"/>
                <w:sz w:val="18"/>
                <w:szCs w:val="18"/>
              </w:rPr>
              <w:t>Property and equipment, net</w:t>
            </w:r>
          </w:p>
        </w:tc>
        <w:tc>
          <w:tcPr>
            <w:tcW w:w="0" w:type="auto"/>
            <w:shd w:val="clear" w:color="auto" w:fill="auto"/>
            <w:vAlign w:val="bottom"/>
          </w:tcPr>
          <w:p w14:paraId="22CFBB7B" w14:textId="77777777" w:rsidR="002661BA" w:rsidRDefault="002661BA">
            <w:pPr>
              <w:rPr>
                <w:rFonts w:ascii="宋体"/>
                <w:vanish/>
              </w:rPr>
            </w:pPr>
          </w:p>
        </w:tc>
        <w:tc>
          <w:tcPr>
            <w:tcW w:w="0" w:type="auto"/>
            <w:shd w:val="clear" w:color="auto" w:fill="auto"/>
            <w:vAlign w:val="bottom"/>
          </w:tcPr>
          <w:p w14:paraId="22CFBB7C" w14:textId="77777777" w:rsidR="002661BA" w:rsidRDefault="002661BA">
            <w:pPr>
              <w:rPr>
                <w:rFonts w:ascii="宋体"/>
                <w:vanish/>
              </w:rPr>
            </w:pPr>
          </w:p>
        </w:tc>
        <w:tc>
          <w:tcPr>
            <w:tcW w:w="0" w:type="auto"/>
            <w:gridSpan w:val="2"/>
            <w:shd w:val="clear" w:color="auto" w:fill="E1E1E1"/>
            <w:tcMar>
              <w:top w:w="40" w:type="dxa"/>
              <w:left w:w="20" w:type="dxa"/>
              <w:bottom w:w="40" w:type="dxa"/>
              <w:right w:w="0" w:type="dxa"/>
            </w:tcMar>
            <w:vAlign w:val="bottom"/>
          </w:tcPr>
          <w:p w14:paraId="22CFBB7D" w14:textId="77777777" w:rsidR="002661BA" w:rsidRDefault="00D972BC">
            <w:pPr>
              <w:jc w:val="right"/>
              <w:textAlignment w:val="bottom"/>
            </w:pPr>
            <w:r>
              <w:rPr>
                <w:rFonts w:ascii="Arial" w:eastAsia="宋体" w:hAnsi="Arial" w:cs="Arial"/>
                <w:color w:val="000000"/>
                <w:sz w:val="18"/>
                <w:szCs w:val="18"/>
              </w:rPr>
              <w:t>66 </w:t>
            </w:r>
          </w:p>
        </w:tc>
        <w:tc>
          <w:tcPr>
            <w:tcW w:w="0" w:type="auto"/>
            <w:shd w:val="clear" w:color="auto" w:fill="E1E1E1"/>
            <w:tcMar>
              <w:top w:w="40" w:type="dxa"/>
              <w:left w:w="0" w:type="dxa"/>
              <w:bottom w:w="40" w:type="dxa"/>
              <w:right w:w="20" w:type="dxa"/>
            </w:tcMar>
            <w:vAlign w:val="bottom"/>
          </w:tcPr>
          <w:p w14:paraId="22CFBB7E" w14:textId="77777777" w:rsidR="002661BA" w:rsidRDefault="002661BA">
            <w:pPr>
              <w:jc w:val="right"/>
              <w:rPr>
                <w:rFonts w:ascii="宋体"/>
              </w:rPr>
            </w:pPr>
          </w:p>
        </w:tc>
      </w:tr>
      <w:tr w:rsidR="002661BA" w14:paraId="22CFBB85" w14:textId="77777777">
        <w:tc>
          <w:tcPr>
            <w:tcW w:w="0" w:type="auto"/>
            <w:gridSpan w:val="3"/>
            <w:shd w:val="clear" w:color="auto" w:fill="FFFFFF"/>
            <w:tcMar>
              <w:top w:w="40" w:type="dxa"/>
              <w:left w:w="20" w:type="dxa"/>
              <w:bottom w:w="40" w:type="dxa"/>
              <w:right w:w="20" w:type="dxa"/>
            </w:tcMar>
            <w:vAlign w:val="bottom"/>
          </w:tcPr>
          <w:p w14:paraId="22CFBB80" w14:textId="77777777" w:rsidR="002661BA" w:rsidRDefault="00D972BC">
            <w:pPr>
              <w:textAlignment w:val="bottom"/>
            </w:pPr>
            <w:r>
              <w:rPr>
                <w:rFonts w:ascii="Arial" w:eastAsia="宋体" w:hAnsi="Arial" w:cs="Arial"/>
                <w:color w:val="000000"/>
                <w:sz w:val="18"/>
                <w:szCs w:val="18"/>
              </w:rPr>
              <w:t>Goodwill</w:t>
            </w:r>
          </w:p>
        </w:tc>
        <w:tc>
          <w:tcPr>
            <w:tcW w:w="0" w:type="auto"/>
            <w:shd w:val="clear" w:color="auto" w:fill="auto"/>
            <w:vAlign w:val="bottom"/>
          </w:tcPr>
          <w:p w14:paraId="22CFBB81" w14:textId="77777777" w:rsidR="002661BA" w:rsidRDefault="002661BA">
            <w:pPr>
              <w:rPr>
                <w:rFonts w:ascii="宋体"/>
                <w:vanish/>
              </w:rPr>
            </w:pPr>
          </w:p>
        </w:tc>
        <w:tc>
          <w:tcPr>
            <w:tcW w:w="0" w:type="auto"/>
            <w:shd w:val="clear" w:color="auto" w:fill="auto"/>
            <w:vAlign w:val="bottom"/>
          </w:tcPr>
          <w:p w14:paraId="22CFBB82" w14:textId="77777777" w:rsidR="002661BA" w:rsidRDefault="002661BA">
            <w:pPr>
              <w:rPr>
                <w:rFonts w:ascii="宋体"/>
                <w:vanish/>
              </w:rPr>
            </w:pPr>
          </w:p>
        </w:tc>
        <w:tc>
          <w:tcPr>
            <w:tcW w:w="0" w:type="auto"/>
            <w:gridSpan w:val="2"/>
            <w:shd w:val="clear" w:color="auto" w:fill="FFFFFF"/>
            <w:tcMar>
              <w:top w:w="40" w:type="dxa"/>
              <w:left w:w="20" w:type="dxa"/>
              <w:bottom w:w="40" w:type="dxa"/>
              <w:right w:w="0" w:type="dxa"/>
            </w:tcMar>
            <w:vAlign w:val="bottom"/>
          </w:tcPr>
          <w:p w14:paraId="22CFBB83" w14:textId="77777777" w:rsidR="002661BA" w:rsidRDefault="00D972BC">
            <w:pPr>
              <w:jc w:val="right"/>
              <w:textAlignment w:val="bottom"/>
            </w:pPr>
            <w:r>
              <w:rPr>
                <w:rFonts w:ascii="Arial" w:eastAsia="宋体" w:hAnsi="Arial" w:cs="Arial"/>
                <w:color w:val="000000"/>
                <w:sz w:val="18"/>
                <w:szCs w:val="18"/>
              </w:rPr>
              <w:t>390 </w:t>
            </w:r>
          </w:p>
        </w:tc>
        <w:tc>
          <w:tcPr>
            <w:tcW w:w="0" w:type="auto"/>
            <w:shd w:val="clear" w:color="auto" w:fill="FFFFFF"/>
            <w:tcMar>
              <w:top w:w="40" w:type="dxa"/>
              <w:left w:w="0" w:type="dxa"/>
              <w:bottom w:w="40" w:type="dxa"/>
              <w:right w:w="20" w:type="dxa"/>
            </w:tcMar>
            <w:vAlign w:val="bottom"/>
          </w:tcPr>
          <w:p w14:paraId="22CFBB84" w14:textId="77777777" w:rsidR="002661BA" w:rsidRDefault="002661BA">
            <w:pPr>
              <w:jc w:val="right"/>
              <w:rPr>
                <w:rFonts w:ascii="宋体"/>
              </w:rPr>
            </w:pPr>
          </w:p>
        </w:tc>
      </w:tr>
      <w:tr w:rsidR="002661BA" w14:paraId="22CFBB8B" w14:textId="77777777">
        <w:tc>
          <w:tcPr>
            <w:tcW w:w="0" w:type="auto"/>
            <w:gridSpan w:val="3"/>
            <w:shd w:val="clear" w:color="auto" w:fill="E1E1E1"/>
            <w:tcMar>
              <w:top w:w="40" w:type="dxa"/>
              <w:left w:w="20" w:type="dxa"/>
              <w:bottom w:w="40" w:type="dxa"/>
              <w:right w:w="20" w:type="dxa"/>
            </w:tcMar>
            <w:vAlign w:val="bottom"/>
          </w:tcPr>
          <w:p w14:paraId="22CFBB86" w14:textId="77777777" w:rsidR="002661BA" w:rsidRDefault="00D972BC">
            <w:pPr>
              <w:textAlignment w:val="bottom"/>
            </w:pPr>
            <w:r>
              <w:rPr>
                <w:rFonts w:ascii="Arial" w:eastAsia="宋体" w:hAnsi="Arial" w:cs="Arial"/>
                <w:color w:val="000000"/>
                <w:sz w:val="18"/>
                <w:szCs w:val="18"/>
              </w:rPr>
              <w:t xml:space="preserve">Operating lease </w:t>
            </w:r>
            <w:r>
              <w:rPr>
                <w:rFonts w:ascii="Arial" w:eastAsia="宋体" w:hAnsi="Arial" w:cs="Arial"/>
                <w:color w:val="000000"/>
                <w:sz w:val="18"/>
                <w:szCs w:val="18"/>
              </w:rPr>
              <w:t>right-of-use assets</w:t>
            </w:r>
          </w:p>
        </w:tc>
        <w:tc>
          <w:tcPr>
            <w:tcW w:w="0" w:type="auto"/>
            <w:shd w:val="clear" w:color="auto" w:fill="auto"/>
            <w:vAlign w:val="bottom"/>
          </w:tcPr>
          <w:p w14:paraId="22CFBB87" w14:textId="77777777" w:rsidR="002661BA" w:rsidRDefault="002661BA">
            <w:pPr>
              <w:rPr>
                <w:rFonts w:ascii="宋体"/>
                <w:vanish/>
              </w:rPr>
            </w:pPr>
          </w:p>
        </w:tc>
        <w:tc>
          <w:tcPr>
            <w:tcW w:w="0" w:type="auto"/>
            <w:shd w:val="clear" w:color="auto" w:fill="auto"/>
            <w:vAlign w:val="bottom"/>
          </w:tcPr>
          <w:p w14:paraId="22CFBB88" w14:textId="77777777" w:rsidR="002661BA" w:rsidRDefault="002661BA">
            <w:pPr>
              <w:rPr>
                <w:rFonts w:ascii="宋体"/>
                <w:vanish/>
              </w:rPr>
            </w:pPr>
          </w:p>
        </w:tc>
        <w:tc>
          <w:tcPr>
            <w:tcW w:w="0" w:type="auto"/>
            <w:gridSpan w:val="2"/>
            <w:shd w:val="clear" w:color="auto" w:fill="E1E1E1"/>
            <w:tcMar>
              <w:top w:w="40" w:type="dxa"/>
              <w:left w:w="20" w:type="dxa"/>
              <w:bottom w:w="40" w:type="dxa"/>
              <w:right w:w="0" w:type="dxa"/>
            </w:tcMar>
            <w:vAlign w:val="bottom"/>
          </w:tcPr>
          <w:p w14:paraId="22CFBB89" w14:textId="77777777" w:rsidR="002661BA" w:rsidRDefault="00D972BC">
            <w:pPr>
              <w:jc w:val="right"/>
              <w:textAlignment w:val="bottom"/>
            </w:pPr>
            <w:r>
              <w:rPr>
                <w:rFonts w:ascii="Arial" w:eastAsia="宋体" w:hAnsi="Arial" w:cs="Arial"/>
                <w:color w:val="000000"/>
                <w:sz w:val="18"/>
                <w:szCs w:val="18"/>
              </w:rPr>
              <w:t>79 </w:t>
            </w:r>
          </w:p>
        </w:tc>
        <w:tc>
          <w:tcPr>
            <w:tcW w:w="0" w:type="auto"/>
            <w:shd w:val="clear" w:color="auto" w:fill="E1E1E1"/>
            <w:tcMar>
              <w:top w:w="40" w:type="dxa"/>
              <w:left w:w="0" w:type="dxa"/>
              <w:bottom w:w="40" w:type="dxa"/>
              <w:right w:w="20" w:type="dxa"/>
            </w:tcMar>
            <w:vAlign w:val="bottom"/>
          </w:tcPr>
          <w:p w14:paraId="22CFBB8A" w14:textId="77777777" w:rsidR="002661BA" w:rsidRDefault="002661BA">
            <w:pPr>
              <w:jc w:val="right"/>
              <w:rPr>
                <w:rFonts w:ascii="宋体"/>
              </w:rPr>
            </w:pPr>
          </w:p>
        </w:tc>
      </w:tr>
      <w:tr w:rsidR="002661BA" w14:paraId="22CFBB91" w14:textId="77777777">
        <w:tc>
          <w:tcPr>
            <w:tcW w:w="0" w:type="auto"/>
            <w:gridSpan w:val="3"/>
            <w:shd w:val="clear" w:color="auto" w:fill="FFFFFF"/>
            <w:tcMar>
              <w:top w:w="40" w:type="dxa"/>
              <w:left w:w="20" w:type="dxa"/>
              <w:bottom w:w="40" w:type="dxa"/>
              <w:right w:w="20" w:type="dxa"/>
            </w:tcMar>
            <w:vAlign w:val="bottom"/>
          </w:tcPr>
          <w:p w14:paraId="22CFBB8C" w14:textId="77777777" w:rsidR="002661BA" w:rsidRDefault="00D972BC">
            <w:pPr>
              <w:textAlignment w:val="bottom"/>
            </w:pPr>
            <w:r>
              <w:rPr>
                <w:rFonts w:ascii="Arial" w:eastAsia="宋体" w:hAnsi="Arial" w:cs="Arial"/>
                <w:color w:val="000000"/>
                <w:sz w:val="18"/>
                <w:szCs w:val="18"/>
              </w:rPr>
              <w:t>Other assets</w:t>
            </w:r>
          </w:p>
        </w:tc>
        <w:tc>
          <w:tcPr>
            <w:tcW w:w="0" w:type="auto"/>
            <w:shd w:val="clear" w:color="auto" w:fill="auto"/>
            <w:vAlign w:val="bottom"/>
          </w:tcPr>
          <w:p w14:paraId="22CFBB8D" w14:textId="77777777" w:rsidR="002661BA" w:rsidRDefault="002661BA">
            <w:pPr>
              <w:rPr>
                <w:rFonts w:ascii="宋体"/>
                <w:vanish/>
              </w:rPr>
            </w:pPr>
          </w:p>
        </w:tc>
        <w:tc>
          <w:tcPr>
            <w:tcW w:w="0" w:type="auto"/>
            <w:shd w:val="clear" w:color="auto" w:fill="auto"/>
            <w:vAlign w:val="bottom"/>
          </w:tcPr>
          <w:p w14:paraId="22CFBB8E" w14:textId="77777777" w:rsidR="002661BA" w:rsidRDefault="002661BA">
            <w:pPr>
              <w:rPr>
                <w:rFonts w:ascii="宋体"/>
                <w:vanish/>
              </w:rPr>
            </w:pPr>
          </w:p>
        </w:tc>
        <w:tc>
          <w:tcPr>
            <w:tcW w:w="0" w:type="auto"/>
            <w:gridSpan w:val="2"/>
            <w:shd w:val="clear" w:color="auto" w:fill="FFFFFF"/>
            <w:tcMar>
              <w:top w:w="40" w:type="dxa"/>
              <w:left w:w="20" w:type="dxa"/>
              <w:bottom w:w="40" w:type="dxa"/>
              <w:right w:w="0" w:type="dxa"/>
            </w:tcMar>
            <w:vAlign w:val="bottom"/>
          </w:tcPr>
          <w:p w14:paraId="22CFBB8F" w14:textId="77777777" w:rsidR="002661BA" w:rsidRDefault="00D972BC">
            <w:pPr>
              <w:jc w:val="right"/>
              <w:textAlignment w:val="bottom"/>
            </w:pPr>
            <w:r>
              <w:rPr>
                <w:rFonts w:ascii="Arial" w:eastAsia="宋体" w:hAnsi="Arial" w:cs="Arial"/>
                <w:color w:val="000000"/>
                <w:sz w:val="18"/>
                <w:szCs w:val="18"/>
              </w:rPr>
              <w:t>14 </w:t>
            </w:r>
          </w:p>
        </w:tc>
        <w:tc>
          <w:tcPr>
            <w:tcW w:w="0" w:type="auto"/>
            <w:shd w:val="clear" w:color="auto" w:fill="FFFFFF"/>
            <w:tcMar>
              <w:top w:w="40" w:type="dxa"/>
              <w:left w:w="0" w:type="dxa"/>
              <w:bottom w:w="40" w:type="dxa"/>
              <w:right w:w="20" w:type="dxa"/>
            </w:tcMar>
            <w:vAlign w:val="bottom"/>
          </w:tcPr>
          <w:p w14:paraId="22CFBB90" w14:textId="77777777" w:rsidR="002661BA" w:rsidRDefault="002661BA">
            <w:pPr>
              <w:jc w:val="right"/>
              <w:rPr>
                <w:rFonts w:ascii="宋体"/>
              </w:rPr>
            </w:pPr>
          </w:p>
        </w:tc>
      </w:tr>
      <w:tr w:rsidR="002661BA" w14:paraId="22CFBB98" w14:textId="77777777">
        <w:tc>
          <w:tcPr>
            <w:tcW w:w="0" w:type="auto"/>
            <w:gridSpan w:val="3"/>
            <w:shd w:val="clear" w:color="auto" w:fill="E1E1E1"/>
            <w:tcMar>
              <w:top w:w="40" w:type="dxa"/>
              <w:left w:w="500" w:type="dxa"/>
              <w:bottom w:w="40" w:type="dxa"/>
              <w:right w:w="20" w:type="dxa"/>
            </w:tcMar>
            <w:vAlign w:val="bottom"/>
          </w:tcPr>
          <w:p w14:paraId="22CFBB92" w14:textId="77777777" w:rsidR="002661BA" w:rsidRDefault="00D972BC">
            <w:pPr>
              <w:textAlignment w:val="bottom"/>
            </w:pPr>
            <w:r>
              <w:rPr>
                <w:rFonts w:ascii="Arial" w:eastAsia="宋体" w:hAnsi="Arial" w:cs="Arial"/>
                <w:color w:val="000000"/>
                <w:sz w:val="18"/>
                <w:szCs w:val="18"/>
              </w:rPr>
              <w:t>Total assets classified as discontinued operations in the consolidated balance sheet</w:t>
            </w:r>
          </w:p>
        </w:tc>
        <w:tc>
          <w:tcPr>
            <w:tcW w:w="0" w:type="auto"/>
            <w:shd w:val="clear" w:color="auto" w:fill="auto"/>
            <w:vAlign w:val="bottom"/>
          </w:tcPr>
          <w:p w14:paraId="22CFBB93" w14:textId="77777777" w:rsidR="002661BA" w:rsidRDefault="002661BA">
            <w:pPr>
              <w:rPr>
                <w:rFonts w:ascii="宋体"/>
                <w:vanish/>
              </w:rPr>
            </w:pPr>
          </w:p>
        </w:tc>
        <w:tc>
          <w:tcPr>
            <w:tcW w:w="0" w:type="auto"/>
            <w:shd w:val="clear" w:color="auto" w:fill="auto"/>
            <w:vAlign w:val="bottom"/>
          </w:tcPr>
          <w:p w14:paraId="22CFBB94" w14:textId="77777777" w:rsidR="002661BA" w:rsidRDefault="002661BA">
            <w:pPr>
              <w:rPr>
                <w:rFonts w:ascii="宋体"/>
                <w:vanish/>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22CFBB9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22CFBB96" w14:textId="77777777" w:rsidR="002661BA" w:rsidRDefault="00D972BC">
            <w:pPr>
              <w:jc w:val="right"/>
              <w:textAlignment w:val="bottom"/>
            </w:pPr>
            <w:r>
              <w:rPr>
                <w:rFonts w:ascii="Arial" w:eastAsia="宋体" w:hAnsi="Arial" w:cs="Arial"/>
                <w:color w:val="000000"/>
                <w:sz w:val="18"/>
                <w:szCs w:val="18"/>
              </w:rPr>
              <w:t>1,626 </w:t>
            </w:r>
          </w:p>
        </w:tc>
        <w:tc>
          <w:tcPr>
            <w:tcW w:w="0" w:type="auto"/>
            <w:tcBorders>
              <w:top w:val="single" w:sz="8" w:space="0" w:color="000000"/>
            </w:tcBorders>
            <w:shd w:val="clear" w:color="auto" w:fill="E1E1E1"/>
            <w:tcMar>
              <w:top w:w="40" w:type="dxa"/>
              <w:left w:w="0" w:type="dxa"/>
              <w:bottom w:w="40" w:type="dxa"/>
              <w:right w:w="20" w:type="dxa"/>
            </w:tcMar>
            <w:vAlign w:val="bottom"/>
          </w:tcPr>
          <w:p w14:paraId="22CFBB97" w14:textId="77777777" w:rsidR="002661BA" w:rsidRDefault="002661BA">
            <w:pPr>
              <w:jc w:val="right"/>
              <w:rPr>
                <w:rFonts w:ascii="宋体"/>
              </w:rPr>
            </w:pPr>
          </w:p>
        </w:tc>
      </w:tr>
      <w:tr w:rsidR="002661BA" w14:paraId="22CFBB9D" w14:textId="77777777">
        <w:trPr>
          <w:trHeight w:val="180"/>
        </w:trPr>
        <w:tc>
          <w:tcPr>
            <w:tcW w:w="0" w:type="auto"/>
            <w:gridSpan w:val="3"/>
            <w:shd w:val="clear" w:color="auto" w:fill="FFFFFF"/>
            <w:tcMar>
              <w:top w:w="0" w:type="dxa"/>
              <w:left w:w="20" w:type="dxa"/>
              <w:bottom w:w="0" w:type="dxa"/>
              <w:right w:w="20" w:type="dxa"/>
            </w:tcMar>
            <w:vAlign w:val="bottom"/>
          </w:tcPr>
          <w:p w14:paraId="22CFBB99" w14:textId="77777777" w:rsidR="002661BA" w:rsidRDefault="002661BA">
            <w:pPr>
              <w:rPr>
                <w:rFonts w:ascii="宋体"/>
              </w:rPr>
            </w:pPr>
          </w:p>
        </w:tc>
        <w:tc>
          <w:tcPr>
            <w:tcW w:w="0" w:type="auto"/>
            <w:shd w:val="clear" w:color="auto" w:fill="auto"/>
            <w:vAlign w:val="bottom"/>
          </w:tcPr>
          <w:p w14:paraId="22CFBB9A" w14:textId="77777777" w:rsidR="002661BA" w:rsidRDefault="002661BA">
            <w:pPr>
              <w:rPr>
                <w:rFonts w:ascii="宋体"/>
                <w:vanish/>
              </w:rPr>
            </w:pPr>
          </w:p>
        </w:tc>
        <w:tc>
          <w:tcPr>
            <w:tcW w:w="0" w:type="auto"/>
            <w:shd w:val="clear" w:color="auto" w:fill="auto"/>
            <w:vAlign w:val="bottom"/>
          </w:tcPr>
          <w:p w14:paraId="22CFBB9B" w14:textId="77777777" w:rsidR="002661BA" w:rsidRDefault="002661BA">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BB9C" w14:textId="77777777" w:rsidR="002661BA" w:rsidRDefault="002661BA">
            <w:pPr>
              <w:rPr>
                <w:rFonts w:ascii="宋体"/>
              </w:rPr>
            </w:pPr>
          </w:p>
        </w:tc>
      </w:tr>
      <w:tr w:rsidR="002661BA" w14:paraId="22CFBBA2" w14:textId="77777777">
        <w:tc>
          <w:tcPr>
            <w:tcW w:w="0" w:type="auto"/>
            <w:gridSpan w:val="3"/>
            <w:shd w:val="clear" w:color="auto" w:fill="E1E1E1"/>
            <w:tcMar>
              <w:top w:w="40" w:type="dxa"/>
              <w:left w:w="20" w:type="dxa"/>
              <w:bottom w:w="40" w:type="dxa"/>
              <w:right w:w="20" w:type="dxa"/>
            </w:tcMar>
            <w:vAlign w:val="bottom"/>
          </w:tcPr>
          <w:p w14:paraId="22CFBB9E" w14:textId="77777777" w:rsidR="002661BA" w:rsidRDefault="00D972BC">
            <w:pPr>
              <w:textAlignment w:val="bottom"/>
            </w:pPr>
            <w:r>
              <w:rPr>
                <w:rFonts w:ascii="Arial" w:eastAsia="宋体" w:hAnsi="Arial" w:cs="Arial"/>
                <w:color w:val="000000"/>
                <w:sz w:val="18"/>
                <w:szCs w:val="18"/>
              </w:rPr>
              <w:t>Carrying amounts of liabilities included as part of discontinued operations:</w:t>
            </w:r>
          </w:p>
        </w:tc>
        <w:tc>
          <w:tcPr>
            <w:tcW w:w="0" w:type="auto"/>
            <w:shd w:val="clear" w:color="auto" w:fill="auto"/>
            <w:vAlign w:val="bottom"/>
          </w:tcPr>
          <w:p w14:paraId="22CFBB9F" w14:textId="77777777" w:rsidR="002661BA" w:rsidRDefault="002661BA">
            <w:pPr>
              <w:rPr>
                <w:rFonts w:ascii="宋体"/>
                <w:vanish/>
              </w:rPr>
            </w:pPr>
          </w:p>
        </w:tc>
        <w:tc>
          <w:tcPr>
            <w:tcW w:w="0" w:type="auto"/>
            <w:shd w:val="clear" w:color="auto" w:fill="auto"/>
            <w:vAlign w:val="bottom"/>
          </w:tcPr>
          <w:p w14:paraId="22CFBBA0" w14:textId="77777777" w:rsidR="002661BA" w:rsidRDefault="002661BA">
            <w:pPr>
              <w:rPr>
                <w:rFonts w:ascii="宋体"/>
                <w:vanish/>
              </w:rPr>
            </w:pPr>
          </w:p>
        </w:tc>
        <w:tc>
          <w:tcPr>
            <w:tcW w:w="0" w:type="auto"/>
            <w:gridSpan w:val="3"/>
            <w:shd w:val="clear" w:color="auto" w:fill="E1E1E1"/>
            <w:tcMar>
              <w:top w:w="0" w:type="dxa"/>
              <w:left w:w="20" w:type="dxa"/>
              <w:bottom w:w="0" w:type="dxa"/>
              <w:right w:w="20" w:type="dxa"/>
            </w:tcMar>
            <w:vAlign w:val="bottom"/>
          </w:tcPr>
          <w:p w14:paraId="22CFBBA1" w14:textId="77777777" w:rsidR="002661BA" w:rsidRDefault="002661BA">
            <w:pPr>
              <w:rPr>
                <w:rFonts w:ascii="宋体"/>
              </w:rPr>
            </w:pPr>
          </w:p>
        </w:tc>
      </w:tr>
      <w:tr w:rsidR="002661BA" w14:paraId="22CFBBA9" w14:textId="77777777">
        <w:tc>
          <w:tcPr>
            <w:tcW w:w="0" w:type="auto"/>
            <w:gridSpan w:val="3"/>
            <w:shd w:val="clear" w:color="auto" w:fill="FFFFFF"/>
            <w:tcMar>
              <w:top w:w="40" w:type="dxa"/>
              <w:left w:w="20" w:type="dxa"/>
              <w:bottom w:w="40" w:type="dxa"/>
              <w:right w:w="20" w:type="dxa"/>
            </w:tcMar>
            <w:vAlign w:val="bottom"/>
          </w:tcPr>
          <w:p w14:paraId="22CFBBA3" w14:textId="77777777" w:rsidR="002661BA" w:rsidRDefault="00D972BC">
            <w:pPr>
              <w:textAlignment w:val="bottom"/>
            </w:pPr>
            <w:r>
              <w:rPr>
                <w:rFonts w:ascii="Arial" w:eastAsia="宋体" w:hAnsi="Arial" w:cs="Arial"/>
                <w:color w:val="000000"/>
                <w:sz w:val="18"/>
                <w:szCs w:val="18"/>
              </w:rPr>
              <w:t>Short-term debt</w:t>
            </w:r>
          </w:p>
        </w:tc>
        <w:tc>
          <w:tcPr>
            <w:tcW w:w="0" w:type="auto"/>
            <w:shd w:val="clear" w:color="auto" w:fill="auto"/>
            <w:vAlign w:val="bottom"/>
          </w:tcPr>
          <w:p w14:paraId="22CFBBA4" w14:textId="77777777" w:rsidR="002661BA" w:rsidRDefault="002661BA">
            <w:pPr>
              <w:rPr>
                <w:rFonts w:ascii="宋体"/>
                <w:vanish/>
              </w:rPr>
            </w:pPr>
          </w:p>
        </w:tc>
        <w:tc>
          <w:tcPr>
            <w:tcW w:w="0" w:type="auto"/>
            <w:shd w:val="clear" w:color="auto" w:fill="auto"/>
            <w:vAlign w:val="bottom"/>
          </w:tcPr>
          <w:p w14:paraId="22CFBBA5" w14:textId="77777777" w:rsidR="002661BA" w:rsidRDefault="002661BA">
            <w:pPr>
              <w:rPr>
                <w:rFonts w:ascii="宋体"/>
                <w:vanish/>
              </w:rPr>
            </w:pPr>
          </w:p>
        </w:tc>
        <w:tc>
          <w:tcPr>
            <w:tcW w:w="0" w:type="auto"/>
            <w:shd w:val="clear" w:color="auto" w:fill="FFFFFF"/>
            <w:tcMar>
              <w:top w:w="40" w:type="dxa"/>
              <w:left w:w="20" w:type="dxa"/>
              <w:bottom w:w="40" w:type="dxa"/>
              <w:right w:w="0" w:type="dxa"/>
            </w:tcMar>
            <w:vAlign w:val="bottom"/>
          </w:tcPr>
          <w:p w14:paraId="22CFBBA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BA7" w14:textId="77777777" w:rsidR="002661BA" w:rsidRDefault="00D972BC">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22CFBBA8" w14:textId="77777777" w:rsidR="002661BA" w:rsidRDefault="002661BA">
            <w:pPr>
              <w:jc w:val="right"/>
              <w:rPr>
                <w:rFonts w:ascii="宋体"/>
              </w:rPr>
            </w:pPr>
          </w:p>
        </w:tc>
      </w:tr>
      <w:tr w:rsidR="002661BA" w14:paraId="22CFBBAF" w14:textId="77777777">
        <w:tc>
          <w:tcPr>
            <w:tcW w:w="0" w:type="auto"/>
            <w:gridSpan w:val="3"/>
            <w:shd w:val="clear" w:color="auto" w:fill="E1E1E1"/>
            <w:tcMar>
              <w:top w:w="40" w:type="dxa"/>
              <w:left w:w="20" w:type="dxa"/>
              <w:bottom w:w="40" w:type="dxa"/>
              <w:right w:w="20" w:type="dxa"/>
            </w:tcMar>
            <w:vAlign w:val="bottom"/>
          </w:tcPr>
          <w:p w14:paraId="22CFBBAA" w14:textId="77777777" w:rsidR="002661BA" w:rsidRDefault="00D972BC">
            <w:pPr>
              <w:textAlignment w:val="bottom"/>
            </w:pPr>
            <w:r>
              <w:rPr>
                <w:rFonts w:ascii="Arial" w:eastAsia="宋体" w:hAnsi="Arial" w:cs="Arial"/>
                <w:color w:val="000000"/>
                <w:sz w:val="18"/>
                <w:szCs w:val="18"/>
              </w:rPr>
              <w:t>Accounts payable</w:t>
            </w:r>
          </w:p>
        </w:tc>
        <w:tc>
          <w:tcPr>
            <w:tcW w:w="0" w:type="auto"/>
            <w:shd w:val="clear" w:color="auto" w:fill="auto"/>
            <w:vAlign w:val="bottom"/>
          </w:tcPr>
          <w:p w14:paraId="22CFBBAB" w14:textId="77777777" w:rsidR="002661BA" w:rsidRDefault="002661BA">
            <w:pPr>
              <w:rPr>
                <w:rFonts w:ascii="宋体"/>
                <w:vanish/>
              </w:rPr>
            </w:pPr>
          </w:p>
        </w:tc>
        <w:tc>
          <w:tcPr>
            <w:tcW w:w="0" w:type="auto"/>
            <w:shd w:val="clear" w:color="auto" w:fill="auto"/>
            <w:vAlign w:val="bottom"/>
          </w:tcPr>
          <w:p w14:paraId="22CFBBAC" w14:textId="77777777" w:rsidR="002661BA" w:rsidRDefault="002661BA">
            <w:pPr>
              <w:rPr>
                <w:rFonts w:ascii="宋体"/>
                <w:vanish/>
              </w:rPr>
            </w:pPr>
          </w:p>
        </w:tc>
        <w:tc>
          <w:tcPr>
            <w:tcW w:w="0" w:type="auto"/>
            <w:gridSpan w:val="2"/>
            <w:shd w:val="clear" w:color="auto" w:fill="E1E1E1"/>
            <w:tcMar>
              <w:top w:w="40" w:type="dxa"/>
              <w:left w:w="20" w:type="dxa"/>
              <w:bottom w:w="40" w:type="dxa"/>
              <w:right w:w="0" w:type="dxa"/>
            </w:tcMar>
            <w:vAlign w:val="bottom"/>
          </w:tcPr>
          <w:p w14:paraId="22CFBBAD" w14:textId="77777777" w:rsidR="002661BA" w:rsidRDefault="00D972BC">
            <w:pPr>
              <w:jc w:val="right"/>
              <w:textAlignment w:val="bottom"/>
            </w:pPr>
            <w:r>
              <w:rPr>
                <w:rFonts w:ascii="Arial" w:eastAsia="宋体" w:hAnsi="Arial" w:cs="Arial"/>
                <w:color w:val="000000"/>
                <w:sz w:val="18"/>
                <w:szCs w:val="18"/>
              </w:rPr>
              <w:t>54 </w:t>
            </w:r>
          </w:p>
        </w:tc>
        <w:tc>
          <w:tcPr>
            <w:tcW w:w="0" w:type="auto"/>
            <w:shd w:val="clear" w:color="auto" w:fill="E1E1E1"/>
            <w:tcMar>
              <w:top w:w="40" w:type="dxa"/>
              <w:left w:w="0" w:type="dxa"/>
              <w:bottom w:w="40" w:type="dxa"/>
              <w:right w:w="20" w:type="dxa"/>
            </w:tcMar>
            <w:vAlign w:val="bottom"/>
          </w:tcPr>
          <w:p w14:paraId="22CFBBAE" w14:textId="77777777" w:rsidR="002661BA" w:rsidRDefault="002661BA">
            <w:pPr>
              <w:jc w:val="right"/>
              <w:rPr>
                <w:rFonts w:ascii="宋体"/>
              </w:rPr>
            </w:pPr>
          </w:p>
        </w:tc>
      </w:tr>
      <w:tr w:rsidR="002661BA" w14:paraId="22CFBBB5" w14:textId="77777777">
        <w:tc>
          <w:tcPr>
            <w:tcW w:w="0" w:type="auto"/>
            <w:gridSpan w:val="3"/>
            <w:shd w:val="clear" w:color="auto" w:fill="FFFFFF"/>
            <w:tcMar>
              <w:top w:w="40" w:type="dxa"/>
              <w:left w:w="20" w:type="dxa"/>
              <w:bottom w:w="40" w:type="dxa"/>
              <w:right w:w="20" w:type="dxa"/>
            </w:tcMar>
            <w:vAlign w:val="bottom"/>
          </w:tcPr>
          <w:p w14:paraId="22CFBBB0" w14:textId="77777777" w:rsidR="002661BA" w:rsidRDefault="00D972BC">
            <w:pPr>
              <w:textAlignment w:val="bottom"/>
            </w:pPr>
            <w:r>
              <w:rPr>
                <w:rFonts w:ascii="Arial" w:eastAsia="宋体" w:hAnsi="Arial" w:cs="Arial"/>
                <w:color w:val="000000"/>
                <w:sz w:val="18"/>
                <w:szCs w:val="18"/>
              </w:rPr>
              <w:t>Customer accounts and funds payable</w:t>
            </w:r>
          </w:p>
        </w:tc>
        <w:tc>
          <w:tcPr>
            <w:tcW w:w="0" w:type="auto"/>
            <w:shd w:val="clear" w:color="auto" w:fill="auto"/>
            <w:vAlign w:val="bottom"/>
          </w:tcPr>
          <w:p w14:paraId="22CFBBB1" w14:textId="77777777" w:rsidR="002661BA" w:rsidRDefault="002661BA">
            <w:pPr>
              <w:rPr>
                <w:rFonts w:ascii="宋体"/>
                <w:vanish/>
              </w:rPr>
            </w:pPr>
          </w:p>
        </w:tc>
        <w:tc>
          <w:tcPr>
            <w:tcW w:w="0" w:type="auto"/>
            <w:shd w:val="clear" w:color="auto" w:fill="auto"/>
            <w:vAlign w:val="bottom"/>
          </w:tcPr>
          <w:p w14:paraId="22CFBBB2" w14:textId="77777777" w:rsidR="002661BA" w:rsidRDefault="002661BA">
            <w:pPr>
              <w:rPr>
                <w:rFonts w:ascii="宋体"/>
                <w:vanish/>
              </w:rPr>
            </w:pPr>
          </w:p>
        </w:tc>
        <w:tc>
          <w:tcPr>
            <w:tcW w:w="0" w:type="auto"/>
            <w:gridSpan w:val="2"/>
            <w:shd w:val="clear" w:color="auto" w:fill="FFFFFF"/>
            <w:tcMar>
              <w:top w:w="40" w:type="dxa"/>
              <w:left w:w="20" w:type="dxa"/>
              <w:bottom w:w="40" w:type="dxa"/>
              <w:right w:w="0" w:type="dxa"/>
            </w:tcMar>
            <w:vAlign w:val="bottom"/>
          </w:tcPr>
          <w:p w14:paraId="22CFBBB3" w14:textId="77777777" w:rsidR="002661BA" w:rsidRDefault="00D972BC">
            <w:pPr>
              <w:jc w:val="right"/>
              <w:textAlignment w:val="bottom"/>
            </w:pPr>
            <w:r>
              <w:rPr>
                <w:rFonts w:ascii="Arial" w:eastAsia="宋体" w:hAnsi="Arial" w:cs="Arial"/>
                <w:color w:val="000000"/>
                <w:sz w:val="18"/>
                <w:szCs w:val="18"/>
              </w:rPr>
              <w:t>673 </w:t>
            </w:r>
          </w:p>
        </w:tc>
        <w:tc>
          <w:tcPr>
            <w:tcW w:w="0" w:type="auto"/>
            <w:shd w:val="clear" w:color="auto" w:fill="FFFFFF"/>
            <w:tcMar>
              <w:top w:w="40" w:type="dxa"/>
              <w:left w:w="0" w:type="dxa"/>
              <w:bottom w:w="40" w:type="dxa"/>
              <w:right w:w="20" w:type="dxa"/>
            </w:tcMar>
            <w:vAlign w:val="bottom"/>
          </w:tcPr>
          <w:p w14:paraId="22CFBBB4" w14:textId="77777777" w:rsidR="002661BA" w:rsidRDefault="002661BA">
            <w:pPr>
              <w:jc w:val="right"/>
              <w:rPr>
                <w:rFonts w:ascii="宋体"/>
              </w:rPr>
            </w:pPr>
          </w:p>
        </w:tc>
      </w:tr>
      <w:tr w:rsidR="002661BA" w14:paraId="22CFBBBB" w14:textId="77777777">
        <w:tc>
          <w:tcPr>
            <w:tcW w:w="0" w:type="auto"/>
            <w:gridSpan w:val="3"/>
            <w:shd w:val="clear" w:color="auto" w:fill="E1E1E1"/>
            <w:tcMar>
              <w:top w:w="40" w:type="dxa"/>
              <w:left w:w="20" w:type="dxa"/>
              <w:bottom w:w="40" w:type="dxa"/>
              <w:right w:w="20" w:type="dxa"/>
            </w:tcMar>
            <w:vAlign w:val="bottom"/>
          </w:tcPr>
          <w:p w14:paraId="22CFBBB6" w14:textId="77777777" w:rsidR="002661BA" w:rsidRDefault="00D972BC">
            <w:pPr>
              <w:textAlignment w:val="bottom"/>
            </w:pPr>
            <w:r>
              <w:rPr>
                <w:rFonts w:ascii="Arial" w:eastAsia="宋体" w:hAnsi="Arial" w:cs="Arial"/>
                <w:color w:val="000000"/>
                <w:sz w:val="18"/>
                <w:szCs w:val="18"/>
              </w:rPr>
              <w:t>Accrued expenses and other current liabilities</w:t>
            </w:r>
          </w:p>
        </w:tc>
        <w:tc>
          <w:tcPr>
            <w:tcW w:w="0" w:type="auto"/>
            <w:shd w:val="clear" w:color="auto" w:fill="auto"/>
            <w:vAlign w:val="bottom"/>
          </w:tcPr>
          <w:p w14:paraId="22CFBBB7" w14:textId="77777777" w:rsidR="002661BA" w:rsidRDefault="002661BA">
            <w:pPr>
              <w:rPr>
                <w:rFonts w:ascii="宋体"/>
                <w:vanish/>
              </w:rPr>
            </w:pPr>
          </w:p>
        </w:tc>
        <w:tc>
          <w:tcPr>
            <w:tcW w:w="0" w:type="auto"/>
            <w:shd w:val="clear" w:color="auto" w:fill="auto"/>
            <w:vAlign w:val="bottom"/>
          </w:tcPr>
          <w:p w14:paraId="22CFBBB8" w14:textId="77777777" w:rsidR="002661BA" w:rsidRDefault="002661BA">
            <w:pPr>
              <w:rPr>
                <w:rFonts w:ascii="宋体"/>
                <w:vanish/>
              </w:rPr>
            </w:pPr>
          </w:p>
        </w:tc>
        <w:tc>
          <w:tcPr>
            <w:tcW w:w="0" w:type="auto"/>
            <w:gridSpan w:val="2"/>
            <w:shd w:val="clear" w:color="auto" w:fill="E1E1E1"/>
            <w:tcMar>
              <w:top w:w="40" w:type="dxa"/>
              <w:left w:w="20" w:type="dxa"/>
              <w:bottom w:w="40" w:type="dxa"/>
              <w:right w:w="0" w:type="dxa"/>
            </w:tcMar>
            <w:vAlign w:val="bottom"/>
          </w:tcPr>
          <w:p w14:paraId="22CFBBB9" w14:textId="77777777" w:rsidR="002661BA" w:rsidRDefault="00D972BC">
            <w:pPr>
              <w:jc w:val="right"/>
              <w:textAlignment w:val="bottom"/>
            </w:pPr>
            <w:r>
              <w:rPr>
                <w:rFonts w:ascii="Arial" w:eastAsia="宋体" w:hAnsi="Arial" w:cs="Arial"/>
                <w:color w:val="000000"/>
                <w:sz w:val="18"/>
                <w:szCs w:val="18"/>
              </w:rPr>
              <w:t>91 </w:t>
            </w:r>
          </w:p>
        </w:tc>
        <w:tc>
          <w:tcPr>
            <w:tcW w:w="0" w:type="auto"/>
            <w:shd w:val="clear" w:color="auto" w:fill="E1E1E1"/>
            <w:tcMar>
              <w:top w:w="40" w:type="dxa"/>
              <w:left w:w="0" w:type="dxa"/>
              <w:bottom w:w="40" w:type="dxa"/>
              <w:right w:w="20" w:type="dxa"/>
            </w:tcMar>
            <w:vAlign w:val="bottom"/>
          </w:tcPr>
          <w:p w14:paraId="22CFBBBA" w14:textId="77777777" w:rsidR="002661BA" w:rsidRDefault="002661BA">
            <w:pPr>
              <w:jc w:val="right"/>
              <w:rPr>
                <w:rFonts w:ascii="宋体"/>
              </w:rPr>
            </w:pPr>
          </w:p>
        </w:tc>
      </w:tr>
      <w:tr w:rsidR="002661BA" w14:paraId="22CFBBC1" w14:textId="77777777">
        <w:tc>
          <w:tcPr>
            <w:tcW w:w="0" w:type="auto"/>
            <w:gridSpan w:val="3"/>
            <w:shd w:val="clear" w:color="auto" w:fill="FFFFFF"/>
            <w:tcMar>
              <w:top w:w="40" w:type="dxa"/>
              <w:left w:w="20" w:type="dxa"/>
              <w:bottom w:w="40" w:type="dxa"/>
              <w:right w:w="20" w:type="dxa"/>
            </w:tcMar>
            <w:vAlign w:val="bottom"/>
          </w:tcPr>
          <w:p w14:paraId="22CFBBBC" w14:textId="77777777" w:rsidR="002661BA" w:rsidRDefault="00D972BC">
            <w:pPr>
              <w:textAlignment w:val="bottom"/>
            </w:pPr>
            <w:r>
              <w:rPr>
                <w:rFonts w:ascii="Arial" w:eastAsia="宋体" w:hAnsi="Arial" w:cs="Arial"/>
                <w:color w:val="000000"/>
                <w:sz w:val="18"/>
                <w:szCs w:val="18"/>
              </w:rPr>
              <w:t>Deferred revenue</w:t>
            </w:r>
          </w:p>
        </w:tc>
        <w:tc>
          <w:tcPr>
            <w:tcW w:w="0" w:type="auto"/>
            <w:shd w:val="clear" w:color="auto" w:fill="auto"/>
            <w:vAlign w:val="bottom"/>
          </w:tcPr>
          <w:p w14:paraId="22CFBBBD" w14:textId="77777777" w:rsidR="002661BA" w:rsidRDefault="002661BA">
            <w:pPr>
              <w:rPr>
                <w:rFonts w:ascii="宋体"/>
                <w:vanish/>
              </w:rPr>
            </w:pPr>
          </w:p>
        </w:tc>
        <w:tc>
          <w:tcPr>
            <w:tcW w:w="0" w:type="auto"/>
            <w:shd w:val="clear" w:color="auto" w:fill="auto"/>
            <w:vAlign w:val="bottom"/>
          </w:tcPr>
          <w:p w14:paraId="22CFBBBE" w14:textId="77777777" w:rsidR="002661BA" w:rsidRDefault="002661BA">
            <w:pPr>
              <w:rPr>
                <w:rFonts w:ascii="宋体"/>
                <w:vanish/>
              </w:rPr>
            </w:pPr>
          </w:p>
        </w:tc>
        <w:tc>
          <w:tcPr>
            <w:tcW w:w="0" w:type="auto"/>
            <w:gridSpan w:val="2"/>
            <w:shd w:val="clear" w:color="auto" w:fill="FFFFFF"/>
            <w:tcMar>
              <w:top w:w="40" w:type="dxa"/>
              <w:left w:w="20" w:type="dxa"/>
              <w:bottom w:w="40" w:type="dxa"/>
              <w:right w:w="0" w:type="dxa"/>
            </w:tcMar>
            <w:vAlign w:val="bottom"/>
          </w:tcPr>
          <w:p w14:paraId="22CFBBBF" w14:textId="77777777" w:rsidR="002661BA" w:rsidRDefault="00D972BC">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22CFBBC0" w14:textId="77777777" w:rsidR="002661BA" w:rsidRDefault="002661BA">
            <w:pPr>
              <w:jc w:val="right"/>
              <w:rPr>
                <w:rFonts w:ascii="宋体"/>
              </w:rPr>
            </w:pPr>
          </w:p>
        </w:tc>
      </w:tr>
      <w:tr w:rsidR="002661BA" w14:paraId="22CFBBC7" w14:textId="77777777">
        <w:tc>
          <w:tcPr>
            <w:tcW w:w="0" w:type="auto"/>
            <w:gridSpan w:val="3"/>
            <w:shd w:val="clear" w:color="auto" w:fill="E1E1E1"/>
            <w:tcMar>
              <w:top w:w="40" w:type="dxa"/>
              <w:left w:w="20" w:type="dxa"/>
              <w:bottom w:w="40" w:type="dxa"/>
              <w:right w:w="20" w:type="dxa"/>
            </w:tcMar>
            <w:vAlign w:val="bottom"/>
          </w:tcPr>
          <w:p w14:paraId="22CFBBC2" w14:textId="77777777" w:rsidR="002661BA" w:rsidRDefault="00D972BC">
            <w:pPr>
              <w:textAlignment w:val="bottom"/>
            </w:pPr>
            <w:r>
              <w:rPr>
                <w:rFonts w:ascii="Arial" w:eastAsia="宋体" w:hAnsi="Arial" w:cs="Arial"/>
                <w:color w:val="000000"/>
                <w:sz w:val="18"/>
                <w:szCs w:val="18"/>
              </w:rPr>
              <w:t>Income taxes payable</w:t>
            </w:r>
          </w:p>
        </w:tc>
        <w:tc>
          <w:tcPr>
            <w:tcW w:w="0" w:type="auto"/>
            <w:shd w:val="clear" w:color="auto" w:fill="auto"/>
            <w:vAlign w:val="bottom"/>
          </w:tcPr>
          <w:p w14:paraId="22CFBBC3" w14:textId="77777777" w:rsidR="002661BA" w:rsidRDefault="002661BA">
            <w:pPr>
              <w:rPr>
                <w:rFonts w:ascii="宋体"/>
                <w:vanish/>
              </w:rPr>
            </w:pPr>
          </w:p>
        </w:tc>
        <w:tc>
          <w:tcPr>
            <w:tcW w:w="0" w:type="auto"/>
            <w:shd w:val="clear" w:color="auto" w:fill="auto"/>
            <w:vAlign w:val="bottom"/>
          </w:tcPr>
          <w:p w14:paraId="22CFBBC4" w14:textId="77777777" w:rsidR="002661BA" w:rsidRDefault="002661BA">
            <w:pPr>
              <w:rPr>
                <w:rFonts w:ascii="宋体"/>
                <w:vanish/>
              </w:rPr>
            </w:pPr>
          </w:p>
        </w:tc>
        <w:tc>
          <w:tcPr>
            <w:tcW w:w="0" w:type="auto"/>
            <w:gridSpan w:val="2"/>
            <w:shd w:val="clear" w:color="auto" w:fill="E1E1E1"/>
            <w:tcMar>
              <w:top w:w="40" w:type="dxa"/>
              <w:left w:w="20" w:type="dxa"/>
              <w:bottom w:w="40" w:type="dxa"/>
              <w:right w:w="0" w:type="dxa"/>
            </w:tcMar>
            <w:vAlign w:val="bottom"/>
          </w:tcPr>
          <w:p w14:paraId="22CFBBC5" w14:textId="77777777" w:rsidR="002661BA" w:rsidRDefault="00D972BC">
            <w:pPr>
              <w:jc w:val="right"/>
              <w:textAlignment w:val="bottom"/>
            </w:pPr>
            <w:r>
              <w:rPr>
                <w:rFonts w:ascii="Arial" w:eastAsia="宋体" w:hAnsi="Arial" w:cs="Arial"/>
                <w:color w:val="000000"/>
                <w:sz w:val="18"/>
                <w:szCs w:val="18"/>
              </w:rPr>
              <w:t>13 </w:t>
            </w:r>
          </w:p>
        </w:tc>
        <w:tc>
          <w:tcPr>
            <w:tcW w:w="0" w:type="auto"/>
            <w:shd w:val="clear" w:color="auto" w:fill="E1E1E1"/>
            <w:tcMar>
              <w:top w:w="40" w:type="dxa"/>
              <w:left w:w="0" w:type="dxa"/>
              <w:bottom w:w="40" w:type="dxa"/>
              <w:right w:w="20" w:type="dxa"/>
            </w:tcMar>
            <w:vAlign w:val="bottom"/>
          </w:tcPr>
          <w:p w14:paraId="22CFBBC6" w14:textId="77777777" w:rsidR="002661BA" w:rsidRDefault="002661BA">
            <w:pPr>
              <w:jc w:val="right"/>
              <w:rPr>
                <w:rFonts w:ascii="宋体"/>
              </w:rPr>
            </w:pPr>
          </w:p>
        </w:tc>
      </w:tr>
      <w:tr w:rsidR="002661BA" w14:paraId="22CFBBCD" w14:textId="77777777">
        <w:tc>
          <w:tcPr>
            <w:tcW w:w="0" w:type="auto"/>
            <w:gridSpan w:val="3"/>
            <w:shd w:val="clear" w:color="auto" w:fill="FFFFFF"/>
            <w:tcMar>
              <w:top w:w="40" w:type="dxa"/>
              <w:left w:w="20" w:type="dxa"/>
              <w:bottom w:w="40" w:type="dxa"/>
              <w:right w:w="20" w:type="dxa"/>
            </w:tcMar>
            <w:vAlign w:val="bottom"/>
          </w:tcPr>
          <w:p w14:paraId="22CFBBC8" w14:textId="77777777" w:rsidR="002661BA" w:rsidRDefault="00D972BC">
            <w:pPr>
              <w:textAlignment w:val="bottom"/>
            </w:pPr>
            <w:r>
              <w:rPr>
                <w:rFonts w:ascii="Arial" w:eastAsia="宋体" w:hAnsi="Arial" w:cs="Arial"/>
                <w:color w:val="000000"/>
                <w:sz w:val="18"/>
                <w:szCs w:val="18"/>
              </w:rPr>
              <w:t>Operating lease liabilities</w:t>
            </w:r>
          </w:p>
        </w:tc>
        <w:tc>
          <w:tcPr>
            <w:tcW w:w="0" w:type="auto"/>
            <w:shd w:val="clear" w:color="auto" w:fill="auto"/>
            <w:vAlign w:val="bottom"/>
          </w:tcPr>
          <w:p w14:paraId="22CFBBC9" w14:textId="77777777" w:rsidR="002661BA" w:rsidRDefault="002661BA">
            <w:pPr>
              <w:rPr>
                <w:rFonts w:ascii="宋体"/>
                <w:vanish/>
              </w:rPr>
            </w:pPr>
          </w:p>
        </w:tc>
        <w:tc>
          <w:tcPr>
            <w:tcW w:w="0" w:type="auto"/>
            <w:shd w:val="clear" w:color="auto" w:fill="auto"/>
            <w:vAlign w:val="bottom"/>
          </w:tcPr>
          <w:p w14:paraId="22CFBBCA" w14:textId="77777777" w:rsidR="002661BA" w:rsidRDefault="002661BA">
            <w:pPr>
              <w:rPr>
                <w:rFonts w:ascii="宋体"/>
                <w:vanish/>
              </w:rPr>
            </w:pPr>
          </w:p>
        </w:tc>
        <w:tc>
          <w:tcPr>
            <w:tcW w:w="0" w:type="auto"/>
            <w:gridSpan w:val="2"/>
            <w:shd w:val="clear" w:color="auto" w:fill="FFFFFF"/>
            <w:tcMar>
              <w:top w:w="40" w:type="dxa"/>
              <w:left w:w="20" w:type="dxa"/>
              <w:bottom w:w="40" w:type="dxa"/>
              <w:right w:w="0" w:type="dxa"/>
            </w:tcMar>
            <w:vAlign w:val="bottom"/>
          </w:tcPr>
          <w:p w14:paraId="22CFBBCB" w14:textId="77777777" w:rsidR="002661BA" w:rsidRDefault="00D972BC">
            <w:pPr>
              <w:jc w:val="right"/>
              <w:textAlignment w:val="bottom"/>
            </w:pPr>
            <w:r>
              <w:rPr>
                <w:rFonts w:ascii="Arial" w:eastAsia="宋体" w:hAnsi="Arial" w:cs="Arial"/>
                <w:color w:val="000000"/>
                <w:sz w:val="18"/>
                <w:szCs w:val="18"/>
              </w:rPr>
              <w:t>64 </w:t>
            </w:r>
          </w:p>
        </w:tc>
        <w:tc>
          <w:tcPr>
            <w:tcW w:w="0" w:type="auto"/>
            <w:shd w:val="clear" w:color="auto" w:fill="FFFFFF"/>
            <w:tcMar>
              <w:top w:w="40" w:type="dxa"/>
              <w:left w:w="0" w:type="dxa"/>
              <w:bottom w:w="40" w:type="dxa"/>
              <w:right w:w="20" w:type="dxa"/>
            </w:tcMar>
            <w:vAlign w:val="bottom"/>
          </w:tcPr>
          <w:p w14:paraId="22CFBBCC" w14:textId="77777777" w:rsidR="002661BA" w:rsidRDefault="002661BA">
            <w:pPr>
              <w:jc w:val="right"/>
              <w:rPr>
                <w:rFonts w:ascii="宋体"/>
              </w:rPr>
            </w:pPr>
          </w:p>
        </w:tc>
      </w:tr>
      <w:tr w:rsidR="002661BA" w14:paraId="22CFBBD3" w14:textId="77777777">
        <w:tc>
          <w:tcPr>
            <w:tcW w:w="0" w:type="auto"/>
            <w:gridSpan w:val="3"/>
            <w:shd w:val="clear" w:color="auto" w:fill="E1E1E1"/>
            <w:tcMar>
              <w:top w:w="40" w:type="dxa"/>
              <w:left w:w="20" w:type="dxa"/>
              <w:bottom w:w="40" w:type="dxa"/>
              <w:right w:w="20" w:type="dxa"/>
            </w:tcMar>
            <w:vAlign w:val="bottom"/>
          </w:tcPr>
          <w:p w14:paraId="22CFBBCE" w14:textId="77777777" w:rsidR="002661BA" w:rsidRDefault="00D972BC">
            <w:pPr>
              <w:textAlignment w:val="bottom"/>
            </w:pPr>
            <w:r>
              <w:rPr>
                <w:rFonts w:ascii="Arial" w:eastAsia="宋体" w:hAnsi="Arial" w:cs="Arial"/>
                <w:color w:val="000000"/>
                <w:sz w:val="18"/>
                <w:szCs w:val="18"/>
              </w:rPr>
              <w:t>Deferred tax liabilities</w:t>
            </w:r>
          </w:p>
        </w:tc>
        <w:tc>
          <w:tcPr>
            <w:tcW w:w="0" w:type="auto"/>
            <w:shd w:val="clear" w:color="auto" w:fill="auto"/>
            <w:vAlign w:val="bottom"/>
          </w:tcPr>
          <w:p w14:paraId="22CFBBCF" w14:textId="77777777" w:rsidR="002661BA" w:rsidRDefault="002661BA">
            <w:pPr>
              <w:rPr>
                <w:rFonts w:ascii="宋体"/>
                <w:vanish/>
              </w:rPr>
            </w:pPr>
          </w:p>
        </w:tc>
        <w:tc>
          <w:tcPr>
            <w:tcW w:w="0" w:type="auto"/>
            <w:shd w:val="clear" w:color="auto" w:fill="auto"/>
            <w:vAlign w:val="bottom"/>
          </w:tcPr>
          <w:p w14:paraId="22CFBBD0" w14:textId="77777777" w:rsidR="002661BA" w:rsidRDefault="002661BA">
            <w:pPr>
              <w:rPr>
                <w:rFonts w:ascii="宋体"/>
                <w:vanish/>
              </w:rPr>
            </w:pPr>
          </w:p>
        </w:tc>
        <w:tc>
          <w:tcPr>
            <w:tcW w:w="0" w:type="auto"/>
            <w:gridSpan w:val="2"/>
            <w:shd w:val="clear" w:color="auto" w:fill="E1E1E1"/>
            <w:tcMar>
              <w:top w:w="40" w:type="dxa"/>
              <w:left w:w="20" w:type="dxa"/>
              <w:bottom w:w="40" w:type="dxa"/>
              <w:right w:w="0" w:type="dxa"/>
            </w:tcMar>
            <w:vAlign w:val="bottom"/>
          </w:tcPr>
          <w:p w14:paraId="22CFBBD1" w14:textId="77777777" w:rsidR="002661BA" w:rsidRDefault="00D972BC">
            <w:pPr>
              <w:jc w:val="right"/>
              <w:textAlignment w:val="bottom"/>
            </w:pPr>
            <w:r>
              <w:rPr>
                <w:rFonts w:ascii="Arial" w:eastAsia="宋体" w:hAnsi="Arial" w:cs="Arial"/>
                <w:color w:val="000000"/>
                <w:sz w:val="18"/>
                <w:szCs w:val="18"/>
              </w:rPr>
              <w:t>(9)</w:t>
            </w:r>
          </w:p>
        </w:tc>
        <w:tc>
          <w:tcPr>
            <w:tcW w:w="0" w:type="auto"/>
            <w:shd w:val="clear" w:color="auto" w:fill="E1E1E1"/>
            <w:tcMar>
              <w:top w:w="40" w:type="dxa"/>
              <w:left w:w="0" w:type="dxa"/>
              <w:bottom w:w="40" w:type="dxa"/>
              <w:right w:w="20" w:type="dxa"/>
            </w:tcMar>
            <w:vAlign w:val="bottom"/>
          </w:tcPr>
          <w:p w14:paraId="22CFBBD2" w14:textId="77777777" w:rsidR="002661BA" w:rsidRDefault="002661BA">
            <w:pPr>
              <w:jc w:val="right"/>
              <w:rPr>
                <w:rFonts w:ascii="宋体"/>
              </w:rPr>
            </w:pPr>
          </w:p>
        </w:tc>
      </w:tr>
      <w:tr w:rsidR="002661BA" w14:paraId="22CFBBD9" w14:textId="77777777">
        <w:tc>
          <w:tcPr>
            <w:tcW w:w="0" w:type="auto"/>
            <w:gridSpan w:val="3"/>
            <w:shd w:val="clear" w:color="auto" w:fill="FFFFFF"/>
            <w:tcMar>
              <w:top w:w="40" w:type="dxa"/>
              <w:left w:w="20" w:type="dxa"/>
              <w:bottom w:w="40" w:type="dxa"/>
              <w:right w:w="20" w:type="dxa"/>
            </w:tcMar>
            <w:vAlign w:val="bottom"/>
          </w:tcPr>
          <w:p w14:paraId="22CFBBD4" w14:textId="77777777" w:rsidR="002661BA" w:rsidRDefault="00D972BC">
            <w:pPr>
              <w:textAlignment w:val="bottom"/>
            </w:pPr>
            <w:r>
              <w:rPr>
                <w:rFonts w:ascii="Arial" w:eastAsia="宋体" w:hAnsi="Arial" w:cs="Arial"/>
                <w:color w:val="000000"/>
                <w:sz w:val="18"/>
                <w:szCs w:val="18"/>
              </w:rPr>
              <w:t>Long-term debt</w:t>
            </w:r>
          </w:p>
        </w:tc>
        <w:tc>
          <w:tcPr>
            <w:tcW w:w="0" w:type="auto"/>
            <w:shd w:val="clear" w:color="auto" w:fill="auto"/>
            <w:vAlign w:val="bottom"/>
          </w:tcPr>
          <w:p w14:paraId="22CFBBD5" w14:textId="77777777" w:rsidR="002661BA" w:rsidRDefault="002661BA">
            <w:pPr>
              <w:rPr>
                <w:rFonts w:ascii="宋体"/>
                <w:vanish/>
              </w:rPr>
            </w:pPr>
          </w:p>
        </w:tc>
        <w:tc>
          <w:tcPr>
            <w:tcW w:w="0" w:type="auto"/>
            <w:shd w:val="clear" w:color="auto" w:fill="auto"/>
            <w:vAlign w:val="bottom"/>
          </w:tcPr>
          <w:p w14:paraId="22CFBBD6" w14:textId="77777777" w:rsidR="002661BA" w:rsidRDefault="002661BA">
            <w:pPr>
              <w:rPr>
                <w:rFonts w:ascii="宋体"/>
                <w:vanish/>
              </w:rPr>
            </w:pPr>
          </w:p>
        </w:tc>
        <w:tc>
          <w:tcPr>
            <w:tcW w:w="0" w:type="auto"/>
            <w:gridSpan w:val="2"/>
            <w:shd w:val="clear" w:color="auto" w:fill="FFFFFF"/>
            <w:tcMar>
              <w:top w:w="40" w:type="dxa"/>
              <w:left w:w="20" w:type="dxa"/>
              <w:bottom w:w="40" w:type="dxa"/>
              <w:right w:w="0" w:type="dxa"/>
            </w:tcMar>
            <w:vAlign w:val="bottom"/>
          </w:tcPr>
          <w:p w14:paraId="22CFBBD7" w14:textId="77777777" w:rsidR="002661BA" w:rsidRDefault="00D972BC">
            <w:pPr>
              <w:jc w:val="right"/>
              <w:textAlignment w:val="bottom"/>
            </w:pPr>
            <w:r>
              <w:rPr>
                <w:rFonts w:ascii="Arial" w:eastAsia="宋体"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22CFBBD8" w14:textId="77777777" w:rsidR="002661BA" w:rsidRDefault="002661BA">
            <w:pPr>
              <w:jc w:val="right"/>
              <w:rPr>
                <w:rFonts w:ascii="宋体"/>
              </w:rPr>
            </w:pPr>
          </w:p>
        </w:tc>
      </w:tr>
      <w:tr w:rsidR="002661BA" w14:paraId="22CFBBDF" w14:textId="77777777">
        <w:tc>
          <w:tcPr>
            <w:tcW w:w="0" w:type="auto"/>
            <w:gridSpan w:val="3"/>
            <w:shd w:val="clear" w:color="auto" w:fill="E1E1E1"/>
            <w:tcMar>
              <w:top w:w="40" w:type="dxa"/>
              <w:left w:w="20" w:type="dxa"/>
              <w:bottom w:w="40" w:type="dxa"/>
              <w:right w:w="20" w:type="dxa"/>
            </w:tcMar>
            <w:vAlign w:val="bottom"/>
          </w:tcPr>
          <w:p w14:paraId="22CFBBDA" w14:textId="77777777" w:rsidR="002661BA" w:rsidRDefault="00D972BC">
            <w:pPr>
              <w:textAlignment w:val="bottom"/>
            </w:pPr>
            <w:r>
              <w:rPr>
                <w:rFonts w:ascii="Arial" w:eastAsia="宋体" w:hAnsi="Arial" w:cs="Arial"/>
                <w:color w:val="000000"/>
                <w:sz w:val="18"/>
                <w:szCs w:val="18"/>
              </w:rPr>
              <w:t>Other liabilities</w:t>
            </w:r>
          </w:p>
        </w:tc>
        <w:tc>
          <w:tcPr>
            <w:tcW w:w="0" w:type="auto"/>
            <w:shd w:val="clear" w:color="auto" w:fill="auto"/>
            <w:vAlign w:val="bottom"/>
          </w:tcPr>
          <w:p w14:paraId="22CFBBDB" w14:textId="77777777" w:rsidR="002661BA" w:rsidRDefault="002661BA">
            <w:pPr>
              <w:rPr>
                <w:rFonts w:ascii="宋体"/>
                <w:vanish/>
              </w:rPr>
            </w:pPr>
          </w:p>
        </w:tc>
        <w:tc>
          <w:tcPr>
            <w:tcW w:w="0" w:type="auto"/>
            <w:shd w:val="clear" w:color="auto" w:fill="auto"/>
            <w:vAlign w:val="bottom"/>
          </w:tcPr>
          <w:p w14:paraId="22CFBBDC" w14:textId="77777777" w:rsidR="002661BA" w:rsidRDefault="002661BA">
            <w:pPr>
              <w:rPr>
                <w:rFonts w:ascii="宋体"/>
                <w:vanish/>
              </w:rPr>
            </w:pPr>
          </w:p>
        </w:tc>
        <w:tc>
          <w:tcPr>
            <w:tcW w:w="0" w:type="auto"/>
            <w:gridSpan w:val="2"/>
            <w:shd w:val="clear" w:color="auto" w:fill="E1E1E1"/>
            <w:tcMar>
              <w:top w:w="40" w:type="dxa"/>
              <w:left w:w="20" w:type="dxa"/>
              <w:bottom w:w="40" w:type="dxa"/>
              <w:right w:w="0" w:type="dxa"/>
            </w:tcMar>
            <w:vAlign w:val="bottom"/>
          </w:tcPr>
          <w:p w14:paraId="22CFBBDD" w14:textId="77777777" w:rsidR="002661BA" w:rsidRDefault="00D972BC">
            <w:pPr>
              <w:jc w:val="right"/>
              <w:textAlignment w:val="bottom"/>
            </w:pPr>
            <w:r>
              <w:rPr>
                <w:rFonts w:ascii="Arial" w:eastAsia="宋体" w:hAnsi="Arial" w:cs="Arial"/>
                <w:color w:val="000000"/>
                <w:sz w:val="18"/>
                <w:szCs w:val="18"/>
              </w:rPr>
              <w:t>3 </w:t>
            </w:r>
          </w:p>
        </w:tc>
        <w:tc>
          <w:tcPr>
            <w:tcW w:w="0" w:type="auto"/>
            <w:shd w:val="clear" w:color="auto" w:fill="E1E1E1"/>
            <w:tcMar>
              <w:top w:w="40" w:type="dxa"/>
              <w:left w:w="0" w:type="dxa"/>
              <w:bottom w:w="40" w:type="dxa"/>
              <w:right w:w="20" w:type="dxa"/>
            </w:tcMar>
            <w:vAlign w:val="bottom"/>
          </w:tcPr>
          <w:p w14:paraId="22CFBBDE" w14:textId="77777777" w:rsidR="002661BA" w:rsidRDefault="002661BA">
            <w:pPr>
              <w:jc w:val="right"/>
              <w:rPr>
                <w:rFonts w:ascii="宋体"/>
              </w:rPr>
            </w:pPr>
          </w:p>
        </w:tc>
      </w:tr>
      <w:tr w:rsidR="002661BA" w14:paraId="22CFBBE6" w14:textId="77777777">
        <w:tc>
          <w:tcPr>
            <w:tcW w:w="0" w:type="auto"/>
            <w:gridSpan w:val="3"/>
            <w:shd w:val="clear" w:color="auto" w:fill="FFFFFF"/>
            <w:tcMar>
              <w:top w:w="40" w:type="dxa"/>
              <w:left w:w="20" w:type="dxa"/>
              <w:bottom w:w="40" w:type="dxa"/>
              <w:right w:w="20" w:type="dxa"/>
            </w:tcMar>
            <w:vAlign w:val="bottom"/>
          </w:tcPr>
          <w:p w14:paraId="22CFBBE0" w14:textId="77777777" w:rsidR="002661BA" w:rsidRDefault="00D972BC">
            <w:pPr>
              <w:textAlignment w:val="bottom"/>
            </w:pPr>
            <w:r>
              <w:rPr>
                <w:rFonts w:ascii="Arial" w:eastAsia="宋体" w:hAnsi="Arial" w:cs="Arial"/>
                <w:color w:val="000000"/>
                <w:sz w:val="18"/>
                <w:szCs w:val="18"/>
              </w:rPr>
              <w:t>Total liabilities classified as discontinued operations in the consolidated balance sheet</w:t>
            </w:r>
          </w:p>
        </w:tc>
        <w:tc>
          <w:tcPr>
            <w:tcW w:w="0" w:type="auto"/>
            <w:shd w:val="clear" w:color="auto" w:fill="auto"/>
            <w:vAlign w:val="bottom"/>
          </w:tcPr>
          <w:p w14:paraId="22CFBBE1" w14:textId="77777777" w:rsidR="002661BA" w:rsidRDefault="002661BA">
            <w:pPr>
              <w:rPr>
                <w:rFonts w:ascii="宋体"/>
                <w:vanish/>
              </w:rPr>
            </w:pPr>
          </w:p>
        </w:tc>
        <w:tc>
          <w:tcPr>
            <w:tcW w:w="0" w:type="auto"/>
            <w:shd w:val="clear" w:color="auto" w:fill="auto"/>
            <w:vAlign w:val="bottom"/>
          </w:tcPr>
          <w:p w14:paraId="22CFBBE2" w14:textId="77777777" w:rsidR="002661BA" w:rsidRDefault="002661BA">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BBE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BBE4" w14:textId="77777777" w:rsidR="002661BA" w:rsidRDefault="00D972BC">
            <w:pPr>
              <w:jc w:val="right"/>
              <w:textAlignment w:val="bottom"/>
            </w:pPr>
            <w:r>
              <w:rPr>
                <w:rFonts w:ascii="Arial" w:eastAsia="宋体" w:hAnsi="Arial" w:cs="Arial"/>
                <w:color w:val="000000"/>
                <w:sz w:val="18"/>
                <w:szCs w:val="18"/>
              </w:rPr>
              <w:t>918 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BBE5" w14:textId="77777777" w:rsidR="002661BA" w:rsidRDefault="002661BA">
            <w:pPr>
              <w:jc w:val="right"/>
              <w:rPr>
                <w:rFonts w:ascii="宋体"/>
              </w:rPr>
            </w:pPr>
          </w:p>
        </w:tc>
      </w:tr>
    </w:tbl>
    <w:p w14:paraId="22CFBBE7" w14:textId="77777777" w:rsidR="002661BA" w:rsidRDefault="002661BA"/>
    <w:p w14:paraId="22CFBBE8" w14:textId="77777777" w:rsidR="002661BA" w:rsidRDefault="00D972BC">
      <w:pPr>
        <w:ind w:firstLine="270"/>
      </w:pPr>
      <w:r>
        <w:rPr>
          <w:rFonts w:ascii="Arial" w:eastAsia="宋体" w:hAnsi="Arial" w:cs="Arial"/>
          <w:b/>
          <w:bCs/>
          <w:i/>
          <w:iCs/>
          <w:color w:val="000000"/>
          <w:sz w:val="20"/>
          <w:szCs w:val="20"/>
        </w:rPr>
        <w:t>Classifieds</w:t>
      </w:r>
    </w:p>
    <w:p w14:paraId="22CFBBE9" w14:textId="77777777" w:rsidR="002661BA" w:rsidRDefault="002661BA"/>
    <w:p w14:paraId="22CFBBEA" w14:textId="77777777" w:rsidR="002661BA" w:rsidRDefault="00D972BC">
      <w:pPr>
        <w:ind w:firstLine="540"/>
        <w:jc w:val="both"/>
      </w:pPr>
      <w:r>
        <w:rPr>
          <w:rFonts w:ascii="Arial" w:eastAsia="宋体" w:hAnsi="Arial" w:cs="Arial"/>
          <w:color w:val="000000"/>
          <w:sz w:val="20"/>
          <w:szCs w:val="20"/>
        </w:rPr>
        <w:t>The financial results of Classifieds are presented as income from discontinued operations, net of income taxes on our consolidated statement of income through June 24, 2021, when the transfer of Classifieds was completed. Each period presented below includ</w:t>
      </w:r>
      <w:r>
        <w:rPr>
          <w:rFonts w:ascii="Arial" w:eastAsia="宋体" w:hAnsi="Arial" w:cs="Arial"/>
          <w:color w:val="000000"/>
          <w:sz w:val="20"/>
          <w:szCs w:val="20"/>
        </w:rPr>
        <w:t>es the impact of intercompany revenue agreements through June 24, 2021. The impact of these intercompany revenue agreements to net revenues and cost of net revenues was $5 million for the period from January 1, 2021 through June 24, 2021, and $14 million a</w:t>
      </w:r>
      <w:r>
        <w:rPr>
          <w:rFonts w:ascii="Arial" w:eastAsia="宋体" w:hAnsi="Arial" w:cs="Arial"/>
          <w:color w:val="000000"/>
          <w:sz w:val="20"/>
          <w:szCs w:val="20"/>
        </w:rPr>
        <w:t xml:space="preserve">nd $20 million for the years ended December 31, 2020 and 2019, respectively. The continuing revenue and cash flows are not considered to be material. </w:t>
      </w:r>
    </w:p>
    <w:p w14:paraId="22CFBBEB" w14:textId="77777777" w:rsidR="002661BA" w:rsidRDefault="00D972BC">
      <w:pPr>
        <w:jc w:val="center"/>
      </w:pPr>
      <w:r>
        <w:rPr>
          <w:rFonts w:ascii="Arial" w:eastAsia="宋体" w:hAnsi="Arial" w:cs="Arial"/>
          <w:color w:val="000000"/>
          <w:sz w:val="18"/>
          <w:szCs w:val="18"/>
        </w:rPr>
        <w:t>75</w:t>
      </w:r>
    </w:p>
    <w:p w14:paraId="22CFBBEC" w14:textId="77777777" w:rsidR="002661BA" w:rsidRDefault="00D972BC">
      <w:r>
        <w:pict w14:anchorId="22CFE4FC">
          <v:rect id="_x0000_i1099" style="width:415.3pt;height:1.5pt" o:hralign="center" o:hrstd="t" o:hr="t" fillcolor="#a0a0a0" stroked="f"/>
        </w:pict>
      </w:r>
    </w:p>
    <w:p w14:paraId="22CFBBED" w14:textId="77777777" w:rsidR="002661BA" w:rsidRDefault="00D972BC">
      <w:hyperlink r:id="rId110" w:anchor="id0d7a71b05ce452ea9fdb54f3cb359c7_7" w:history="1">
        <w:r>
          <w:rPr>
            <w:rStyle w:val="a5"/>
            <w:rFonts w:ascii="Arial" w:eastAsia="宋体" w:hAnsi="Arial" w:cs="Arial"/>
            <w:sz w:val="18"/>
            <w:szCs w:val="18"/>
          </w:rPr>
          <w:t>Table of Contents</w:t>
        </w:r>
      </w:hyperlink>
    </w:p>
    <w:p w14:paraId="22CFBBEE" w14:textId="77777777" w:rsidR="002661BA" w:rsidRDefault="00D972BC">
      <w:pPr>
        <w:jc w:val="center"/>
      </w:pPr>
      <w:r>
        <w:rPr>
          <w:rFonts w:ascii="Arial" w:eastAsia="宋体" w:hAnsi="Arial" w:cs="Arial"/>
          <w:b/>
          <w:bCs/>
          <w:color w:val="000000"/>
          <w:sz w:val="20"/>
          <w:szCs w:val="20"/>
        </w:rPr>
        <w:t>eBay Inc.</w:t>
      </w:r>
    </w:p>
    <w:p w14:paraId="22CFBBEF"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BBF0" w14:textId="77777777" w:rsidR="002661BA" w:rsidRDefault="00D972BC">
      <w:pPr>
        <w:spacing w:after="120"/>
        <w:ind w:firstLine="540"/>
        <w:jc w:val="both"/>
      </w:pPr>
      <w:r>
        <w:rPr>
          <w:rFonts w:ascii="Arial" w:eastAsia="宋体" w:hAnsi="Arial" w:cs="Arial"/>
          <w:color w:val="000000"/>
          <w:sz w:val="20"/>
          <w:szCs w:val="20"/>
        </w:rPr>
        <w:t>The following table presents the financial results of Classifieds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4996"/>
        <w:gridCol w:w="39"/>
        <w:gridCol w:w="36"/>
        <w:gridCol w:w="46"/>
        <w:gridCol w:w="36"/>
        <w:gridCol w:w="36"/>
        <w:gridCol w:w="36"/>
        <w:gridCol w:w="36"/>
        <w:gridCol w:w="121"/>
        <w:gridCol w:w="741"/>
        <w:gridCol w:w="36"/>
        <w:gridCol w:w="36"/>
        <w:gridCol w:w="36"/>
        <w:gridCol w:w="36"/>
        <w:gridCol w:w="121"/>
        <w:gridCol w:w="802"/>
        <w:gridCol w:w="36"/>
        <w:gridCol w:w="36"/>
        <w:gridCol w:w="36"/>
        <w:gridCol w:w="36"/>
        <w:gridCol w:w="121"/>
        <w:gridCol w:w="805"/>
        <w:gridCol w:w="36"/>
      </w:tblGrid>
      <w:tr w:rsidR="002661BA" w14:paraId="22CFBC09" w14:textId="77777777">
        <w:tc>
          <w:tcPr>
            <w:tcW w:w="50" w:type="pct"/>
            <w:shd w:val="clear" w:color="auto" w:fill="auto"/>
            <w:vAlign w:val="bottom"/>
          </w:tcPr>
          <w:p w14:paraId="22CFBBF1" w14:textId="77777777" w:rsidR="002661BA" w:rsidRDefault="002661BA">
            <w:pPr>
              <w:rPr>
                <w:rFonts w:ascii="宋体"/>
              </w:rPr>
            </w:pPr>
          </w:p>
        </w:tc>
        <w:tc>
          <w:tcPr>
            <w:tcW w:w="3095" w:type="pct"/>
            <w:shd w:val="clear" w:color="auto" w:fill="auto"/>
            <w:vAlign w:val="bottom"/>
          </w:tcPr>
          <w:p w14:paraId="22CFBBF2" w14:textId="77777777" w:rsidR="002661BA" w:rsidRDefault="002661BA">
            <w:pPr>
              <w:rPr>
                <w:rFonts w:ascii="宋体"/>
              </w:rPr>
            </w:pPr>
          </w:p>
        </w:tc>
        <w:tc>
          <w:tcPr>
            <w:tcW w:w="5" w:type="pct"/>
            <w:shd w:val="clear" w:color="auto" w:fill="auto"/>
            <w:vAlign w:val="bottom"/>
          </w:tcPr>
          <w:p w14:paraId="22CFBBF3" w14:textId="77777777" w:rsidR="002661BA" w:rsidRDefault="002661BA">
            <w:pPr>
              <w:rPr>
                <w:rFonts w:ascii="宋体"/>
              </w:rPr>
            </w:pPr>
          </w:p>
        </w:tc>
        <w:tc>
          <w:tcPr>
            <w:tcW w:w="0" w:type="auto"/>
            <w:shd w:val="clear" w:color="auto" w:fill="auto"/>
            <w:vAlign w:val="bottom"/>
          </w:tcPr>
          <w:p w14:paraId="22CFBBF4" w14:textId="77777777" w:rsidR="002661BA" w:rsidRDefault="002661BA">
            <w:pPr>
              <w:rPr>
                <w:rFonts w:ascii="宋体"/>
                <w:vanish/>
              </w:rPr>
            </w:pPr>
          </w:p>
        </w:tc>
        <w:tc>
          <w:tcPr>
            <w:tcW w:w="0" w:type="auto"/>
            <w:shd w:val="clear" w:color="auto" w:fill="auto"/>
            <w:vAlign w:val="bottom"/>
          </w:tcPr>
          <w:p w14:paraId="22CFBBF5" w14:textId="77777777" w:rsidR="002661BA" w:rsidRDefault="002661BA">
            <w:pPr>
              <w:rPr>
                <w:rFonts w:ascii="宋体"/>
                <w:vanish/>
              </w:rPr>
            </w:pPr>
          </w:p>
        </w:tc>
        <w:tc>
          <w:tcPr>
            <w:tcW w:w="0" w:type="auto"/>
            <w:shd w:val="clear" w:color="auto" w:fill="auto"/>
            <w:vAlign w:val="bottom"/>
          </w:tcPr>
          <w:p w14:paraId="22CFBBF6" w14:textId="77777777" w:rsidR="002661BA" w:rsidRDefault="002661BA">
            <w:pPr>
              <w:rPr>
                <w:rFonts w:ascii="宋体"/>
                <w:vanish/>
              </w:rPr>
            </w:pPr>
          </w:p>
        </w:tc>
        <w:tc>
          <w:tcPr>
            <w:tcW w:w="5" w:type="pct"/>
            <w:shd w:val="clear" w:color="auto" w:fill="auto"/>
            <w:vAlign w:val="bottom"/>
          </w:tcPr>
          <w:p w14:paraId="22CFBBF7" w14:textId="77777777" w:rsidR="002661BA" w:rsidRDefault="002661BA">
            <w:pPr>
              <w:rPr>
                <w:rFonts w:ascii="宋体"/>
              </w:rPr>
            </w:pPr>
          </w:p>
        </w:tc>
        <w:tc>
          <w:tcPr>
            <w:tcW w:w="26" w:type="pct"/>
            <w:shd w:val="clear" w:color="auto" w:fill="auto"/>
            <w:vAlign w:val="bottom"/>
          </w:tcPr>
          <w:p w14:paraId="22CFBBF8" w14:textId="77777777" w:rsidR="002661BA" w:rsidRDefault="002661BA">
            <w:pPr>
              <w:rPr>
                <w:rFonts w:ascii="宋体"/>
              </w:rPr>
            </w:pPr>
          </w:p>
        </w:tc>
        <w:tc>
          <w:tcPr>
            <w:tcW w:w="5" w:type="pct"/>
            <w:shd w:val="clear" w:color="auto" w:fill="auto"/>
            <w:vAlign w:val="bottom"/>
          </w:tcPr>
          <w:p w14:paraId="22CFBBF9" w14:textId="77777777" w:rsidR="002661BA" w:rsidRDefault="002661BA">
            <w:pPr>
              <w:rPr>
                <w:rFonts w:ascii="宋体"/>
              </w:rPr>
            </w:pPr>
          </w:p>
        </w:tc>
        <w:tc>
          <w:tcPr>
            <w:tcW w:w="50" w:type="pct"/>
            <w:shd w:val="clear" w:color="auto" w:fill="auto"/>
            <w:vAlign w:val="bottom"/>
          </w:tcPr>
          <w:p w14:paraId="22CFBBFA" w14:textId="77777777" w:rsidR="002661BA" w:rsidRDefault="002661BA">
            <w:pPr>
              <w:rPr>
                <w:rFonts w:ascii="宋体"/>
              </w:rPr>
            </w:pPr>
          </w:p>
        </w:tc>
        <w:tc>
          <w:tcPr>
            <w:tcW w:w="529" w:type="pct"/>
            <w:shd w:val="clear" w:color="auto" w:fill="auto"/>
            <w:vAlign w:val="bottom"/>
          </w:tcPr>
          <w:p w14:paraId="22CFBBFB" w14:textId="77777777" w:rsidR="002661BA" w:rsidRDefault="002661BA">
            <w:pPr>
              <w:rPr>
                <w:rFonts w:ascii="宋体"/>
              </w:rPr>
            </w:pPr>
          </w:p>
        </w:tc>
        <w:tc>
          <w:tcPr>
            <w:tcW w:w="5" w:type="pct"/>
            <w:shd w:val="clear" w:color="auto" w:fill="auto"/>
            <w:vAlign w:val="bottom"/>
          </w:tcPr>
          <w:p w14:paraId="22CFBBFC" w14:textId="77777777" w:rsidR="002661BA" w:rsidRDefault="002661BA">
            <w:pPr>
              <w:rPr>
                <w:rFonts w:ascii="宋体"/>
              </w:rPr>
            </w:pPr>
          </w:p>
        </w:tc>
        <w:tc>
          <w:tcPr>
            <w:tcW w:w="5" w:type="pct"/>
            <w:shd w:val="clear" w:color="auto" w:fill="auto"/>
            <w:vAlign w:val="bottom"/>
          </w:tcPr>
          <w:p w14:paraId="22CFBBFD" w14:textId="77777777" w:rsidR="002661BA" w:rsidRDefault="002661BA">
            <w:pPr>
              <w:rPr>
                <w:rFonts w:ascii="宋体"/>
              </w:rPr>
            </w:pPr>
          </w:p>
        </w:tc>
        <w:tc>
          <w:tcPr>
            <w:tcW w:w="19" w:type="pct"/>
            <w:shd w:val="clear" w:color="auto" w:fill="auto"/>
            <w:vAlign w:val="bottom"/>
          </w:tcPr>
          <w:p w14:paraId="22CFBBFE" w14:textId="77777777" w:rsidR="002661BA" w:rsidRDefault="002661BA">
            <w:pPr>
              <w:rPr>
                <w:rFonts w:ascii="宋体"/>
              </w:rPr>
            </w:pPr>
          </w:p>
        </w:tc>
        <w:tc>
          <w:tcPr>
            <w:tcW w:w="5" w:type="pct"/>
            <w:shd w:val="clear" w:color="auto" w:fill="auto"/>
            <w:vAlign w:val="bottom"/>
          </w:tcPr>
          <w:p w14:paraId="22CFBBFF" w14:textId="77777777" w:rsidR="002661BA" w:rsidRDefault="002661BA">
            <w:pPr>
              <w:rPr>
                <w:rFonts w:ascii="宋体"/>
              </w:rPr>
            </w:pPr>
          </w:p>
        </w:tc>
        <w:tc>
          <w:tcPr>
            <w:tcW w:w="50" w:type="pct"/>
            <w:shd w:val="clear" w:color="auto" w:fill="auto"/>
            <w:vAlign w:val="bottom"/>
          </w:tcPr>
          <w:p w14:paraId="22CFBC00" w14:textId="77777777" w:rsidR="002661BA" w:rsidRDefault="002661BA">
            <w:pPr>
              <w:rPr>
                <w:rFonts w:ascii="宋体"/>
              </w:rPr>
            </w:pPr>
          </w:p>
        </w:tc>
        <w:tc>
          <w:tcPr>
            <w:tcW w:w="529" w:type="pct"/>
            <w:shd w:val="clear" w:color="auto" w:fill="auto"/>
            <w:vAlign w:val="bottom"/>
          </w:tcPr>
          <w:p w14:paraId="22CFBC01" w14:textId="77777777" w:rsidR="002661BA" w:rsidRDefault="002661BA">
            <w:pPr>
              <w:rPr>
                <w:rFonts w:ascii="宋体"/>
              </w:rPr>
            </w:pPr>
          </w:p>
        </w:tc>
        <w:tc>
          <w:tcPr>
            <w:tcW w:w="5" w:type="pct"/>
            <w:shd w:val="clear" w:color="auto" w:fill="auto"/>
            <w:vAlign w:val="bottom"/>
          </w:tcPr>
          <w:p w14:paraId="22CFBC02" w14:textId="77777777" w:rsidR="002661BA" w:rsidRDefault="002661BA">
            <w:pPr>
              <w:rPr>
                <w:rFonts w:ascii="宋体"/>
              </w:rPr>
            </w:pPr>
          </w:p>
        </w:tc>
        <w:tc>
          <w:tcPr>
            <w:tcW w:w="5" w:type="pct"/>
            <w:shd w:val="clear" w:color="auto" w:fill="auto"/>
            <w:vAlign w:val="bottom"/>
          </w:tcPr>
          <w:p w14:paraId="22CFBC03" w14:textId="77777777" w:rsidR="002661BA" w:rsidRDefault="002661BA">
            <w:pPr>
              <w:rPr>
                <w:rFonts w:ascii="宋体"/>
              </w:rPr>
            </w:pPr>
          </w:p>
        </w:tc>
        <w:tc>
          <w:tcPr>
            <w:tcW w:w="19" w:type="pct"/>
            <w:shd w:val="clear" w:color="auto" w:fill="auto"/>
            <w:vAlign w:val="bottom"/>
          </w:tcPr>
          <w:p w14:paraId="22CFBC04" w14:textId="77777777" w:rsidR="002661BA" w:rsidRDefault="002661BA">
            <w:pPr>
              <w:rPr>
                <w:rFonts w:ascii="宋体"/>
              </w:rPr>
            </w:pPr>
          </w:p>
        </w:tc>
        <w:tc>
          <w:tcPr>
            <w:tcW w:w="5" w:type="pct"/>
            <w:shd w:val="clear" w:color="auto" w:fill="auto"/>
            <w:vAlign w:val="bottom"/>
          </w:tcPr>
          <w:p w14:paraId="22CFBC05" w14:textId="77777777" w:rsidR="002661BA" w:rsidRDefault="002661BA">
            <w:pPr>
              <w:rPr>
                <w:rFonts w:ascii="宋体"/>
              </w:rPr>
            </w:pPr>
          </w:p>
        </w:tc>
        <w:tc>
          <w:tcPr>
            <w:tcW w:w="50" w:type="pct"/>
            <w:shd w:val="clear" w:color="auto" w:fill="auto"/>
            <w:vAlign w:val="bottom"/>
          </w:tcPr>
          <w:p w14:paraId="22CFBC06" w14:textId="77777777" w:rsidR="002661BA" w:rsidRDefault="002661BA">
            <w:pPr>
              <w:rPr>
                <w:rFonts w:ascii="宋体"/>
              </w:rPr>
            </w:pPr>
          </w:p>
        </w:tc>
        <w:tc>
          <w:tcPr>
            <w:tcW w:w="530" w:type="pct"/>
            <w:shd w:val="clear" w:color="auto" w:fill="auto"/>
            <w:vAlign w:val="bottom"/>
          </w:tcPr>
          <w:p w14:paraId="22CFBC07" w14:textId="77777777" w:rsidR="002661BA" w:rsidRDefault="002661BA">
            <w:pPr>
              <w:rPr>
                <w:rFonts w:ascii="宋体"/>
              </w:rPr>
            </w:pPr>
          </w:p>
        </w:tc>
        <w:tc>
          <w:tcPr>
            <w:tcW w:w="5" w:type="pct"/>
            <w:shd w:val="clear" w:color="auto" w:fill="auto"/>
            <w:vAlign w:val="bottom"/>
          </w:tcPr>
          <w:p w14:paraId="22CFBC08" w14:textId="77777777" w:rsidR="002661BA" w:rsidRDefault="002661BA">
            <w:pPr>
              <w:rPr>
                <w:rFonts w:ascii="宋体"/>
              </w:rPr>
            </w:pPr>
          </w:p>
        </w:tc>
      </w:tr>
      <w:tr w:rsidR="002661BA" w14:paraId="22CFBC14" w14:textId="77777777">
        <w:tc>
          <w:tcPr>
            <w:tcW w:w="0" w:type="auto"/>
            <w:gridSpan w:val="3"/>
            <w:shd w:val="clear" w:color="auto" w:fill="auto"/>
            <w:tcMar>
              <w:top w:w="40" w:type="dxa"/>
              <w:left w:w="20" w:type="dxa"/>
              <w:bottom w:w="40" w:type="dxa"/>
              <w:right w:w="20" w:type="dxa"/>
            </w:tcMar>
            <w:vAlign w:val="bottom"/>
          </w:tcPr>
          <w:p w14:paraId="22CFBC0A" w14:textId="77777777" w:rsidR="002661BA" w:rsidRDefault="00D972BC">
            <w:pPr>
              <w:textAlignment w:val="bottom"/>
            </w:pPr>
            <w:r>
              <w:rPr>
                <w:rFonts w:ascii="Arial" w:eastAsia="宋体" w:hAnsi="Arial" w:cs="Arial"/>
                <w:b/>
                <w:bCs/>
                <w:color w:val="000000"/>
                <w:sz w:val="18"/>
                <w:szCs w:val="18"/>
              </w:rPr>
              <w:t> </w:t>
            </w:r>
          </w:p>
        </w:tc>
        <w:tc>
          <w:tcPr>
            <w:tcW w:w="0" w:type="auto"/>
            <w:shd w:val="clear" w:color="auto" w:fill="auto"/>
            <w:vAlign w:val="bottom"/>
          </w:tcPr>
          <w:p w14:paraId="22CFBC0B" w14:textId="77777777" w:rsidR="002661BA" w:rsidRDefault="002661BA">
            <w:pPr>
              <w:rPr>
                <w:rFonts w:ascii="宋体"/>
                <w:vanish/>
              </w:rPr>
            </w:pPr>
          </w:p>
        </w:tc>
        <w:tc>
          <w:tcPr>
            <w:tcW w:w="0" w:type="auto"/>
            <w:shd w:val="clear" w:color="auto" w:fill="auto"/>
            <w:tcMar>
              <w:top w:w="0" w:type="dxa"/>
              <w:left w:w="20" w:type="dxa"/>
              <w:bottom w:w="0" w:type="dxa"/>
              <w:right w:w="20" w:type="dxa"/>
            </w:tcMar>
            <w:vAlign w:val="bottom"/>
          </w:tcPr>
          <w:p w14:paraId="22CFBC0C" w14:textId="77777777" w:rsidR="002661BA" w:rsidRDefault="002661BA">
            <w:pPr>
              <w:rPr>
                <w:rFonts w:ascii="宋体"/>
              </w:rPr>
            </w:pPr>
          </w:p>
        </w:tc>
        <w:tc>
          <w:tcPr>
            <w:tcW w:w="0" w:type="auto"/>
            <w:gridSpan w:val="13"/>
            <w:shd w:val="clear" w:color="auto" w:fill="auto"/>
            <w:tcMar>
              <w:top w:w="40" w:type="dxa"/>
              <w:left w:w="20" w:type="dxa"/>
              <w:bottom w:w="40" w:type="dxa"/>
              <w:right w:w="20" w:type="dxa"/>
            </w:tcMar>
            <w:vAlign w:val="bottom"/>
          </w:tcPr>
          <w:p w14:paraId="22CFBC0D" w14:textId="77777777" w:rsidR="002661BA" w:rsidRDefault="00D972BC">
            <w:pPr>
              <w:jc w:val="center"/>
              <w:textAlignment w:val="bottom"/>
            </w:pPr>
            <w:r>
              <w:rPr>
                <w:rFonts w:ascii="Arial" w:eastAsia="宋体" w:hAnsi="Arial" w:cs="Arial"/>
                <w:b/>
                <w:bCs/>
                <w:color w:val="000000"/>
                <w:sz w:val="17"/>
                <w:szCs w:val="17"/>
              </w:rPr>
              <w:t>Year ended December 31,</w:t>
            </w:r>
          </w:p>
        </w:tc>
        <w:tc>
          <w:tcPr>
            <w:tcW w:w="0" w:type="auto"/>
            <w:shd w:val="clear" w:color="auto" w:fill="auto"/>
            <w:vAlign w:val="bottom"/>
          </w:tcPr>
          <w:p w14:paraId="22CFBC0E" w14:textId="77777777" w:rsidR="002661BA" w:rsidRDefault="002661BA">
            <w:pPr>
              <w:rPr>
                <w:rFonts w:ascii="宋体"/>
              </w:rPr>
            </w:pPr>
          </w:p>
        </w:tc>
        <w:tc>
          <w:tcPr>
            <w:tcW w:w="0" w:type="auto"/>
            <w:shd w:val="clear" w:color="auto" w:fill="auto"/>
            <w:vAlign w:val="bottom"/>
          </w:tcPr>
          <w:p w14:paraId="22CFBC0F" w14:textId="77777777" w:rsidR="002661BA" w:rsidRDefault="002661BA">
            <w:pPr>
              <w:rPr>
                <w:rFonts w:ascii="宋体"/>
              </w:rPr>
            </w:pPr>
          </w:p>
        </w:tc>
        <w:tc>
          <w:tcPr>
            <w:tcW w:w="0" w:type="auto"/>
            <w:shd w:val="clear" w:color="auto" w:fill="auto"/>
            <w:vAlign w:val="bottom"/>
          </w:tcPr>
          <w:p w14:paraId="22CFBC10" w14:textId="77777777" w:rsidR="002661BA" w:rsidRDefault="002661BA">
            <w:pPr>
              <w:rPr>
                <w:rFonts w:ascii="宋体"/>
              </w:rPr>
            </w:pPr>
          </w:p>
        </w:tc>
        <w:tc>
          <w:tcPr>
            <w:tcW w:w="0" w:type="auto"/>
            <w:shd w:val="clear" w:color="auto" w:fill="auto"/>
            <w:vAlign w:val="bottom"/>
          </w:tcPr>
          <w:p w14:paraId="22CFBC11" w14:textId="77777777" w:rsidR="002661BA" w:rsidRDefault="002661BA">
            <w:pPr>
              <w:rPr>
                <w:rFonts w:ascii="宋体"/>
              </w:rPr>
            </w:pPr>
          </w:p>
        </w:tc>
        <w:tc>
          <w:tcPr>
            <w:tcW w:w="0" w:type="auto"/>
            <w:shd w:val="clear" w:color="auto" w:fill="auto"/>
            <w:vAlign w:val="bottom"/>
          </w:tcPr>
          <w:p w14:paraId="22CFBC12" w14:textId="77777777" w:rsidR="002661BA" w:rsidRDefault="002661BA">
            <w:pPr>
              <w:rPr>
                <w:rFonts w:ascii="宋体"/>
              </w:rPr>
            </w:pPr>
          </w:p>
        </w:tc>
        <w:tc>
          <w:tcPr>
            <w:tcW w:w="0" w:type="auto"/>
            <w:shd w:val="clear" w:color="auto" w:fill="auto"/>
            <w:vAlign w:val="bottom"/>
          </w:tcPr>
          <w:p w14:paraId="22CFBC13" w14:textId="77777777" w:rsidR="002661BA" w:rsidRDefault="002661BA">
            <w:pPr>
              <w:rPr>
                <w:rFonts w:ascii="宋体"/>
              </w:rPr>
            </w:pPr>
          </w:p>
        </w:tc>
      </w:tr>
      <w:tr w:rsidR="002661BA" w14:paraId="22CFBC1F" w14:textId="77777777">
        <w:tc>
          <w:tcPr>
            <w:tcW w:w="0" w:type="auto"/>
            <w:gridSpan w:val="3"/>
            <w:shd w:val="clear" w:color="auto" w:fill="auto"/>
            <w:tcMar>
              <w:top w:w="40" w:type="dxa"/>
              <w:left w:w="20" w:type="dxa"/>
              <w:bottom w:w="40" w:type="dxa"/>
              <w:right w:w="20" w:type="dxa"/>
            </w:tcMar>
            <w:vAlign w:val="bottom"/>
          </w:tcPr>
          <w:p w14:paraId="22CFBC15" w14:textId="77777777" w:rsidR="002661BA" w:rsidRDefault="00D972BC">
            <w:pPr>
              <w:textAlignment w:val="bottom"/>
            </w:pPr>
            <w:r>
              <w:rPr>
                <w:rFonts w:ascii="Arial" w:eastAsia="宋体" w:hAnsi="Arial" w:cs="Arial"/>
                <w:b/>
                <w:bCs/>
                <w:color w:val="000000"/>
                <w:sz w:val="18"/>
                <w:szCs w:val="18"/>
              </w:rPr>
              <w:t> </w:t>
            </w:r>
          </w:p>
        </w:tc>
        <w:tc>
          <w:tcPr>
            <w:tcW w:w="0" w:type="auto"/>
            <w:shd w:val="clear" w:color="auto" w:fill="auto"/>
            <w:vAlign w:val="bottom"/>
          </w:tcPr>
          <w:p w14:paraId="22CFBC16" w14:textId="77777777" w:rsidR="002661BA" w:rsidRDefault="002661BA">
            <w:pPr>
              <w:rPr>
                <w:rFonts w:ascii="宋体"/>
                <w:vanish/>
              </w:rPr>
            </w:pPr>
          </w:p>
        </w:tc>
        <w:tc>
          <w:tcPr>
            <w:tcW w:w="0" w:type="auto"/>
            <w:shd w:val="clear" w:color="auto" w:fill="auto"/>
            <w:vAlign w:val="bottom"/>
          </w:tcPr>
          <w:p w14:paraId="22CFBC17" w14:textId="77777777" w:rsidR="002661BA" w:rsidRDefault="002661BA">
            <w:pPr>
              <w:rPr>
                <w:rFonts w:ascii="宋体"/>
                <w:vanish/>
              </w:rPr>
            </w:pPr>
          </w:p>
        </w:tc>
        <w:tc>
          <w:tcPr>
            <w:tcW w:w="0" w:type="auto"/>
            <w:shd w:val="clear" w:color="auto" w:fill="auto"/>
            <w:vAlign w:val="bottom"/>
          </w:tcPr>
          <w:p w14:paraId="22CFBC18" w14:textId="77777777" w:rsidR="002661BA" w:rsidRDefault="002661BA">
            <w:pPr>
              <w:rPr>
                <w:rFonts w:ascii="宋体"/>
                <w:vanish/>
              </w:rPr>
            </w:pPr>
          </w:p>
        </w:tc>
        <w:tc>
          <w:tcPr>
            <w:tcW w:w="0" w:type="auto"/>
            <w:gridSpan w:val="3"/>
            <w:shd w:val="clear" w:color="auto" w:fill="auto"/>
            <w:tcMar>
              <w:top w:w="0" w:type="dxa"/>
              <w:left w:w="20" w:type="dxa"/>
              <w:bottom w:w="0" w:type="dxa"/>
              <w:right w:w="20" w:type="dxa"/>
            </w:tcMar>
            <w:vAlign w:val="bottom"/>
          </w:tcPr>
          <w:p w14:paraId="22CFBC19"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C1A" w14:textId="77777777" w:rsidR="002661BA" w:rsidRDefault="00D972BC">
            <w:pPr>
              <w:jc w:val="center"/>
              <w:textAlignment w:val="bottom"/>
            </w:pPr>
            <w:r>
              <w:rPr>
                <w:rFonts w:ascii="Arial" w:eastAsia="宋体" w:hAnsi="Arial" w:cs="Arial"/>
                <w:b/>
                <w:bCs/>
                <w:color w:val="000000"/>
                <w:sz w:val="17"/>
                <w:szCs w:val="17"/>
              </w:rPr>
              <w:t xml:space="preserve">2021 </w:t>
            </w:r>
            <w:r>
              <w:rPr>
                <w:rFonts w:ascii="Arial" w:eastAsia="宋体" w:hAnsi="Arial" w:cs="Arial"/>
                <w:b/>
                <w:bCs/>
                <w:color w:val="000000"/>
                <w:sz w:val="11"/>
                <w:szCs w:val="11"/>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C1B"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C1C"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C1D"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C1E"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BC30" w14:textId="77777777">
        <w:tc>
          <w:tcPr>
            <w:tcW w:w="0" w:type="auto"/>
            <w:gridSpan w:val="3"/>
            <w:shd w:val="clear" w:color="auto" w:fill="DBDBDB"/>
            <w:tcMar>
              <w:top w:w="40" w:type="dxa"/>
              <w:left w:w="20" w:type="dxa"/>
              <w:bottom w:w="40" w:type="dxa"/>
              <w:right w:w="20" w:type="dxa"/>
            </w:tcMar>
            <w:vAlign w:val="bottom"/>
          </w:tcPr>
          <w:p w14:paraId="22CFBC20" w14:textId="77777777" w:rsidR="002661BA" w:rsidRDefault="00D972BC">
            <w:pPr>
              <w:textAlignment w:val="bottom"/>
            </w:pPr>
            <w:r>
              <w:rPr>
                <w:rFonts w:ascii="Arial" w:eastAsia="宋体" w:hAnsi="Arial" w:cs="Arial"/>
                <w:color w:val="000000"/>
                <w:sz w:val="18"/>
                <w:szCs w:val="18"/>
              </w:rPr>
              <w:t>Net revenues</w:t>
            </w:r>
          </w:p>
        </w:tc>
        <w:tc>
          <w:tcPr>
            <w:tcW w:w="0" w:type="auto"/>
            <w:shd w:val="clear" w:color="auto" w:fill="auto"/>
            <w:vAlign w:val="bottom"/>
          </w:tcPr>
          <w:p w14:paraId="22CFBC21" w14:textId="77777777" w:rsidR="002661BA" w:rsidRDefault="002661BA">
            <w:pPr>
              <w:rPr>
                <w:rFonts w:ascii="宋体"/>
                <w:vanish/>
              </w:rPr>
            </w:pPr>
          </w:p>
        </w:tc>
        <w:tc>
          <w:tcPr>
            <w:tcW w:w="0" w:type="auto"/>
            <w:shd w:val="clear" w:color="auto" w:fill="auto"/>
            <w:vAlign w:val="bottom"/>
          </w:tcPr>
          <w:p w14:paraId="22CFBC22" w14:textId="77777777" w:rsidR="002661BA" w:rsidRDefault="002661BA">
            <w:pPr>
              <w:rPr>
                <w:rFonts w:ascii="宋体"/>
                <w:vanish/>
              </w:rPr>
            </w:pPr>
          </w:p>
        </w:tc>
        <w:tc>
          <w:tcPr>
            <w:tcW w:w="0" w:type="auto"/>
            <w:shd w:val="clear" w:color="auto" w:fill="auto"/>
            <w:vAlign w:val="bottom"/>
          </w:tcPr>
          <w:p w14:paraId="22CFBC23" w14:textId="77777777" w:rsidR="002661BA" w:rsidRDefault="002661BA">
            <w:pPr>
              <w:rPr>
                <w:rFonts w:ascii="宋体"/>
                <w:vanish/>
              </w:rPr>
            </w:pPr>
          </w:p>
        </w:tc>
        <w:tc>
          <w:tcPr>
            <w:tcW w:w="0" w:type="auto"/>
            <w:gridSpan w:val="3"/>
            <w:shd w:val="clear" w:color="auto" w:fill="DBDBDB"/>
            <w:tcMar>
              <w:top w:w="0" w:type="dxa"/>
              <w:left w:w="20" w:type="dxa"/>
              <w:bottom w:w="0" w:type="dxa"/>
              <w:right w:w="20" w:type="dxa"/>
            </w:tcMar>
            <w:vAlign w:val="bottom"/>
          </w:tcPr>
          <w:p w14:paraId="22CFBC24"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BC2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BC26" w14:textId="77777777" w:rsidR="002661BA" w:rsidRDefault="00D972BC">
            <w:pPr>
              <w:jc w:val="right"/>
              <w:textAlignment w:val="bottom"/>
            </w:pPr>
            <w:r>
              <w:rPr>
                <w:rFonts w:ascii="Arial" w:eastAsia="宋体" w:hAnsi="Arial" w:cs="Arial"/>
                <w:color w:val="000000"/>
                <w:sz w:val="18"/>
                <w:szCs w:val="18"/>
              </w:rPr>
              <w:t>565 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C27"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C28"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BC2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BC2A" w14:textId="77777777" w:rsidR="002661BA" w:rsidRDefault="00D972BC">
            <w:pPr>
              <w:jc w:val="right"/>
              <w:textAlignment w:val="bottom"/>
            </w:pPr>
            <w:r>
              <w:rPr>
                <w:rFonts w:ascii="Arial" w:eastAsia="宋体" w:hAnsi="Arial" w:cs="Arial"/>
                <w:color w:val="000000"/>
                <w:sz w:val="18"/>
                <w:szCs w:val="18"/>
              </w:rPr>
              <w:t>980 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C2B"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C2C"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BC2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BC2E" w14:textId="77777777" w:rsidR="002661BA" w:rsidRDefault="00D972BC">
            <w:pPr>
              <w:jc w:val="right"/>
              <w:textAlignment w:val="bottom"/>
            </w:pPr>
            <w:r>
              <w:rPr>
                <w:rFonts w:ascii="Arial" w:eastAsia="宋体" w:hAnsi="Arial" w:cs="Arial"/>
                <w:color w:val="000000"/>
                <w:sz w:val="18"/>
                <w:szCs w:val="18"/>
              </w:rPr>
              <w:t>1,043 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C2F" w14:textId="77777777" w:rsidR="002661BA" w:rsidRDefault="002661BA">
            <w:pPr>
              <w:jc w:val="right"/>
              <w:rPr>
                <w:rFonts w:ascii="宋体"/>
              </w:rPr>
            </w:pPr>
          </w:p>
        </w:tc>
      </w:tr>
      <w:tr w:rsidR="002661BA" w14:paraId="22CFBC3E" w14:textId="77777777">
        <w:tc>
          <w:tcPr>
            <w:tcW w:w="0" w:type="auto"/>
            <w:gridSpan w:val="3"/>
            <w:shd w:val="clear" w:color="auto" w:fill="FFFFFF"/>
            <w:tcMar>
              <w:top w:w="40" w:type="dxa"/>
              <w:left w:w="20" w:type="dxa"/>
              <w:bottom w:w="40" w:type="dxa"/>
              <w:right w:w="20" w:type="dxa"/>
            </w:tcMar>
            <w:vAlign w:val="bottom"/>
          </w:tcPr>
          <w:p w14:paraId="22CFBC31" w14:textId="77777777" w:rsidR="002661BA" w:rsidRDefault="00D972BC">
            <w:pPr>
              <w:textAlignment w:val="bottom"/>
            </w:pPr>
            <w:r>
              <w:rPr>
                <w:rFonts w:ascii="Arial" w:eastAsia="宋体" w:hAnsi="Arial" w:cs="Arial"/>
                <w:color w:val="000000"/>
                <w:sz w:val="18"/>
                <w:szCs w:val="18"/>
              </w:rPr>
              <w:t>Cost of net revenues</w:t>
            </w:r>
          </w:p>
        </w:tc>
        <w:tc>
          <w:tcPr>
            <w:tcW w:w="0" w:type="auto"/>
            <w:shd w:val="clear" w:color="auto" w:fill="auto"/>
            <w:vAlign w:val="bottom"/>
          </w:tcPr>
          <w:p w14:paraId="22CFBC32" w14:textId="77777777" w:rsidR="002661BA" w:rsidRDefault="002661BA">
            <w:pPr>
              <w:rPr>
                <w:rFonts w:ascii="宋体"/>
                <w:vanish/>
              </w:rPr>
            </w:pPr>
          </w:p>
        </w:tc>
        <w:tc>
          <w:tcPr>
            <w:tcW w:w="0" w:type="auto"/>
            <w:shd w:val="clear" w:color="auto" w:fill="auto"/>
            <w:vAlign w:val="bottom"/>
          </w:tcPr>
          <w:p w14:paraId="22CFBC33" w14:textId="77777777" w:rsidR="002661BA" w:rsidRDefault="002661BA">
            <w:pPr>
              <w:rPr>
                <w:rFonts w:ascii="宋体"/>
                <w:vanish/>
              </w:rPr>
            </w:pPr>
          </w:p>
        </w:tc>
        <w:tc>
          <w:tcPr>
            <w:tcW w:w="0" w:type="auto"/>
            <w:shd w:val="clear" w:color="auto" w:fill="auto"/>
            <w:vAlign w:val="bottom"/>
          </w:tcPr>
          <w:p w14:paraId="22CFBC34" w14:textId="77777777" w:rsidR="002661BA" w:rsidRDefault="002661BA">
            <w:pPr>
              <w:rPr>
                <w:rFonts w:ascii="宋体"/>
                <w:vanish/>
              </w:rPr>
            </w:pPr>
          </w:p>
        </w:tc>
        <w:tc>
          <w:tcPr>
            <w:tcW w:w="0" w:type="auto"/>
            <w:gridSpan w:val="3"/>
            <w:shd w:val="clear" w:color="auto" w:fill="FFFFFF"/>
            <w:tcMar>
              <w:top w:w="0" w:type="dxa"/>
              <w:left w:w="20" w:type="dxa"/>
              <w:bottom w:w="0" w:type="dxa"/>
              <w:right w:w="20" w:type="dxa"/>
            </w:tcMar>
            <w:vAlign w:val="bottom"/>
          </w:tcPr>
          <w:p w14:paraId="22CFBC35"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C36" w14:textId="77777777" w:rsidR="002661BA" w:rsidRDefault="00D972BC">
            <w:pPr>
              <w:jc w:val="right"/>
              <w:textAlignment w:val="bottom"/>
            </w:pPr>
            <w:r>
              <w:rPr>
                <w:rFonts w:ascii="Arial" w:eastAsia="宋体" w:hAnsi="Arial" w:cs="Arial"/>
                <w:color w:val="000000"/>
                <w:sz w:val="18"/>
                <w:szCs w:val="18"/>
              </w:rPr>
              <w:t>63 </w:t>
            </w:r>
          </w:p>
        </w:tc>
        <w:tc>
          <w:tcPr>
            <w:tcW w:w="0" w:type="auto"/>
            <w:shd w:val="clear" w:color="auto" w:fill="FFFFFF"/>
            <w:tcMar>
              <w:top w:w="40" w:type="dxa"/>
              <w:left w:w="0" w:type="dxa"/>
              <w:bottom w:w="40" w:type="dxa"/>
              <w:right w:w="20" w:type="dxa"/>
            </w:tcMar>
            <w:vAlign w:val="bottom"/>
          </w:tcPr>
          <w:p w14:paraId="22CFBC3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C38"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C39" w14:textId="77777777" w:rsidR="002661BA" w:rsidRDefault="00D972BC">
            <w:pPr>
              <w:jc w:val="right"/>
              <w:textAlignment w:val="bottom"/>
            </w:pPr>
            <w:r>
              <w:rPr>
                <w:rFonts w:ascii="Arial" w:eastAsia="宋体" w:hAnsi="Arial" w:cs="Arial"/>
                <w:color w:val="000000"/>
                <w:sz w:val="18"/>
                <w:szCs w:val="18"/>
              </w:rPr>
              <w:t>103 </w:t>
            </w:r>
          </w:p>
        </w:tc>
        <w:tc>
          <w:tcPr>
            <w:tcW w:w="0" w:type="auto"/>
            <w:shd w:val="clear" w:color="auto" w:fill="FFFFFF"/>
            <w:tcMar>
              <w:top w:w="40" w:type="dxa"/>
              <w:left w:w="0" w:type="dxa"/>
              <w:bottom w:w="40" w:type="dxa"/>
              <w:right w:w="20" w:type="dxa"/>
            </w:tcMar>
            <w:vAlign w:val="bottom"/>
          </w:tcPr>
          <w:p w14:paraId="22CFBC3A"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C3B"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C3C" w14:textId="77777777" w:rsidR="002661BA" w:rsidRDefault="00D972BC">
            <w:pPr>
              <w:jc w:val="right"/>
              <w:textAlignment w:val="bottom"/>
            </w:pPr>
            <w:r>
              <w:rPr>
                <w:rFonts w:ascii="Arial" w:eastAsia="宋体" w:hAnsi="Arial" w:cs="Arial"/>
                <w:color w:val="000000"/>
                <w:sz w:val="18"/>
                <w:szCs w:val="18"/>
              </w:rPr>
              <w:t>82 </w:t>
            </w:r>
          </w:p>
        </w:tc>
        <w:tc>
          <w:tcPr>
            <w:tcW w:w="0" w:type="auto"/>
            <w:shd w:val="clear" w:color="auto" w:fill="FFFFFF"/>
            <w:tcMar>
              <w:top w:w="40" w:type="dxa"/>
              <w:left w:w="0" w:type="dxa"/>
              <w:bottom w:w="40" w:type="dxa"/>
              <w:right w:w="20" w:type="dxa"/>
            </w:tcMar>
            <w:vAlign w:val="bottom"/>
          </w:tcPr>
          <w:p w14:paraId="22CFBC3D" w14:textId="77777777" w:rsidR="002661BA" w:rsidRDefault="002661BA">
            <w:pPr>
              <w:jc w:val="right"/>
              <w:rPr>
                <w:rFonts w:ascii="宋体"/>
              </w:rPr>
            </w:pPr>
          </w:p>
        </w:tc>
      </w:tr>
      <w:tr w:rsidR="002661BA" w14:paraId="22CFBC4C" w14:textId="77777777">
        <w:tc>
          <w:tcPr>
            <w:tcW w:w="0" w:type="auto"/>
            <w:gridSpan w:val="3"/>
            <w:shd w:val="clear" w:color="auto" w:fill="DBDBDB"/>
            <w:tcMar>
              <w:top w:w="40" w:type="dxa"/>
              <w:left w:w="875" w:type="dxa"/>
              <w:bottom w:w="40" w:type="dxa"/>
              <w:right w:w="20" w:type="dxa"/>
            </w:tcMar>
            <w:vAlign w:val="bottom"/>
          </w:tcPr>
          <w:p w14:paraId="22CFBC3F" w14:textId="77777777" w:rsidR="002661BA" w:rsidRDefault="00D972BC">
            <w:pPr>
              <w:textAlignment w:val="bottom"/>
            </w:pPr>
            <w:r>
              <w:rPr>
                <w:rFonts w:ascii="Arial" w:eastAsia="宋体" w:hAnsi="Arial" w:cs="Arial"/>
                <w:color w:val="000000"/>
                <w:sz w:val="18"/>
                <w:szCs w:val="18"/>
              </w:rPr>
              <w:t>Gross profit</w:t>
            </w:r>
          </w:p>
        </w:tc>
        <w:tc>
          <w:tcPr>
            <w:tcW w:w="0" w:type="auto"/>
            <w:shd w:val="clear" w:color="auto" w:fill="auto"/>
            <w:vAlign w:val="bottom"/>
          </w:tcPr>
          <w:p w14:paraId="22CFBC40" w14:textId="77777777" w:rsidR="002661BA" w:rsidRDefault="002661BA">
            <w:pPr>
              <w:rPr>
                <w:rFonts w:ascii="宋体"/>
                <w:vanish/>
              </w:rPr>
            </w:pPr>
          </w:p>
        </w:tc>
        <w:tc>
          <w:tcPr>
            <w:tcW w:w="0" w:type="auto"/>
            <w:shd w:val="clear" w:color="auto" w:fill="auto"/>
            <w:vAlign w:val="bottom"/>
          </w:tcPr>
          <w:p w14:paraId="22CFBC41" w14:textId="77777777" w:rsidR="002661BA" w:rsidRDefault="002661BA">
            <w:pPr>
              <w:rPr>
                <w:rFonts w:ascii="宋体"/>
                <w:vanish/>
              </w:rPr>
            </w:pPr>
          </w:p>
        </w:tc>
        <w:tc>
          <w:tcPr>
            <w:tcW w:w="0" w:type="auto"/>
            <w:shd w:val="clear" w:color="auto" w:fill="auto"/>
            <w:vAlign w:val="bottom"/>
          </w:tcPr>
          <w:p w14:paraId="22CFBC42" w14:textId="77777777" w:rsidR="002661BA" w:rsidRDefault="002661BA">
            <w:pPr>
              <w:rPr>
                <w:rFonts w:ascii="宋体"/>
                <w:vanish/>
              </w:rPr>
            </w:pPr>
          </w:p>
        </w:tc>
        <w:tc>
          <w:tcPr>
            <w:tcW w:w="0" w:type="auto"/>
            <w:gridSpan w:val="3"/>
            <w:shd w:val="clear" w:color="auto" w:fill="DBDBDB"/>
            <w:tcMar>
              <w:top w:w="0" w:type="dxa"/>
              <w:left w:w="20" w:type="dxa"/>
              <w:bottom w:w="0" w:type="dxa"/>
              <w:right w:w="20" w:type="dxa"/>
            </w:tcMar>
            <w:vAlign w:val="bottom"/>
          </w:tcPr>
          <w:p w14:paraId="22CFBC43"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C44" w14:textId="77777777" w:rsidR="002661BA" w:rsidRDefault="00D972BC">
            <w:pPr>
              <w:jc w:val="right"/>
              <w:textAlignment w:val="bottom"/>
            </w:pPr>
            <w:r>
              <w:rPr>
                <w:rFonts w:ascii="Arial" w:eastAsia="宋体" w:hAnsi="Arial" w:cs="Arial"/>
                <w:color w:val="000000"/>
                <w:sz w:val="18"/>
                <w:szCs w:val="18"/>
              </w:rPr>
              <w:t>502 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C45"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C46"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C47" w14:textId="77777777" w:rsidR="002661BA" w:rsidRDefault="00D972BC">
            <w:pPr>
              <w:jc w:val="right"/>
              <w:textAlignment w:val="bottom"/>
            </w:pPr>
            <w:r>
              <w:rPr>
                <w:rFonts w:ascii="Arial" w:eastAsia="宋体" w:hAnsi="Arial" w:cs="Arial"/>
                <w:color w:val="000000"/>
                <w:sz w:val="18"/>
                <w:szCs w:val="18"/>
              </w:rPr>
              <w:t>877 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C48"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C49"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C4A" w14:textId="77777777" w:rsidR="002661BA" w:rsidRDefault="00D972BC">
            <w:pPr>
              <w:jc w:val="right"/>
              <w:textAlignment w:val="bottom"/>
            </w:pPr>
            <w:r>
              <w:rPr>
                <w:rFonts w:ascii="Arial" w:eastAsia="宋体" w:hAnsi="Arial" w:cs="Arial"/>
                <w:color w:val="000000"/>
                <w:sz w:val="18"/>
                <w:szCs w:val="18"/>
              </w:rPr>
              <w:t>961 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C4B" w14:textId="77777777" w:rsidR="002661BA" w:rsidRDefault="002661BA">
            <w:pPr>
              <w:jc w:val="right"/>
              <w:rPr>
                <w:rFonts w:ascii="宋体"/>
              </w:rPr>
            </w:pPr>
          </w:p>
        </w:tc>
      </w:tr>
      <w:tr w:rsidR="002661BA" w14:paraId="22CFBC57" w14:textId="77777777">
        <w:tc>
          <w:tcPr>
            <w:tcW w:w="0" w:type="auto"/>
            <w:gridSpan w:val="3"/>
            <w:shd w:val="clear" w:color="auto" w:fill="FFFFFF"/>
            <w:tcMar>
              <w:top w:w="40" w:type="dxa"/>
              <w:left w:w="20" w:type="dxa"/>
              <w:bottom w:w="40" w:type="dxa"/>
              <w:right w:w="20" w:type="dxa"/>
            </w:tcMar>
            <w:vAlign w:val="bottom"/>
          </w:tcPr>
          <w:p w14:paraId="22CFBC4D" w14:textId="77777777" w:rsidR="002661BA" w:rsidRDefault="00D972BC">
            <w:pPr>
              <w:textAlignment w:val="bottom"/>
            </w:pPr>
            <w:r>
              <w:rPr>
                <w:rFonts w:ascii="Arial" w:eastAsia="宋体" w:hAnsi="Arial" w:cs="Arial"/>
                <w:color w:val="000000"/>
                <w:sz w:val="18"/>
                <w:szCs w:val="18"/>
              </w:rPr>
              <w:t>Operating expenses:</w:t>
            </w:r>
          </w:p>
        </w:tc>
        <w:tc>
          <w:tcPr>
            <w:tcW w:w="0" w:type="auto"/>
            <w:shd w:val="clear" w:color="auto" w:fill="auto"/>
            <w:vAlign w:val="bottom"/>
          </w:tcPr>
          <w:p w14:paraId="22CFBC4E" w14:textId="77777777" w:rsidR="002661BA" w:rsidRDefault="002661BA">
            <w:pPr>
              <w:rPr>
                <w:rFonts w:ascii="宋体"/>
                <w:vanish/>
              </w:rPr>
            </w:pPr>
          </w:p>
        </w:tc>
        <w:tc>
          <w:tcPr>
            <w:tcW w:w="0" w:type="auto"/>
            <w:shd w:val="clear" w:color="auto" w:fill="auto"/>
            <w:vAlign w:val="bottom"/>
          </w:tcPr>
          <w:p w14:paraId="22CFBC4F" w14:textId="77777777" w:rsidR="002661BA" w:rsidRDefault="002661BA">
            <w:pPr>
              <w:rPr>
                <w:rFonts w:ascii="宋体"/>
                <w:vanish/>
              </w:rPr>
            </w:pPr>
          </w:p>
        </w:tc>
        <w:tc>
          <w:tcPr>
            <w:tcW w:w="0" w:type="auto"/>
            <w:shd w:val="clear" w:color="auto" w:fill="auto"/>
            <w:vAlign w:val="bottom"/>
          </w:tcPr>
          <w:p w14:paraId="22CFBC50" w14:textId="77777777" w:rsidR="002661BA" w:rsidRDefault="002661BA">
            <w:pPr>
              <w:rPr>
                <w:rFonts w:ascii="宋体"/>
                <w:vanish/>
              </w:rPr>
            </w:pPr>
          </w:p>
        </w:tc>
        <w:tc>
          <w:tcPr>
            <w:tcW w:w="0" w:type="auto"/>
            <w:gridSpan w:val="3"/>
            <w:shd w:val="clear" w:color="auto" w:fill="FFFFFF"/>
            <w:tcMar>
              <w:top w:w="0" w:type="dxa"/>
              <w:left w:w="20" w:type="dxa"/>
              <w:bottom w:w="0" w:type="dxa"/>
              <w:right w:w="20" w:type="dxa"/>
            </w:tcMar>
            <w:vAlign w:val="bottom"/>
          </w:tcPr>
          <w:p w14:paraId="22CFBC51" w14:textId="77777777" w:rsidR="002661BA" w:rsidRDefault="002661B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C52"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C53" w14:textId="77777777" w:rsidR="002661BA" w:rsidRDefault="002661B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C54"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C55" w14:textId="77777777" w:rsidR="002661BA" w:rsidRDefault="002661B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C56" w14:textId="77777777" w:rsidR="002661BA" w:rsidRDefault="002661BA">
            <w:pPr>
              <w:rPr>
                <w:rFonts w:ascii="宋体"/>
              </w:rPr>
            </w:pPr>
          </w:p>
        </w:tc>
      </w:tr>
      <w:tr w:rsidR="002661BA" w14:paraId="22CFBC65" w14:textId="77777777">
        <w:tc>
          <w:tcPr>
            <w:tcW w:w="0" w:type="auto"/>
            <w:gridSpan w:val="3"/>
            <w:shd w:val="clear" w:color="auto" w:fill="DBDBDB"/>
            <w:tcMar>
              <w:top w:w="40" w:type="dxa"/>
              <w:left w:w="515" w:type="dxa"/>
              <w:bottom w:w="40" w:type="dxa"/>
              <w:right w:w="20" w:type="dxa"/>
            </w:tcMar>
            <w:vAlign w:val="bottom"/>
          </w:tcPr>
          <w:p w14:paraId="22CFBC58" w14:textId="77777777" w:rsidR="002661BA" w:rsidRDefault="00D972BC">
            <w:pPr>
              <w:textAlignment w:val="bottom"/>
            </w:pPr>
            <w:r>
              <w:rPr>
                <w:rFonts w:ascii="Arial" w:eastAsia="宋体" w:hAnsi="Arial" w:cs="Arial"/>
                <w:color w:val="000000"/>
                <w:sz w:val="18"/>
                <w:szCs w:val="18"/>
              </w:rPr>
              <w:t>Sales and marketing</w:t>
            </w:r>
          </w:p>
        </w:tc>
        <w:tc>
          <w:tcPr>
            <w:tcW w:w="0" w:type="auto"/>
            <w:shd w:val="clear" w:color="auto" w:fill="auto"/>
            <w:vAlign w:val="bottom"/>
          </w:tcPr>
          <w:p w14:paraId="22CFBC59" w14:textId="77777777" w:rsidR="002661BA" w:rsidRDefault="002661BA">
            <w:pPr>
              <w:rPr>
                <w:rFonts w:ascii="宋体"/>
                <w:vanish/>
              </w:rPr>
            </w:pPr>
          </w:p>
        </w:tc>
        <w:tc>
          <w:tcPr>
            <w:tcW w:w="0" w:type="auto"/>
            <w:shd w:val="clear" w:color="auto" w:fill="auto"/>
            <w:vAlign w:val="bottom"/>
          </w:tcPr>
          <w:p w14:paraId="22CFBC5A" w14:textId="77777777" w:rsidR="002661BA" w:rsidRDefault="002661BA">
            <w:pPr>
              <w:rPr>
                <w:rFonts w:ascii="宋体"/>
                <w:vanish/>
              </w:rPr>
            </w:pPr>
          </w:p>
        </w:tc>
        <w:tc>
          <w:tcPr>
            <w:tcW w:w="0" w:type="auto"/>
            <w:shd w:val="clear" w:color="auto" w:fill="auto"/>
            <w:vAlign w:val="bottom"/>
          </w:tcPr>
          <w:p w14:paraId="22CFBC5B" w14:textId="77777777" w:rsidR="002661BA" w:rsidRDefault="002661BA">
            <w:pPr>
              <w:rPr>
                <w:rFonts w:ascii="宋体"/>
                <w:vanish/>
              </w:rPr>
            </w:pPr>
          </w:p>
        </w:tc>
        <w:tc>
          <w:tcPr>
            <w:tcW w:w="0" w:type="auto"/>
            <w:gridSpan w:val="3"/>
            <w:shd w:val="clear" w:color="auto" w:fill="DBDBDB"/>
            <w:tcMar>
              <w:top w:w="0" w:type="dxa"/>
              <w:left w:w="20" w:type="dxa"/>
              <w:bottom w:w="0" w:type="dxa"/>
              <w:right w:w="20" w:type="dxa"/>
            </w:tcMar>
            <w:vAlign w:val="bottom"/>
          </w:tcPr>
          <w:p w14:paraId="22CFBC5C"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C5D" w14:textId="77777777" w:rsidR="002661BA" w:rsidRDefault="00D972BC">
            <w:pPr>
              <w:jc w:val="right"/>
              <w:textAlignment w:val="bottom"/>
            </w:pPr>
            <w:r>
              <w:rPr>
                <w:rFonts w:ascii="Arial" w:eastAsia="宋体" w:hAnsi="Arial" w:cs="Arial"/>
                <w:color w:val="000000"/>
                <w:sz w:val="18"/>
                <w:szCs w:val="18"/>
              </w:rPr>
              <w:t>183 </w:t>
            </w:r>
          </w:p>
        </w:tc>
        <w:tc>
          <w:tcPr>
            <w:tcW w:w="0" w:type="auto"/>
            <w:shd w:val="clear" w:color="auto" w:fill="DBDBDB"/>
            <w:tcMar>
              <w:top w:w="40" w:type="dxa"/>
              <w:left w:w="0" w:type="dxa"/>
              <w:bottom w:w="40" w:type="dxa"/>
              <w:right w:w="20" w:type="dxa"/>
            </w:tcMar>
            <w:vAlign w:val="bottom"/>
          </w:tcPr>
          <w:p w14:paraId="22CFBC5E"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C5F"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C60" w14:textId="77777777" w:rsidR="002661BA" w:rsidRDefault="00D972BC">
            <w:pPr>
              <w:jc w:val="right"/>
              <w:textAlignment w:val="bottom"/>
            </w:pPr>
            <w:r>
              <w:rPr>
                <w:rFonts w:ascii="Arial" w:eastAsia="宋体" w:hAnsi="Arial" w:cs="Arial"/>
                <w:color w:val="000000"/>
                <w:sz w:val="18"/>
                <w:szCs w:val="18"/>
              </w:rPr>
              <w:t>286 </w:t>
            </w:r>
          </w:p>
        </w:tc>
        <w:tc>
          <w:tcPr>
            <w:tcW w:w="0" w:type="auto"/>
            <w:shd w:val="clear" w:color="auto" w:fill="DBDBDB"/>
            <w:tcMar>
              <w:top w:w="40" w:type="dxa"/>
              <w:left w:w="0" w:type="dxa"/>
              <w:bottom w:w="40" w:type="dxa"/>
              <w:right w:w="20" w:type="dxa"/>
            </w:tcMar>
            <w:vAlign w:val="bottom"/>
          </w:tcPr>
          <w:p w14:paraId="22CFBC61"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C62"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C63" w14:textId="77777777" w:rsidR="002661BA" w:rsidRDefault="00D972BC">
            <w:pPr>
              <w:jc w:val="right"/>
              <w:textAlignment w:val="bottom"/>
            </w:pPr>
            <w:r>
              <w:rPr>
                <w:rFonts w:ascii="Arial" w:eastAsia="宋体" w:hAnsi="Arial" w:cs="Arial"/>
                <w:color w:val="000000"/>
                <w:sz w:val="18"/>
                <w:szCs w:val="18"/>
              </w:rPr>
              <w:t>335 </w:t>
            </w:r>
          </w:p>
        </w:tc>
        <w:tc>
          <w:tcPr>
            <w:tcW w:w="0" w:type="auto"/>
            <w:shd w:val="clear" w:color="auto" w:fill="DBDBDB"/>
            <w:tcMar>
              <w:top w:w="40" w:type="dxa"/>
              <w:left w:w="0" w:type="dxa"/>
              <w:bottom w:w="40" w:type="dxa"/>
              <w:right w:w="20" w:type="dxa"/>
            </w:tcMar>
            <w:vAlign w:val="bottom"/>
          </w:tcPr>
          <w:p w14:paraId="22CFBC64" w14:textId="77777777" w:rsidR="002661BA" w:rsidRDefault="002661BA">
            <w:pPr>
              <w:jc w:val="right"/>
              <w:rPr>
                <w:rFonts w:ascii="宋体"/>
              </w:rPr>
            </w:pPr>
          </w:p>
        </w:tc>
      </w:tr>
      <w:tr w:rsidR="002661BA" w14:paraId="22CFBC73" w14:textId="77777777">
        <w:tc>
          <w:tcPr>
            <w:tcW w:w="0" w:type="auto"/>
            <w:gridSpan w:val="3"/>
            <w:shd w:val="clear" w:color="auto" w:fill="FFFFFF"/>
            <w:tcMar>
              <w:top w:w="40" w:type="dxa"/>
              <w:left w:w="515" w:type="dxa"/>
              <w:bottom w:w="40" w:type="dxa"/>
              <w:right w:w="20" w:type="dxa"/>
            </w:tcMar>
            <w:vAlign w:val="bottom"/>
          </w:tcPr>
          <w:p w14:paraId="22CFBC66" w14:textId="77777777" w:rsidR="002661BA" w:rsidRDefault="00D972BC">
            <w:pPr>
              <w:textAlignment w:val="bottom"/>
            </w:pPr>
            <w:r>
              <w:rPr>
                <w:rFonts w:ascii="Arial" w:eastAsia="宋体" w:hAnsi="Arial" w:cs="Arial"/>
                <w:color w:val="000000"/>
                <w:sz w:val="18"/>
                <w:szCs w:val="18"/>
              </w:rPr>
              <w:t>Product development</w:t>
            </w:r>
          </w:p>
        </w:tc>
        <w:tc>
          <w:tcPr>
            <w:tcW w:w="0" w:type="auto"/>
            <w:shd w:val="clear" w:color="auto" w:fill="auto"/>
            <w:vAlign w:val="bottom"/>
          </w:tcPr>
          <w:p w14:paraId="22CFBC67" w14:textId="77777777" w:rsidR="002661BA" w:rsidRDefault="002661BA">
            <w:pPr>
              <w:rPr>
                <w:rFonts w:ascii="宋体"/>
                <w:vanish/>
              </w:rPr>
            </w:pPr>
          </w:p>
        </w:tc>
        <w:tc>
          <w:tcPr>
            <w:tcW w:w="0" w:type="auto"/>
            <w:shd w:val="clear" w:color="auto" w:fill="auto"/>
            <w:vAlign w:val="bottom"/>
          </w:tcPr>
          <w:p w14:paraId="22CFBC68" w14:textId="77777777" w:rsidR="002661BA" w:rsidRDefault="002661BA">
            <w:pPr>
              <w:rPr>
                <w:rFonts w:ascii="宋体"/>
                <w:vanish/>
              </w:rPr>
            </w:pPr>
          </w:p>
        </w:tc>
        <w:tc>
          <w:tcPr>
            <w:tcW w:w="0" w:type="auto"/>
            <w:shd w:val="clear" w:color="auto" w:fill="auto"/>
            <w:vAlign w:val="bottom"/>
          </w:tcPr>
          <w:p w14:paraId="22CFBC69" w14:textId="77777777" w:rsidR="002661BA" w:rsidRDefault="002661BA">
            <w:pPr>
              <w:rPr>
                <w:rFonts w:ascii="宋体"/>
                <w:vanish/>
              </w:rPr>
            </w:pPr>
          </w:p>
        </w:tc>
        <w:tc>
          <w:tcPr>
            <w:tcW w:w="0" w:type="auto"/>
            <w:gridSpan w:val="3"/>
            <w:shd w:val="clear" w:color="auto" w:fill="FFFFFF"/>
            <w:tcMar>
              <w:top w:w="0" w:type="dxa"/>
              <w:left w:w="20" w:type="dxa"/>
              <w:bottom w:w="0" w:type="dxa"/>
              <w:right w:w="20" w:type="dxa"/>
            </w:tcMar>
            <w:vAlign w:val="bottom"/>
          </w:tcPr>
          <w:p w14:paraId="22CFBC6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C6B" w14:textId="77777777" w:rsidR="002661BA" w:rsidRDefault="00D972BC">
            <w:pPr>
              <w:jc w:val="right"/>
              <w:textAlignment w:val="bottom"/>
            </w:pPr>
            <w:r>
              <w:rPr>
                <w:rFonts w:ascii="Arial" w:eastAsia="宋体" w:hAnsi="Arial" w:cs="Arial"/>
                <w:color w:val="000000"/>
                <w:sz w:val="18"/>
                <w:szCs w:val="18"/>
              </w:rPr>
              <w:t>105 </w:t>
            </w:r>
          </w:p>
        </w:tc>
        <w:tc>
          <w:tcPr>
            <w:tcW w:w="0" w:type="auto"/>
            <w:shd w:val="clear" w:color="auto" w:fill="FFFFFF"/>
            <w:tcMar>
              <w:top w:w="40" w:type="dxa"/>
              <w:left w:w="0" w:type="dxa"/>
              <w:bottom w:w="40" w:type="dxa"/>
              <w:right w:w="20" w:type="dxa"/>
            </w:tcMar>
            <w:vAlign w:val="bottom"/>
          </w:tcPr>
          <w:p w14:paraId="22CFBC6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C6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C6E" w14:textId="77777777" w:rsidR="002661BA" w:rsidRDefault="00D972BC">
            <w:pPr>
              <w:jc w:val="right"/>
              <w:textAlignment w:val="bottom"/>
            </w:pPr>
            <w:r>
              <w:rPr>
                <w:rFonts w:ascii="Arial" w:eastAsia="宋体" w:hAnsi="Arial" w:cs="Arial"/>
                <w:color w:val="000000"/>
                <w:sz w:val="18"/>
                <w:szCs w:val="18"/>
              </w:rPr>
              <w:t>161 </w:t>
            </w:r>
          </w:p>
        </w:tc>
        <w:tc>
          <w:tcPr>
            <w:tcW w:w="0" w:type="auto"/>
            <w:shd w:val="clear" w:color="auto" w:fill="FFFFFF"/>
            <w:tcMar>
              <w:top w:w="40" w:type="dxa"/>
              <w:left w:w="0" w:type="dxa"/>
              <w:bottom w:w="40" w:type="dxa"/>
              <w:right w:w="20" w:type="dxa"/>
            </w:tcMar>
            <w:vAlign w:val="bottom"/>
          </w:tcPr>
          <w:p w14:paraId="22CFBC6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C7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C71" w14:textId="77777777" w:rsidR="002661BA" w:rsidRDefault="00D972BC">
            <w:pPr>
              <w:jc w:val="right"/>
              <w:textAlignment w:val="bottom"/>
            </w:pPr>
            <w:r>
              <w:rPr>
                <w:rFonts w:ascii="Arial" w:eastAsia="宋体" w:hAnsi="Arial" w:cs="Arial"/>
                <w:color w:val="000000"/>
                <w:sz w:val="18"/>
                <w:szCs w:val="18"/>
              </w:rPr>
              <w:t>150 </w:t>
            </w:r>
          </w:p>
        </w:tc>
        <w:tc>
          <w:tcPr>
            <w:tcW w:w="0" w:type="auto"/>
            <w:shd w:val="clear" w:color="auto" w:fill="FFFFFF"/>
            <w:tcMar>
              <w:top w:w="40" w:type="dxa"/>
              <w:left w:w="0" w:type="dxa"/>
              <w:bottom w:w="40" w:type="dxa"/>
              <w:right w:w="20" w:type="dxa"/>
            </w:tcMar>
            <w:vAlign w:val="bottom"/>
          </w:tcPr>
          <w:p w14:paraId="22CFBC72" w14:textId="77777777" w:rsidR="002661BA" w:rsidRDefault="002661BA">
            <w:pPr>
              <w:jc w:val="right"/>
              <w:rPr>
                <w:rFonts w:ascii="宋体"/>
              </w:rPr>
            </w:pPr>
          </w:p>
        </w:tc>
      </w:tr>
      <w:tr w:rsidR="002661BA" w14:paraId="22CFBC81" w14:textId="77777777">
        <w:tc>
          <w:tcPr>
            <w:tcW w:w="0" w:type="auto"/>
            <w:gridSpan w:val="3"/>
            <w:shd w:val="clear" w:color="auto" w:fill="DBDBDB"/>
            <w:tcMar>
              <w:top w:w="40" w:type="dxa"/>
              <w:left w:w="515" w:type="dxa"/>
              <w:bottom w:w="40" w:type="dxa"/>
              <w:right w:w="20" w:type="dxa"/>
            </w:tcMar>
            <w:vAlign w:val="bottom"/>
          </w:tcPr>
          <w:p w14:paraId="22CFBC74" w14:textId="77777777" w:rsidR="002661BA" w:rsidRDefault="00D972BC">
            <w:pPr>
              <w:textAlignment w:val="bottom"/>
            </w:pPr>
            <w:r>
              <w:rPr>
                <w:rFonts w:ascii="Arial" w:eastAsia="宋体" w:hAnsi="Arial" w:cs="Arial"/>
                <w:color w:val="000000"/>
                <w:sz w:val="18"/>
                <w:szCs w:val="18"/>
              </w:rPr>
              <w:t>General and administrative</w:t>
            </w:r>
          </w:p>
        </w:tc>
        <w:tc>
          <w:tcPr>
            <w:tcW w:w="0" w:type="auto"/>
            <w:shd w:val="clear" w:color="auto" w:fill="auto"/>
            <w:vAlign w:val="bottom"/>
          </w:tcPr>
          <w:p w14:paraId="22CFBC75" w14:textId="77777777" w:rsidR="002661BA" w:rsidRDefault="002661BA">
            <w:pPr>
              <w:rPr>
                <w:rFonts w:ascii="宋体"/>
                <w:vanish/>
              </w:rPr>
            </w:pPr>
          </w:p>
        </w:tc>
        <w:tc>
          <w:tcPr>
            <w:tcW w:w="0" w:type="auto"/>
            <w:shd w:val="clear" w:color="auto" w:fill="auto"/>
            <w:vAlign w:val="bottom"/>
          </w:tcPr>
          <w:p w14:paraId="22CFBC76" w14:textId="77777777" w:rsidR="002661BA" w:rsidRDefault="002661BA">
            <w:pPr>
              <w:rPr>
                <w:rFonts w:ascii="宋体"/>
                <w:vanish/>
              </w:rPr>
            </w:pPr>
          </w:p>
        </w:tc>
        <w:tc>
          <w:tcPr>
            <w:tcW w:w="0" w:type="auto"/>
            <w:shd w:val="clear" w:color="auto" w:fill="auto"/>
            <w:vAlign w:val="bottom"/>
          </w:tcPr>
          <w:p w14:paraId="22CFBC77" w14:textId="77777777" w:rsidR="002661BA" w:rsidRDefault="002661BA">
            <w:pPr>
              <w:rPr>
                <w:rFonts w:ascii="宋体"/>
                <w:vanish/>
              </w:rPr>
            </w:pPr>
          </w:p>
        </w:tc>
        <w:tc>
          <w:tcPr>
            <w:tcW w:w="0" w:type="auto"/>
            <w:gridSpan w:val="3"/>
            <w:shd w:val="clear" w:color="auto" w:fill="DBDBDB"/>
            <w:tcMar>
              <w:top w:w="0" w:type="dxa"/>
              <w:left w:w="20" w:type="dxa"/>
              <w:bottom w:w="0" w:type="dxa"/>
              <w:right w:w="20" w:type="dxa"/>
            </w:tcMar>
            <w:vAlign w:val="bottom"/>
          </w:tcPr>
          <w:p w14:paraId="22CFBC78"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C79" w14:textId="77777777" w:rsidR="002661BA" w:rsidRDefault="00D972BC">
            <w:pPr>
              <w:jc w:val="right"/>
              <w:textAlignment w:val="bottom"/>
            </w:pPr>
            <w:r>
              <w:rPr>
                <w:rFonts w:ascii="Arial" w:eastAsia="宋体" w:hAnsi="Arial" w:cs="Arial"/>
                <w:color w:val="000000"/>
                <w:sz w:val="18"/>
                <w:szCs w:val="18"/>
              </w:rPr>
              <w:t>76 </w:t>
            </w:r>
          </w:p>
        </w:tc>
        <w:tc>
          <w:tcPr>
            <w:tcW w:w="0" w:type="auto"/>
            <w:shd w:val="clear" w:color="auto" w:fill="DBDBDB"/>
            <w:tcMar>
              <w:top w:w="40" w:type="dxa"/>
              <w:left w:w="0" w:type="dxa"/>
              <w:bottom w:w="40" w:type="dxa"/>
              <w:right w:w="20" w:type="dxa"/>
            </w:tcMar>
            <w:vAlign w:val="bottom"/>
          </w:tcPr>
          <w:p w14:paraId="22CFBC7A"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C7B"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C7C" w14:textId="77777777" w:rsidR="002661BA" w:rsidRDefault="00D972BC">
            <w:pPr>
              <w:jc w:val="right"/>
              <w:textAlignment w:val="bottom"/>
            </w:pPr>
            <w:r>
              <w:rPr>
                <w:rFonts w:ascii="Arial" w:eastAsia="宋体" w:hAnsi="Arial" w:cs="Arial"/>
                <w:color w:val="000000"/>
                <w:sz w:val="18"/>
                <w:szCs w:val="18"/>
              </w:rPr>
              <w:t>124 </w:t>
            </w:r>
          </w:p>
        </w:tc>
        <w:tc>
          <w:tcPr>
            <w:tcW w:w="0" w:type="auto"/>
            <w:shd w:val="clear" w:color="auto" w:fill="DBDBDB"/>
            <w:tcMar>
              <w:top w:w="40" w:type="dxa"/>
              <w:left w:w="0" w:type="dxa"/>
              <w:bottom w:w="40" w:type="dxa"/>
              <w:right w:w="20" w:type="dxa"/>
            </w:tcMar>
            <w:vAlign w:val="bottom"/>
          </w:tcPr>
          <w:p w14:paraId="22CFBC7D"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C7E"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C7F" w14:textId="77777777" w:rsidR="002661BA" w:rsidRDefault="00D972BC">
            <w:pPr>
              <w:jc w:val="right"/>
              <w:textAlignment w:val="bottom"/>
            </w:pPr>
            <w:r>
              <w:rPr>
                <w:rFonts w:ascii="Arial" w:eastAsia="宋体" w:hAnsi="Arial" w:cs="Arial"/>
                <w:color w:val="000000"/>
                <w:sz w:val="18"/>
                <w:szCs w:val="18"/>
              </w:rPr>
              <w:t>59 </w:t>
            </w:r>
          </w:p>
        </w:tc>
        <w:tc>
          <w:tcPr>
            <w:tcW w:w="0" w:type="auto"/>
            <w:shd w:val="clear" w:color="auto" w:fill="DBDBDB"/>
            <w:tcMar>
              <w:top w:w="40" w:type="dxa"/>
              <w:left w:w="0" w:type="dxa"/>
              <w:bottom w:w="40" w:type="dxa"/>
              <w:right w:w="20" w:type="dxa"/>
            </w:tcMar>
            <w:vAlign w:val="bottom"/>
          </w:tcPr>
          <w:p w14:paraId="22CFBC80" w14:textId="77777777" w:rsidR="002661BA" w:rsidRDefault="002661BA">
            <w:pPr>
              <w:jc w:val="right"/>
              <w:rPr>
                <w:rFonts w:ascii="宋体"/>
              </w:rPr>
            </w:pPr>
          </w:p>
        </w:tc>
      </w:tr>
      <w:tr w:rsidR="002661BA" w14:paraId="22CFBC8F" w14:textId="77777777">
        <w:tc>
          <w:tcPr>
            <w:tcW w:w="0" w:type="auto"/>
            <w:gridSpan w:val="3"/>
            <w:shd w:val="clear" w:color="auto" w:fill="FFFFFF"/>
            <w:tcMar>
              <w:top w:w="40" w:type="dxa"/>
              <w:left w:w="515" w:type="dxa"/>
              <w:bottom w:w="40" w:type="dxa"/>
              <w:right w:w="20" w:type="dxa"/>
            </w:tcMar>
            <w:vAlign w:val="bottom"/>
          </w:tcPr>
          <w:p w14:paraId="22CFBC82" w14:textId="77777777" w:rsidR="002661BA" w:rsidRDefault="00D972BC">
            <w:pPr>
              <w:textAlignment w:val="bottom"/>
            </w:pPr>
            <w:r>
              <w:rPr>
                <w:rFonts w:ascii="Arial" w:eastAsia="宋体" w:hAnsi="Arial" w:cs="Arial"/>
                <w:color w:val="000000"/>
                <w:sz w:val="18"/>
                <w:szCs w:val="18"/>
              </w:rPr>
              <w:t>Provision for transaction losses</w:t>
            </w:r>
          </w:p>
        </w:tc>
        <w:tc>
          <w:tcPr>
            <w:tcW w:w="0" w:type="auto"/>
            <w:shd w:val="clear" w:color="auto" w:fill="auto"/>
            <w:vAlign w:val="bottom"/>
          </w:tcPr>
          <w:p w14:paraId="22CFBC83" w14:textId="77777777" w:rsidR="002661BA" w:rsidRDefault="002661BA">
            <w:pPr>
              <w:rPr>
                <w:rFonts w:ascii="宋体"/>
                <w:vanish/>
              </w:rPr>
            </w:pPr>
          </w:p>
        </w:tc>
        <w:tc>
          <w:tcPr>
            <w:tcW w:w="0" w:type="auto"/>
            <w:shd w:val="clear" w:color="auto" w:fill="auto"/>
            <w:vAlign w:val="bottom"/>
          </w:tcPr>
          <w:p w14:paraId="22CFBC84" w14:textId="77777777" w:rsidR="002661BA" w:rsidRDefault="002661BA">
            <w:pPr>
              <w:rPr>
                <w:rFonts w:ascii="宋体"/>
                <w:vanish/>
              </w:rPr>
            </w:pPr>
          </w:p>
        </w:tc>
        <w:tc>
          <w:tcPr>
            <w:tcW w:w="0" w:type="auto"/>
            <w:shd w:val="clear" w:color="auto" w:fill="auto"/>
            <w:vAlign w:val="bottom"/>
          </w:tcPr>
          <w:p w14:paraId="22CFBC85" w14:textId="77777777" w:rsidR="002661BA" w:rsidRDefault="002661BA">
            <w:pPr>
              <w:rPr>
                <w:rFonts w:ascii="宋体"/>
                <w:vanish/>
              </w:rPr>
            </w:pPr>
          </w:p>
        </w:tc>
        <w:tc>
          <w:tcPr>
            <w:tcW w:w="0" w:type="auto"/>
            <w:gridSpan w:val="3"/>
            <w:shd w:val="clear" w:color="auto" w:fill="FFFFFF"/>
            <w:tcMar>
              <w:top w:w="0" w:type="dxa"/>
              <w:left w:w="20" w:type="dxa"/>
              <w:bottom w:w="0" w:type="dxa"/>
              <w:right w:w="20" w:type="dxa"/>
            </w:tcMar>
            <w:vAlign w:val="bottom"/>
          </w:tcPr>
          <w:p w14:paraId="22CFBC86"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C87" w14:textId="77777777" w:rsidR="002661BA" w:rsidRDefault="00D972BC">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22CFBC8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C89"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C8A" w14:textId="77777777" w:rsidR="002661BA" w:rsidRDefault="00D972BC">
            <w:pPr>
              <w:jc w:val="right"/>
              <w:textAlignment w:val="bottom"/>
            </w:pPr>
            <w:r>
              <w:rPr>
                <w:rFonts w:ascii="Arial" w:eastAsia="宋体" w:hAnsi="Arial" w:cs="Arial"/>
                <w:color w:val="000000"/>
                <w:sz w:val="18"/>
                <w:szCs w:val="18"/>
              </w:rPr>
              <w:t>17 </w:t>
            </w:r>
          </w:p>
        </w:tc>
        <w:tc>
          <w:tcPr>
            <w:tcW w:w="0" w:type="auto"/>
            <w:shd w:val="clear" w:color="auto" w:fill="FFFFFF"/>
            <w:tcMar>
              <w:top w:w="40" w:type="dxa"/>
              <w:left w:w="0" w:type="dxa"/>
              <w:bottom w:w="40" w:type="dxa"/>
              <w:right w:w="20" w:type="dxa"/>
            </w:tcMar>
            <w:vAlign w:val="bottom"/>
          </w:tcPr>
          <w:p w14:paraId="22CFBC8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C8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C8D" w14:textId="77777777" w:rsidR="002661BA" w:rsidRDefault="00D972BC">
            <w:pPr>
              <w:jc w:val="right"/>
              <w:textAlignment w:val="bottom"/>
            </w:pPr>
            <w:r>
              <w:rPr>
                <w:rFonts w:ascii="Arial" w:eastAsia="宋体" w:hAnsi="Arial" w:cs="Arial"/>
                <w:color w:val="000000"/>
                <w:sz w:val="18"/>
                <w:szCs w:val="18"/>
              </w:rPr>
              <w:t>15 </w:t>
            </w:r>
          </w:p>
        </w:tc>
        <w:tc>
          <w:tcPr>
            <w:tcW w:w="0" w:type="auto"/>
            <w:shd w:val="clear" w:color="auto" w:fill="FFFFFF"/>
            <w:tcMar>
              <w:top w:w="40" w:type="dxa"/>
              <w:left w:w="0" w:type="dxa"/>
              <w:bottom w:w="40" w:type="dxa"/>
              <w:right w:w="20" w:type="dxa"/>
            </w:tcMar>
            <w:vAlign w:val="bottom"/>
          </w:tcPr>
          <w:p w14:paraId="22CFBC8E" w14:textId="77777777" w:rsidR="002661BA" w:rsidRDefault="002661BA">
            <w:pPr>
              <w:jc w:val="right"/>
              <w:rPr>
                <w:rFonts w:ascii="宋体"/>
              </w:rPr>
            </w:pPr>
          </w:p>
        </w:tc>
      </w:tr>
      <w:tr w:rsidR="002661BA" w14:paraId="22CFBC9D" w14:textId="77777777">
        <w:tc>
          <w:tcPr>
            <w:tcW w:w="0" w:type="auto"/>
            <w:gridSpan w:val="3"/>
            <w:shd w:val="clear" w:color="auto" w:fill="DBDBDB"/>
            <w:tcMar>
              <w:top w:w="40" w:type="dxa"/>
              <w:left w:w="515" w:type="dxa"/>
              <w:bottom w:w="40" w:type="dxa"/>
              <w:right w:w="20" w:type="dxa"/>
            </w:tcMar>
            <w:vAlign w:val="bottom"/>
          </w:tcPr>
          <w:p w14:paraId="22CFBC90" w14:textId="77777777" w:rsidR="002661BA" w:rsidRDefault="00D972BC">
            <w:pPr>
              <w:textAlignment w:val="bottom"/>
            </w:pPr>
            <w:r>
              <w:rPr>
                <w:rFonts w:ascii="Arial" w:eastAsia="宋体" w:hAnsi="Arial" w:cs="Arial"/>
                <w:color w:val="000000"/>
                <w:sz w:val="18"/>
                <w:szCs w:val="18"/>
              </w:rPr>
              <w:t>Amortization of acquired intangible assets</w:t>
            </w:r>
          </w:p>
        </w:tc>
        <w:tc>
          <w:tcPr>
            <w:tcW w:w="0" w:type="auto"/>
            <w:shd w:val="clear" w:color="auto" w:fill="auto"/>
            <w:vAlign w:val="bottom"/>
          </w:tcPr>
          <w:p w14:paraId="22CFBC91" w14:textId="77777777" w:rsidR="002661BA" w:rsidRDefault="002661BA">
            <w:pPr>
              <w:rPr>
                <w:rFonts w:ascii="宋体"/>
                <w:vanish/>
              </w:rPr>
            </w:pPr>
          </w:p>
        </w:tc>
        <w:tc>
          <w:tcPr>
            <w:tcW w:w="0" w:type="auto"/>
            <w:shd w:val="clear" w:color="auto" w:fill="auto"/>
            <w:vAlign w:val="bottom"/>
          </w:tcPr>
          <w:p w14:paraId="22CFBC92" w14:textId="77777777" w:rsidR="002661BA" w:rsidRDefault="002661BA">
            <w:pPr>
              <w:rPr>
                <w:rFonts w:ascii="宋体"/>
                <w:vanish/>
              </w:rPr>
            </w:pPr>
          </w:p>
        </w:tc>
        <w:tc>
          <w:tcPr>
            <w:tcW w:w="0" w:type="auto"/>
            <w:shd w:val="clear" w:color="auto" w:fill="auto"/>
            <w:vAlign w:val="bottom"/>
          </w:tcPr>
          <w:p w14:paraId="22CFBC93" w14:textId="77777777" w:rsidR="002661BA" w:rsidRDefault="002661BA">
            <w:pPr>
              <w:rPr>
                <w:rFonts w:ascii="宋体"/>
                <w:vanish/>
              </w:rPr>
            </w:pPr>
          </w:p>
        </w:tc>
        <w:tc>
          <w:tcPr>
            <w:tcW w:w="0" w:type="auto"/>
            <w:gridSpan w:val="3"/>
            <w:shd w:val="clear" w:color="auto" w:fill="DBDBDB"/>
            <w:tcMar>
              <w:top w:w="0" w:type="dxa"/>
              <w:left w:w="20" w:type="dxa"/>
              <w:bottom w:w="0" w:type="dxa"/>
              <w:right w:w="20" w:type="dxa"/>
            </w:tcMar>
            <w:vAlign w:val="bottom"/>
          </w:tcPr>
          <w:p w14:paraId="22CFBC94"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C95"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BC96"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C97"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C98" w14:textId="77777777" w:rsidR="002661BA" w:rsidRDefault="00D972BC">
            <w:pPr>
              <w:jc w:val="right"/>
              <w:textAlignment w:val="bottom"/>
            </w:pPr>
            <w:r>
              <w:rPr>
                <w:rFonts w:ascii="Arial" w:eastAsia="宋体" w:hAnsi="Arial" w:cs="Arial"/>
                <w:color w:val="000000"/>
                <w:sz w:val="18"/>
                <w:szCs w:val="18"/>
              </w:rPr>
              <w:t>6 </w:t>
            </w:r>
          </w:p>
        </w:tc>
        <w:tc>
          <w:tcPr>
            <w:tcW w:w="0" w:type="auto"/>
            <w:shd w:val="clear" w:color="auto" w:fill="DBDBDB"/>
            <w:tcMar>
              <w:top w:w="40" w:type="dxa"/>
              <w:left w:w="0" w:type="dxa"/>
              <w:bottom w:w="40" w:type="dxa"/>
              <w:right w:w="20" w:type="dxa"/>
            </w:tcMar>
            <w:vAlign w:val="bottom"/>
          </w:tcPr>
          <w:p w14:paraId="22CFBC99"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C9A"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C9B" w14:textId="77777777" w:rsidR="002661BA" w:rsidRDefault="00D972BC">
            <w:pPr>
              <w:jc w:val="right"/>
              <w:textAlignment w:val="bottom"/>
            </w:pPr>
            <w:r>
              <w:rPr>
                <w:rFonts w:ascii="Arial" w:eastAsia="宋体" w:hAnsi="Arial" w:cs="Arial"/>
                <w:color w:val="000000"/>
                <w:sz w:val="18"/>
                <w:szCs w:val="18"/>
              </w:rPr>
              <w:t>11 </w:t>
            </w:r>
          </w:p>
        </w:tc>
        <w:tc>
          <w:tcPr>
            <w:tcW w:w="0" w:type="auto"/>
            <w:shd w:val="clear" w:color="auto" w:fill="DBDBDB"/>
            <w:tcMar>
              <w:top w:w="40" w:type="dxa"/>
              <w:left w:w="0" w:type="dxa"/>
              <w:bottom w:w="40" w:type="dxa"/>
              <w:right w:w="20" w:type="dxa"/>
            </w:tcMar>
            <w:vAlign w:val="bottom"/>
          </w:tcPr>
          <w:p w14:paraId="22CFBC9C" w14:textId="77777777" w:rsidR="002661BA" w:rsidRDefault="002661BA">
            <w:pPr>
              <w:jc w:val="right"/>
              <w:rPr>
                <w:rFonts w:ascii="宋体"/>
              </w:rPr>
            </w:pPr>
          </w:p>
        </w:tc>
      </w:tr>
      <w:tr w:rsidR="002661BA" w14:paraId="22CFBCAB" w14:textId="77777777">
        <w:tc>
          <w:tcPr>
            <w:tcW w:w="0" w:type="auto"/>
            <w:gridSpan w:val="3"/>
            <w:shd w:val="clear" w:color="auto" w:fill="FFFFFF"/>
            <w:tcMar>
              <w:top w:w="40" w:type="dxa"/>
              <w:left w:w="875" w:type="dxa"/>
              <w:bottom w:w="40" w:type="dxa"/>
              <w:right w:w="20" w:type="dxa"/>
            </w:tcMar>
            <w:vAlign w:val="bottom"/>
          </w:tcPr>
          <w:p w14:paraId="22CFBC9E" w14:textId="77777777" w:rsidR="002661BA" w:rsidRDefault="00D972BC">
            <w:pPr>
              <w:textAlignment w:val="bottom"/>
            </w:pPr>
            <w:r>
              <w:rPr>
                <w:rFonts w:ascii="Arial" w:eastAsia="宋体" w:hAnsi="Arial" w:cs="Arial"/>
                <w:color w:val="000000"/>
                <w:sz w:val="18"/>
                <w:szCs w:val="18"/>
              </w:rPr>
              <w:t>Total operating expenses</w:t>
            </w:r>
          </w:p>
        </w:tc>
        <w:tc>
          <w:tcPr>
            <w:tcW w:w="0" w:type="auto"/>
            <w:shd w:val="clear" w:color="auto" w:fill="auto"/>
            <w:vAlign w:val="bottom"/>
          </w:tcPr>
          <w:p w14:paraId="22CFBC9F" w14:textId="77777777" w:rsidR="002661BA" w:rsidRDefault="002661BA">
            <w:pPr>
              <w:rPr>
                <w:rFonts w:ascii="宋体"/>
                <w:vanish/>
              </w:rPr>
            </w:pPr>
          </w:p>
        </w:tc>
        <w:tc>
          <w:tcPr>
            <w:tcW w:w="0" w:type="auto"/>
            <w:shd w:val="clear" w:color="auto" w:fill="auto"/>
            <w:vAlign w:val="bottom"/>
          </w:tcPr>
          <w:p w14:paraId="22CFBCA0" w14:textId="77777777" w:rsidR="002661BA" w:rsidRDefault="002661BA">
            <w:pPr>
              <w:rPr>
                <w:rFonts w:ascii="宋体"/>
                <w:vanish/>
              </w:rPr>
            </w:pPr>
          </w:p>
        </w:tc>
        <w:tc>
          <w:tcPr>
            <w:tcW w:w="0" w:type="auto"/>
            <w:shd w:val="clear" w:color="auto" w:fill="auto"/>
            <w:vAlign w:val="bottom"/>
          </w:tcPr>
          <w:p w14:paraId="22CFBCA1" w14:textId="77777777" w:rsidR="002661BA" w:rsidRDefault="002661BA">
            <w:pPr>
              <w:rPr>
                <w:rFonts w:ascii="宋体"/>
                <w:vanish/>
              </w:rPr>
            </w:pPr>
          </w:p>
        </w:tc>
        <w:tc>
          <w:tcPr>
            <w:tcW w:w="0" w:type="auto"/>
            <w:gridSpan w:val="3"/>
            <w:shd w:val="clear" w:color="auto" w:fill="FFFFFF"/>
            <w:tcMar>
              <w:top w:w="0" w:type="dxa"/>
              <w:left w:w="20" w:type="dxa"/>
              <w:bottom w:w="0" w:type="dxa"/>
              <w:right w:w="20" w:type="dxa"/>
            </w:tcMar>
            <w:vAlign w:val="bottom"/>
          </w:tcPr>
          <w:p w14:paraId="22CFBCA2"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CA3" w14:textId="77777777" w:rsidR="002661BA" w:rsidRDefault="00D972BC">
            <w:pPr>
              <w:jc w:val="right"/>
              <w:textAlignment w:val="bottom"/>
            </w:pPr>
            <w:r>
              <w:rPr>
                <w:rFonts w:ascii="Arial" w:eastAsia="宋体" w:hAnsi="Arial" w:cs="Arial"/>
                <w:color w:val="000000"/>
                <w:sz w:val="18"/>
                <w:szCs w:val="18"/>
              </w:rPr>
              <w:t>366 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CA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CA5"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CA6" w14:textId="77777777" w:rsidR="002661BA" w:rsidRDefault="00D972BC">
            <w:pPr>
              <w:jc w:val="right"/>
              <w:textAlignment w:val="bottom"/>
            </w:pPr>
            <w:r>
              <w:rPr>
                <w:rFonts w:ascii="Arial" w:eastAsia="宋体" w:hAnsi="Arial" w:cs="Arial"/>
                <w:color w:val="000000"/>
                <w:sz w:val="18"/>
                <w:szCs w:val="18"/>
              </w:rPr>
              <w:t>594 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CA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CA8"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CA9" w14:textId="77777777" w:rsidR="002661BA" w:rsidRDefault="00D972BC">
            <w:pPr>
              <w:jc w:val="right"/>
              <w:textAlignment w:val="bottom"/>
            </w:pPr>
            <w:r>
              <w:rPr>
                <w:rFonts w:ascii="Arial" w:eastAsia="宋体" w:hAnsi="Arial" w:cs="Arial"/>
                <w:color w:val="000000"/>
                <w:sz w:val="18"/>
                <w:szCs w:val="18"/>
              </w:rPr>
              <w:t>570 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CAA" w14:textId="77777777" w:rsidR="002661BA" w:rsidRDefault="002661BA">
            <w:pPr>
              <w:jc w:val="right"/>
              <w:rPr>
                <w:rFonts w:ascii="宋体"/>
              </w:rPr>
            </w:pPr>
          </w:p>
        </w:tc>
      </w:tr>
      <w:tr w:rsidR="002661BA" w14:paraId="22CFBCB9" w14:textId="77777777">
        <w:tc>
          <w:tcPr>
            <w:tcW w:w="0" w:type="auto"/>
            <w:gridSpan w:val="3"/>
            <w:shd w:val="clear" w:color="auto" w:fill="DBDBDB"/>
            <w:tcMar>
              <w:top w:w="40" w:type="dxa"/>
              <w:left w:w="20" w:type="dxa"/>
              <w:bottom w:w="40" w:type="dxa"/>
              <w:right w:w="20" w:type="dxa"/>
            </w:tcMar>
            <w:vAlign w:val="bottom"/>
          </w:tcPr>
          <w:p w14:paraId="22CFBCAC" w14:textId="77777777" w:rsidR="002661BA" w:rsidRDefault="00D972BC">
            <w:pPr>
              <w:textAlignment w:val="bottom"/>
            </w:pPr>
            <w:r>
              <w:rPr>
                <w:rFonts w:ascii="Arial" w:eastAsia="宋体" w:hAnsi="Arial" w:cs="Arial"/>
                <w:color w:val="000000"/>
                <w:sz w:val="18"/>
                <w:szCs w:val="18"/>
              </w:rPr>
              <w:t>Income from operations of discontinued operations</w:t>
            </w:r>
          </w:p>
        </w:tc>
        <w:tc>
          <w:tcPr>
            <w:tcW w:w="0" w:type="auto"/>
            <w:shd w:val="clear" w:color="auto" w:fill="auto"/>
            <w:vAlign w:val="bottom"/>
          </w:tcPr>
          <w:p w14:paraId="22CFBCAD" w14:textId="77777777" w:rsidR="002661BA" w:rsidRDefault="002661BA">
            <w:pPr>
              <w:rPr>
                <w:rFonts w:ascii="宋体"/>
                <w:vanish/>
              </w:rPr>
            </w:pPr>
          </w:p>
        </w:tc>
        <w:tc>
          <w:tcPr>
            <w:tcW w:w="0" w:type="auto"/>
            <w:shd w:val="clear" w:color="auto" w:fill="auto"/>
            <w:vAlign w:val="bottom"/>
          </w:tcPr>
          <w:p w14:paraId="22CFBCAE" w14:textId="77777777" w:rsidR="002661BA" w:rsidRDefault="002661BA">
            <w:pPr>
              <w:rPr>
                <w:rFonts w:ascii="宋体"/>
                <w:vanish/>
              </w:rPr>
            </w:pPr>
          </w:p>
        </w:tc>
        <w:tc>
          <w:tcPr>
            <w:tcW w:w="0" w:type="auto"/>
            <w:shd w:val="clear" w:color="auto" w:fill="auto"/>
            <w:vAlign w:val="bottom"/>
          </w:tcPr>
          <w:p w14:paraId="22CFBCAF" w14:textId="77777777" w:rsidR="002661BA" w:rsidRDefault="002661BA">
            <w:pPr>
              <w:rPr>
                <w:rFonts w:ascii="宋体"/>
                <w:vanish/>
              </w:rPr>
            </w:pPr>
          </w:p>
        </w:tc>
        <w:tc>
          <w:tcPr>
            <w:tcW w:w="0" w:type="auto"/>
            <w:gridSpan w:val="3"/>
            <w:shd w:val="clear" w:color="auto" w:fill="DBDBDB"/>
            <w:tcMar>
              <w:top w:w="0" w:type="dxa"/>
              <w:left w:w="20" w:type="dxa"/>
              <w:bottom w:w="0" w:type="dxa"/>
              <w:right w:w="20" w:type="dxa"/>
            </w:tcMar>
            <w:vAlign w:val="bottom"/>
          </w:tcPr>
          <w:p w14:paraId="22CFBCB0"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CB1" w14:textId="77777777" w:rsidR="002661BA" w:rsidRDefault="00D972BC">
            <w:pPr>
              <w:jc w:val="right"/>
              <w:textAlignment w:val="bottom"/>
            </w:pPr>
            <w:r>
              <w:rPr>
                <w:rFonts w:ascii="Arial" w:eastAsia="宋体" w:hAnsi="Arial" w:cs="Arial"/>
                <w:color w:val="000000"/>
                <w:sz w:val="18"/>
                <w:szCs w:val="18"/>
              </w:rPr>
              <w:t>136 </w:t>
            </w:r>
          </w:p>
        </w:tc>
        <w:tc>
          <w:tcPr>
            <w:tcW w:w="0" w:type="auto"/>
            <w:shd w:val="clear" w:color="auto" w:fill="DBDBDB"/>
            <w:tcMar>
              <w:top w:w="40" w:type="dxa"/>
              <w:left w:w="0" w:type="dxa"/>
              <w:bottom w:w="40" w:type="dxa"/>
              <w:right w:w="20" w:type="dxa"/>
            </w:tcMar>
            <w:vAlign w:val="bottom"/>
          </w:tcPr>
          <w:p w14:paraId="22CFBCB2"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CB3"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CB4" w14:textId="77777777" w:rsidR="002661BA" w:rsidRDefault="00D972BC">
            <w:pPr>
              <w:jc w:val="right"/>
              <w:textAlignment w:val="bottom"/>
            </w:pPr>
            <w:r>
              <w:rPr>
                <w:rFonts w:ascii="Arial" w:eastAsia="宋体" w:hAnsi="Arial" w:cs="Arial"/>
                <w:color w:val="000000"/>
                <w:sz w:val="18"/>
                <w:szCs w:val="18"/>
              </w:rPr>
              <w:t>283 </w:t>
            </w:r>
          </w:p>
        </w:tc>
        <w:tc>
          <w:tcPr>
            <w:tcW w:w="0" w:type="auto"/>
            <w:shd w:val="clear" w:color="auto" w:fill="DBDBDB"/>
            <w:tcMar>
              <w:top w:w="40" w:type="dxa"/>
              <w:left w:w="0" w:type="dxa"/>
              <w:bottom w:w="40" w:type="dxa"/>
              <w:right w:w="20" w:type="dxa"/>
            </w:tcMar>
            <w:vAlign w:val="bottom"/>
          </w:tcPr>
          <w:p w14:paraId="22CFBCB5"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CB6"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CB7" w14:textId="77777777" w:rsidR="002661BA" w:rsidRDefault="00D972BC">
            <w:pPr>
              <w:jc w:val="right"/>
              <w:textAlignment w:val="bottom"/>
            </w:pPr>
            <w:r>
              <w:rPr>
                <w:rFonts w:ascii="Arial" w:eastAsia="宋体" w:hAnsi="Arial" w:cs="Arial"/>
                <w:color w:val="000000"/>
                <w:sz w:val="18"/>
                <w:szCs w:val="18"/>
              </w:rPr>
              <w:t>391 </w:t>
            </w:r>
          </w:p>
        </w:tc>
        <w:tc>
          <w:tcPr>
            <w:tcW w:w="0" w:type="auto"/>
            <w:shd w:val="clear" w:color="auto" w:fill="DBDBDB"/>
            <w:tcMar>
              <w:top w:w="40" w:type="dxa"/>
              <w:left w:w="0" w:type="dxa"/>
              <w:bottom w:w="40" w:type="dxa"/>
              <w:right w:w="20" w:type="dxa"/>
            </w:tcMar>
            <w:vAlign w:val="bottom"/>
          </w:tcPr>
          <w:p w14:paraId="22CFBCB8" w14:textId="77777777" w:rsidR="002661BA" w:rsidRDefault="002661BA">
            <w:pPr>
              <w:jc w:val="right"/>
              <w:rPr>
                <w:rFonts w:ascii="宋体"/>
              </w:rPr>
            </w:pPr>
          </w:p>
        </w:tc>
      </w:tr>
      <w:tr w:rsidR="002661BA" w14:paraId="22CFBCC7" w14:textId="77777777">
        <w:tc>
          <w:tcPr>
            <w:tcW w:w="0" w:type="auto"/>
            <w:gridSpan w:val="3"/>
            <w:shd w:val="clear" w:color="auto" w:fill="FFFFFF"/>
            <w:tcMar>
              <w:top w:w="40" w:type="dxa"/>
              <w:left w:w="20" w:type="dxa"/>
              <w:bottom w:w="40" w:type="dxa"/>
              <w:right w:w="20" w:type="dxa"/>
            </w:tcMar>
            <w:vAlign w:val="bottom"/>
          </w:tcPr>
          <w:p w14:paraId="22CFBCBA" w14:textId="77777777" w:rsidR="002661BA" w:rsidRDefault="00D972BC">
            <w:pPr>
              <w:textAlignment w:val="bottom"/>
            </w:pPr>
            <w:r>
              <w:rPr>
                <w:rFonts w:ascii="Arial" w:eastAsia="宋体" w:hAnsi="Arial" w:cs="Arial"/>
                <w:color w:val="000000"/>
                <w:sz w:val="18"/>
                <w:szCs w:val="18"/>
              </w:rPr>
              <w:t>Interest and other, net</w:t>
            </w:r>
          </w:p>
        </w:tc>
        <w:tc>
          <w:tcPr>
            <w:tcW w:w="0" w:type="auto"/>
            <w:shd w:val="clear" w:color="auto" w:fill="auto"/>
            <w:vAlign w:val="bottom"/>
          </w:tcPr>
          <w:p w14:paraId="22CFBCBB" w14:textId="77777777" w:rsidR="002661BA" w:rsidRDefault="002661BA">
            <w:pPr>
              <w:rPr>
                <w:rFonts w:ascii="宋体"/>
                <w:vanish/>
              </w:rPr>
            </w:pPr>
          </w:p>
        </w:tc>
        <w:tc>
          <w:tcPr>
            <w:tcW w:w="0" w:type="auto"/>
            <w:shd w:val="clear" w:color="auto" w:fill="auto"/>
            <w:vAlign w:val="bottom"/>
          </w:tcPr>
          <w:p w14:paraId="22CFBCBC" w14:textId="77777777" w:rsidR="002661BA" w:rsidRDefault="002661BA">
            <w:pPr>
              <w:rPr>
                <w:rFonts w:ascii="宋体"/>
                <w:vanish/>
              </w:rPr>
            </w:pPr>
          </w:p>
        </w:tc>
        <w:tc>
          <w:tcPr>
            <w:tcW w:w="0" w:type="auto"/>
            <w:shd w:val="clear" w:color="auto" w:fill="auto"/>
            <w:vAlign w:val="bottom"/>
          </w:tcPr>
          <w:p w14:paraId="22CFBCBD" w14:textId="77777777" w:rsidR="002661BA" w:rsidRDefault="002661BA">
            <w:pPr>
              <w:rPr>
                <w:rFonts w:ascii="宋体"/>
                <w:vanish/>
              </w:rPr>
            </w:pPr>
          </w:p>
        </w:tc>
        <w:tc>
          <w:tcPr>
            <w:tcW w:w="0" w:type="auto"/>
            <w:gridSpan w:val="3"/>
            <w:shd w:val="clear" w:color="auto" w:fill="FFFFFF"/>
            <w:tcMar>
              <w:top w:w="0" w:type="dxa"/>
              <w:left w:w="20" w:type="dxa"/>
              <w:bottom w:w="0" w:type="dxa"/>
              <w:right w:w="20" w:type="dxa"/>
            </w:tcMar>
            <w:vAlign w:val="bottom"/>
          </w:tcPr>
          <w:p w14:paraId="22CFBCBE"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CBF"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CC0"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CC1"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CC2"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CC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CC4"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CC5" w14:textId="77777777" w:rsidR="002661BA" w:rsidRDefault="00D972BC">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22CFBCC6" w14:textId="77777777" w:rsidR="002661BA" w:rsidRDefault="002661BA">
            <w:pPr>
              <w:jc w:val="right"/>
              <w:rPr>
                <w:rFonts w:ascii="宋体"/>
              </w:rPr>
            </w:pPr>
          </w:p>
        </w:tc>
      </w:tr>
      <w:tr w:rsidR="002661BA" w14:paraId="22CFBCD5" w14:textId="77777777">
        <w:tc>
          <w:tcPr>
            <w:tcW w:w="0" w:type="auto"/>
            <w:gridSpan w:val="3"/>
            <w:shd w:val="clear" w:color="auto" w:fill="DBDBDB"/>
            <w:tcMar>
              <w:top w:w="40" w:type="dxa"/>
              <w:left w:w="20" w:type="dxa"/>
              <w:bottom w:w="40" w:type="dxa"/>
              <w:right w:w="20" w:type="dxa"/>
            </w:tcMar>
            <w:vAlign w:val="bottom"/>
          </w:tcPr>
          <w:p w14:paraId="22CFBCC8" w14:textId="77777777" w:rsidR="002661BA" w:rsidRDefault="00D972BC">
            <w:pPr>
              <w:textAlignment w:val="bottom"/>
            </w:pPr>
            <w:r>
              <w:rPr>
                <w:rFonts w:ascii="Arial" w:eastAsia="宋体" w:hAnsi="Arial" w:cs="Arial"/>
                <w:color w:val="000000"/>
                <w:sz w:val="18"/>
                <w:szCs w:val="18"/>
              </w:rPr>
              <w:t>Pre-tax gain on sale</w:t>
            </w:r>
          </w:p>
        </w:tc>
        <w:tc>
          <w:tcPr>
            <w:tcW w:w="0" w:type="auto"/>
            <w:shd w:val="clear" w:color="auto" w:fill="auto"/>
            <w:vAlign w:val="bottom"/>
          </w:tcPr>
          <w:p w14:paraId="22CFBCC9" w14:textId="77777777" w:rsidR="002661BA" w:rsidRDefault="002661BA">
            <w:pPr>
              <w:rPr>
                <w:rFonts w:ascii="宋体"/>
                <w:vanish/>
              </w:rPr>
            </w:pPr>
          </w:p>
        </w:tc>
        <w:tc>
          <w:tcPr>
            <w:tcW w:w="0" w:type="auto"/>
            <w:shd w:val="clear" w:color="auto" w:fill="auto"/>
            <w:vAlign w:val="bottom"/>
          </w:tcPr>
          <w:p w14:paraId="22CFBCCA" w14:textId="77777777" w:rsidR="002661BA" w:rsidRDefault="002661BA">
            <w:pPr>
              <w:rPr>
                <w:rFonts w:ascii="宋体"/>
                <w:vanish/>
              </w:rPr>
            </w:pPr>
          </w:p>
        </w:tc>
        <w:tc>
          <w:tcPr>
            <w:tcW w:w="0" w:type="auto"/>
            <w:shd w:val="clear" w:color="auto" w:fill="auto"/>
            <w:vAlign w:val="bottom"/>
          </w:tcPr>
          <w:p w14:paraId="22CFBCCB" w14:textId="77777777" w:rsidR="002661BA" w:rsidRDefault="002661BA">
            <w:pPr>
              <w:rPr>
                <w:rFonts w:ascii="宋体"/>
                <w:vanish/>
              </w:rPr>
            </w:pPr>
          </w:p>
        </w:tc>
        <w:tc>
          <w:tcPr>
            <w:tcW w:w="0" w:type="auto"/>
            <w:gridSpan w:val="3"/>
            <w:shd w:val="clear" w:color="auto" w:fill="DBDBDB"/>
            <w:tcMar>
              <w:top w:w="0" w:type="dxa"/>
              <w:left w:w="20" w:type="dxa"/>
              <w:bottom w:w="0" w:type="dxa"/>
              <w:right w:w="20" w:type="dxa"/>
            </w:tcMar>
            <w:vAlign w:val="bottom"/>
          </w:tcPr>
          <w:p w14:paraId="22CFBCCC"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CCD" w14:textId="77777777" w:rsidR="002661BA" w:rsidRDefault="00D972BC">
            <w:pPr>
              <w:jc w:val="right"/>
              <w:textAlignment w:val="bottom"/>
            </w:pPr>
            <w:r>
              <w:rPr>
                <w:rFonts w:ascii="Arial" w:eastAsia="宋体" w:hAnsi="Arial" w:cs="Arial"/>
                <w:color w:val="000000"/>
                <w:sz w:val="18"/>
                <w:szCs w:val="18"/>
              </w:rPr>
              <w:t>12,534 </w:t>
            </w:r>
          </w:p>
        </w:tc>
        <w:tc>
          <w:tcPr>
            <w:tcW w:w="0" w:type="auto"/>
            <w:shd w:val="clear" w:color="auto" w:fill="DBDBDB"/>
            <w:tcMar>
              <w:top w:w="40" w:type="dxa"/>
              <w:left w:w="0" w:type="dxa"/>
              <w:bottom w:w="40" w:type="dxa"/>
              <w:right w:w="20" w:type="dxa"/>
            </w:tcMar>
            <w:vAlign w:val="bottom"/>
          </w:tcPr>
          <w:p w14:paraId="22CFBCCE"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CCF"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CD0"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BCD1"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CD2"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CD3"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BCD4" w14:textId="77777777" w:rsidR="002661BA" w:rsidRDefault="002661BA">
            <w:pPr>
              <w:jc w:val="right"/>
              <w:rPr>
                <w:rFonts w:ascii="宋体"/>
              </w:rPr>
            </w:pPr>
          </w:p>
        </w:tc>
      </w:tr>
      <w:tr w:rsidR="002661BA" w14:paraId="22CFBCE3" w14:textId="77777777">
        <w:tc>
          <w:tcPr>
            <w:tcW w:w="0" w:type="auto"/>
            <w:gridSpan w:val="3"/>
            <w:shd w:val="clear" w:color="auto" w:fill="FFFFFF"/>
            <w:tcMar>
              <w:top w:w="40" w:type="dxa"/>
              <w:left w:w="20" w:type="dxa"/>
              <w:bottom w:w="40" w:type="dxa"/>
              <w:right w:w="20" w:type="dxa"/>
            </w:tcMar>
            <w:vAlign w:val="bottom"/>
          </w:tcPr>
          <w:p w14:paraId="22CFBCD6" w14:textId="77777777" w:rsidR="002661BA" w:rsidRDefault="00D972BC">
            <w:pPr>
              <w:textAlignment w:val="bottom"/>
            </w:pPr>
            <w:r>
              <w:rPr>
                <w:rFonts w:ascii="Arial" w:eastAsia="宋体" w:hAnsi="Arial" w:cs="Arial"/>
                <w:color w:val="000000"/>
                <w:sz w:val="18"/>
                <w:szCs w:val="18"/>
              </w:rPr>
              <w:t>Income from discontinued operations before income taxes</w:t>
            </w:r>
          </w:p>
        </w:tc>
        <w:tc>
          <w:tcPr>
            <w:tcW w:w="0" w:type="auto"/>
            <w:shd w:val="clear" w:color="auto" w:fill="auto"/>
            <w:vAlign w:val="bottom"/>
          </w:tcPr>
          <w:p w14:paraId="22CFBCD7" w14:textId="77777777" w:rsidR="002661BA" w:rsidRDefault="002661BA">
            <w:pPr>
              <w:rPr>
                <w:rFonts w:ascii="宋体"/>
                <w:vanish/>
              </w:rPr>
            </w:pPr>
          </w:p>
        </w:tc>
        <w:tc>
          <w:tcPr>
            <w:tcW w:w="0" w:type="auto"/>
            <w:shd w:val="clear" w:color="auto" w:fill="auto"/>
            <w:vAlign w:val="bottom"/>
          </w:tcPr>
          <w:p w14:paraId="22CFBCD8" w14:textId="77777777" w:rsidR="002661BA" w:rsidRDefault="002661BA">
            <w:pPr>
              <w:rPr>
                <w:rFonts w:ascii="宋体"/>
                <w:vanish/>
              </w:rPr>
            </w:pPr>
          </w:p>
        </w:tc>
        <w:tc>
          <w:tcPr>
            <w:tcW w:w="0" w:type="auto"/>
            <w:shd w:val="clear" w:color="auto" w:fill="auto"/>
            <w:vAlign w:val="bottom"/>
          </w:tcPr>
          <w:p w14:paraId="22CFBCD9" w14:textId="77777777" w:rsidR="002661BA" w:rsidRDefault="002661BA">
            <w:pPr>
              <w:rPr>
                <w:rFonts w:ascii="宋体"/>
                <w:vanish/>
              </w:rPr>
            </w:pPr>
          </w:p>
        </w:tc>
        <w:tc>
          <w:tcPr>
            <w:tcW w:w="0" w:type="auto"/>
            <w:gridSpan w:val="3"/>
            <w:shd w:val="clear" w:color="auto" w:fill="FFFFFF"/>
            <w:tcMar>
              <w:top w:w="0" w:type="dxa"/>
              <w:left w:w="20" w:type="dxa"/>
              <w:bottom w:w="0" w:type="dxa"/>
              <w:right w:w="20" w:type="dxa"/>
            </w:tcMar>
            <w:vAlign w:val="bottom"/>
          </w:tcPr>
          <w:p w14:paraId="22CFBCDA"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CDB" w14:textId="77777777" w:rsidR="002661BA" w:rsidRDefault="00D972BC">
            <w:pPr>
              <w:jc w:val="right"/>
              <w:textAlignment w:val="bottom"/>
            </w:pPr>
            <w:r>
              <w:rPr>
                <w:rFonts w:ascii="Arial" w:eastAsia="宋体" w:hAnsi="Arial" w:cs="Arial"/>
                <w:color w:val="000000"/>
                <w:sz w:val="18"/>
                <w:szCs w:val="18"/>
              </w:rPr>
              <w:t>12,670 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CD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CDD"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CDE" w14:textId="77777777" w:rsidR="002661BA" w:rsidRDefault="00D972BC">
            <w:pPr>
              <w:jc w:val="right"/>
              <w:textAlignment w:val="bottom"/>
            </w:pPr>
            <w:r>
              <w:rPr>
                <w:rFonts w:ascii="Arial" w:eastAsia="宋体" w:hAnsi="Arial" w:cs="Arial"/>
                <w:color w:val="000000"/>
                <w:sz w:val="18"/>
                <w:szCs w:val="18"/>
              </w:rPr>
              <w:t>283 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CD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CE0"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CE1" w14:textId="77777777" w:rsidR="002661BA" w:rsidRDefault="00D972BC">
            <w:pPr>
              <w:jc w:val="right"/>
              <w:textAlignment w:val="bottom"/>
            </w:pPr>
            <w:r>
              <w:rPr>
                <w:rFonts w:ascii="Arial" w:eastAsia="宋体" w:hAnsi="Arial" w:cs="Arial"/>
                <w:color w:val="000000"/>
                <w:sz w:val="18"/>
                <w:szCs w:val="18"/>
              </w:rPr>
              <w:t>389 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CE2" w14:textId="77777777" w:rsidR="002661BA" w:rsidRDefault="002661BA">
            <w:pPr>
              <w:jc w:val="right"/>
              <w:rPr>
                <w:rFonts w:ascii="宋体"/>
              </w:rPr>
            </w:pPr>
          </w:p>
        </w:tc>
      </w:tr>
      <w:tr w:rsidR="002661BA" w14:paraId="22CFBCF1" w14:textId="77777777">
        <w:tc>
          <w:tcPr>
            <w:tcW w:w="0" w:type="auto"/>
            <w:gridSpan w:val="3"/>
            <w:shd w:val="clear" w:color="auto" w:fill="DBDBDB"/>
            <w:tcMar>
              <w:top w:w="40" w:type="dxa"/>
              <w:left w:w="20" w:type="dxa"/>
              <w:bottom w:w="40" w:type="dxa"/>
              <w:right w:w="20" w:type="dxa"/>
            </w:tcMar>
            <w:vAlign w:val="bottom"/>
          </w:tcPr>
          <w:p w14:paraId="22CFBCE4" w14:textId="77777777" w:rsidR="002661BA" w:rsidRDefault="00D972BC">
            <w:pPr>
              <w:textAlignment w:val="bottom"/>
            </w:pPr>
            <w:r>
              <w:rPr>
                <w:rFonts w:ascii="Arial" w:eastAsia="宋体" w:hAnsi="Arial" w:cs="Arial"/>
                <w:color w:val="000000"/>
                <w:sz w:val="18"/>
                <w:szCs w:val="18"/>
              </w:rPr>
              <w:t>Income tax provision</w:t>
            </w:r>
          </w:p>
        </w:tc>
        <w:tc>
          <w:tcPr>
            <w:tcW w:w="0" w:type="auto"/>
            <w:shd w:val="clear" w:color="auto" w:fill="auto"/>
            <w:vAlign w:val="bottom"/>
          </w:tcPr>
          <w:p w14:paraId="22CFBCE5" w14:textId="77777777" w:rsidR="002661BA" w:rsidRDefault="002661BA">
            <w:pPr>
              <w:rPr>
                <w:rFonts w:ascii="宋体"/>
                <w:vanish/>
              </w:rPr>
            </w:pPr>
          </w:p>
        </w:tc>
        <w:tc>
          <w:tcPr>
            <w:tcW w:w="0" w:type="auto"/>
            <w:shd w:val="clear" w:color="auto" w:fill="auto"/>
            <w:vAlign w:val="bottom"/>
          </w:tcPr>
          <w:p w14:paraId="22CFBCE6" w14:textId="77777777" w:rsidR="002661BA" w:rsidRDefault="002661BA">
            <w:pPr>
              <w:rPr>
                <w:rFonts w:ascii="宋体"/>
                <w:vanish/>
              </w:rPr>
            </w:pPr>
          </w:p>
        </w:tc>
        <w:tc>
          <w:tcPr>
            <w:tcW w:w="0" w:type="auto"/>
            <w:shd w:val="clear" w:color="auto" w:fill="auto"/>
            <w:vAlign w:val="bottom"/>
          </w:tcPr>
          <w:p w14:paraId="22CFBCE7" w14:textId="77777777" w:rsidR="002661BA" w:rsidRDefault="002661BA">
            <w:pPr>
              <w:rPr>
                <w:rFonts w:ascii="宋体"/>
                <w:vanish/>
              </w:rPr>
            </w:pPr>
          </w:p>
        </w:tc>
        <w:tc>
          <w:tcPr>
            <w:tcW w:w="0" w:type="auto"/>
            <w:gridSpan w:val="3"/>
            <w:shd w:val="clear" w:color="auto" w:fill="DBDBDB"/>
            <w:tcMar>
              <w:top w:w="0" w:type="dxa"/>
              <w:left w:w="20" w:type="dxa"/>
              <w:bottom w:w="0" w:type="dxa"/>
              <w:right w:w="20" w:type="dxa"/>
            </w:tcMar>
            <w:vAlign w:val="bottom"/>
          </w:tcPr>
          <w:p w14:paraId="22CFBCE8"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CE9" w14:textId="77777777" w:rsidR="002661BA" w:rsidRDefault="00D972BC">
            <w:pPr>
              <w:jc w:val="right"/>
              <w:textAlignment w:val="bottom"/>
            </w:pPr>
            <w:r>
              <w:rPr>
                <w:rFonts w:ascii="Arial" w:eastAsia="宋体" w:hAnsi="Arial" w:cs="Arial"/>
                <w:color w:val="000000"/>
                <w:sz w:val="18"/>
                <w:szCs w:val="18"/>
              </w:rPr>
              <w:t>(2,185)</w:t>
            </w:r>
          </w:p>
        </w:tc>
        <w:tc>
          <w:tcPr>
            <w:tcW w:w="0" w:type="auto"/>
            <w:shd w:val="clear" w:color="auto" w:fill="DBDBDB"/>
            <w:tcMar>
              <w:top w:w="40" w:type="dxa"/>
              <w:left w:w="0" w:type="dxa"/>
              <w:bottom w:w="40" w:type="dxa"/>
              <w:right w:w="20" w:type="dxa"/>
            </w:tcMar>
            <w:vAlign w:val="bottom"/>
          </w:tcPr>
          <w:p w14:paraId="22CFBCEA"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CEB"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CEC" w14:textId="77777777" w:rsidR="002661BA" w:rsidRDefault="00D972BC">
            <w:pPr>
              <w:jc w:val="right"/>
              <w:textAlignment w:val="bottom"/>
            </w:pPr>
            <w:r>
              <w:rPr>
                <w:rFonts w:ascii="Arial" w:eastAsia="宋体" w:hAnsi="Arial" w:cs="Arial"/>
                <w:color w:val="000000"/>
                <w:sz w:val="18"/>
                <w:szCs w:val="18"/>
              </w:rPr>
              <w:t>(86)</w:t>
            </w:r>
          </w:p>
        </w:tc>
        <w:tc>
          <w:tcPr>
            <w:tcW w:w="0" w:type="auto"/>
            <w:shd w:val="clear" w:color="auto" w:fill="DBDBDB"/>
            <w:tcMar>
              <w:top w:w="40" w:type="dxa"/>
              <w:left w:w="0" w:type="dxa"/>
              <w:bottom w:w="40" w:type="dxa"/>
              <w:right w:w="20" w:type="dxa"/>
            </w:tcMar>
            <w:vAlign w:val="bottom"/>
          </w:tcPr>
          <w:p w14:paraId="22CFBCED"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CEE"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CEF" w14:textId="77777777" w:rsidR="002661BA" w:rsidRDefault="00D972BC">
            <w:pPr>
              <w:jc w:val="right"/>
              <w:textAlignment w:val="bottom"/>
            </w:pPr>
            <w:r>
              <w:rPr>
                <w:rFonts w:ascii="Arial" w:eastAsia="宋体" w:hAnsi="Arial" w:cs="Arial"/>
                <w:color w:val="000000"/>
                <w:sz w:val="18"/>
                <w:szCs w:val="18"/>
              </w:rPr>
              <w:t>(172)</w:t>
            </w:r>
          </w:p>
        </w:tc>
        <w:tc>
          <w:tcPr>
            <w:tcW w:w="0" w:type="auto"/>
            <w:shd w:val="clear" w:color="auto" w:fill="DBDBDB"/>
            <w:tcMar>
              <w:top w:w="40" w:type="dxa"/>
              <w:left w:w="0" w:type="dxa"/>
              <w:bottom w:w="40" w:type="dxa"/>
              <w:right w:w="20" w:type="dxa"/>
            </w:tcMar>
            <w:vAlign w:val="bottom"/>
          </w:tcPr>
          <w:p w14:paraId="22CFBCF0" w14:textId="77777777" w:rsidR="002661BA" w:rsidRDefault="002661BA">
            <w:pPr>
              <w:jc w:val="right"/>
              <w:rPr>
                <w:rFonts w:ascii="宋体"/>
              </w:rPr>
            </w:pPr>
          </w:p>
        </w:tc>
      </w:tr>
      <w:tr w:rsidR="002661BA" w14:paraId="22CFBD02" w14:textId="77777777">
        <w:tc>
          <w:tcPr>
            <w:tcW w:w="0" w:type="auto"/>
            <w:gridSpan w:val="3"/>
            <w:shd w:val="clear" w:color="auto" w:fill="FFFFFF"/>
            <w:tcMar>
              <w:top w:w="40" w:type="dxa"/>
              <w:left w:w="20" w:type="dxa"/>
              <w:bottom w:w="40" w:type="dxa"/>
              <w:right w:w="20" w:type="dxa"/>
            </w:tcMar>
            <w:vAlign w:val="bottom"/>
          </w:tcPr>
          <w:p w14:paraId="22CFBCF2" w14:textId="77777777" w:rsidR="002661BA" w:rsidRDefault="00D972BC">
            <w:pPr>
              <w:textAlignment w:val="bottom"/>
            </w:pPr>
            <w:r>
              <w:rPr>
                <w:rFonts w:ascii="Arial" w:eastAsia="宋体" w:hAnsi="Arial" w:cs="Arial"/>
                <w:color w:val="000000"/>
                <w:sz w:val="18"/>
                <w:szCs w:val="18"/>
              </w:rPr>
              <w:t>Income from discontinued operations, net of income taxes</w:t>
            </w:r>
          </w:p>
        </w:tc>
        <w:tc>
          <w:tcPr>
            <w:tcW w:w="0" w:type="auto"/>
            <w:shd w:val="clear" w:color="auto" w:fill="auto"/>
            <w:vAlign w:val="bottom"/>
          </w:tcPr>
          <w:p w14:paraId="22CFBCF3" w14:textId="77777777" w:rsidR="002661BA" w:rsidRDefault="002661BA">
            <w:pPr>
              <w:rPr>
                <w:rFonts w:ascii="宋体"/>
                <w:vanish/>
              </w:rPr>
            </w:pPr>
          </w:p>
        </w:tc>
        <w:tc>
          <w:tcPr>
            <w:tcW w:w="0" w:type="auto"/>
            <w:shd w:val="clear" w:color="auto" w:fill="auto"/>
            <w:vAlign w:val="bottom"/>
          </w:tcPr>
          <w:p w14:paraId="22CFBCF4" w14:textId="77777777" w:rsidR="002661BA" w:rsidRDefault="002661BA">
            <w:pPr>
              <w:rPr>
                <w:rFonts w:ascii="宋体"/>
                <w:vanish/>
              </w:rPr>
            </w:pPr>
          </w:p>
        </w:tc>
        <w:tc>
          <w:tcPr>
            <w:tcW w:w="0" w:type="auto"/>
            <w:shd w:val="clear" w:color="auto" w:fill="auto"/>
            <w:vAlign w:val="bottom"/>
          </w:tcPr>
          <w:p w14:paraId="22CFBCF5" w14:textId="77777777" w:rsidR="002661BA" w:rsidRDefault="002661BA">
            <w:pPr>
              <w:rPr>
                <w:rFonts w:ascii="宋体"/>
                <w:vanish/>
              </w:rPr>
            </w:pPr>
          </w:p>
        </w:tc>
        <w:tc>
          <w:tcPr>
            <w:tcW w:w="0" w:type="auto"/>
            <w:gridSpan w:val="3"/>
            <w:shd w:val="clear" w:color="auto" w:fill="FFFFFF"/>
            <w:tcMar>
              <w:top w:w="0" w:type="dxa"/>
              <w:left w:w="20" w:type="dxa"/>
              <w:bottom w:w="0" w:type="dxa"/>
              <w:right w:w="20" w:type="dxa"/>
            </w:tcMar>
            <w:vAlign w:val="bottom"/>
          </w:tcPr>
          <w:p w14:paraId="22CFBCF6"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BCF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BCF8" w14:textId="77777777" w:rsidR="002661BA" w:rsidRDefault="00D972BC">
            <w:pPr>
              <w:jc w:val="right"/>
              <w:textAlignment w:val="bottom"/>
            </w:pPr>
            <w:r>
              <w:rPr>
                <w:rFonts w:ascii="Arial" w:eastAsia="宋体" w:hAnsi="Arial" w:cs="Arial"/>
                <w:color w:val="000000"/>
                <w:sz w:val="18"/>
                <w:szCs w:val="18"/>
              </w:rPr>
              <w:t>10,485 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BCF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CFA"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BCFB"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BCFC" w14:textId="77777777" w:rsidR="002661BA" w:rsidRDefault="00D972BC">
            <w:pPr>
              <w:jc w:val="right"/>
              <w:textAlignment w:val="bottom"/>
            </w:pPr>
            <w:r>
              <w:rPr>
                <w:rFonts w:ascii="Arial" w:eastAsia="宋体" w:hAnsi="Arial" w:cs="Arial"/>
                <w:color w:val="000000"/>
                <w:sz w:val="18"/>
                <w:szCs w:val="18"/>
              </w:rPr>
              <w:t>197 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BCF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CFE"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BCF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BD00" w14:textId="77777777" w:rsidR="002661BA" w:rsidRDefault="00D972BC">
            <w:pPr>
              <w:jc w:val="right"/>
              <w:textAlignment w:val="bottom"/>
            </w:pPr>
            <w:r>
              <w:rPr>
                <w:rFonts w:ascii="Arial" w:eastAsia="宋体" w:hAnsi="Arial" w:cs="Arial"/>
                <w:color w:val="000000"/>
                <w:sz w:val="18"/>
                <w:szCs w:val="18"/>
              </w:rPr>
              <w:t>217 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BD01" w14:textId="77777777" w:rsidR="002661BA" w:rsidRDefault="002661BA">
            <w:pPr>
              <w:jc w:val="right"/>
              <w:rPr>
                <w:rFonts w:ascii="宋体"/>
              </w:rPr>
            </w:pPr>
          </w:p>
        </w:tc>
      </w:tr>
    </w:tbl>
    <w:p w14:paraId="22CFBD03" w14:textId="77777777" w:rsidR="002661BA" w:rsidRDefault="00D972BC">
      <w:pPr>
        <w:spacing w:after="120"/>
        <w:ind w:hanging="360"/>
        <w:jc w:val="both"/>
      </w:pPr>
      <w:r>
        <w:rPr>
          <w:rFonts w:ascii="Arial" w:eastAsia="宋体" w:hAnsi="Arial" w:cs="Arial"/>
          <w:color w:val="000000"/>
          <w:sz w:val="16"/>
          <w:szCs w:val="16"/>
        </w:rPr>
        <w:t>(1)Includes Classifieds financial results through the transaction close on June 24, 2021 and the related gain on sale.</w:t>
      </w:r>
    </w:p>
    <w:p w14:paraId="22CFBD04" w14:textId="77777777" w:rsidR="002661BA" w:rsidRDefault="002661BA">
      <w:pPr>
        <w:ind w:firstLine="540"/>
      </w:pPr>
    </w:p>
    <w:p w14:paraId="22CFBD05" w14:textId="77777777" w:rsidR="002661BA" w:rsidRDefault="00D972BC">
      <w:pPr>
        <w:spacing w:after="120"/>
        <w:ind w:firstLine="540"/>
        <w:jc w:val="both"/>
      </w:pPr>
      <w:r>
        <w:rPr>
          <w:rFonts w:ascii="Arial" w:eastAsia="宋体" w:hAnsi="Arial" w:cs="Arial"/>
          <w:color w:val="000000"/>
          <w:sz w:val="20"/>
          <w:szCs w:val="20"/>
        </w:rPr>
        <w:t>The following table presents the aggregat</w:t>
      </w:r>
      <w:r>
        <w:rPr>
          <w:rFonts w:ascii="Arial" w:eastAsia="宋体" w:hAnsi="Arial" w:cs="Arial"/>
          <w:color w:val="000000"/>
          <w:sz w:val="20"/>
          <w:szCs w:val="20"/>
        </w:rPr>
        <w:t>e carrying amounts of assets and liabilities of discontinued operations for Classifieds in the consolidated balance sheet as of the date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51"/>
        <w:gridCol w:w="7152"/>
        <w:gridCol w:w="37"/>
        <w:gridCol w:w="122"/>
        <w:gridCol w:w="938"/>
        <w:gridCol w:w="36"/>
      </w:tblGrid>
      <w:tr w:rsidR="002661BA" w14:paraId="22CFBD0C" w14:textId="77777777">
        <w:tc>
          <w:tcPr>
            <w:tcW w:w="50" w:type="pct"/>
            <w:shd w:val="clear" w:color="auto" w:fill="auto"/>
            <w:vAlign w:val="bottom"/>
          </w:tcPr>
          <w:p w14:paraId="22CFBD06" w14:textId="77777777" w:rsidR="002661BA" w:rsidRDefault="002661BA">
            <w:pPr>
              <w:rPr>
                <w:rFonts w:ascii="宋体"/>
              </w:rPr>
            </w:pPr>
          </w:p>
        </w:tc>
        <w:tc>
          <w:tcPr>
            <w:tcW w:w="4309" w:type="pct"/>
            <w:shd w:val="clear" w:color="auto" w:fill="auto"/>
            <w:vAlign w:val="bottom"/>
          </w:tcPr>
          <w:p w14:paraId="22CFBD07" w14:textId="77777777" w:rsidR="002661BA" w:rsidRDefault="002661BA">
            <w:pPr>
              <w:rPr>
                <w:rFonts w:ascii="宋体"/>
              </w:rPr>
            </w:pPr>
          </w:p>
        </w:tc>
        <w:tc>
          <w:tcPr>
            <w:tcW w:w="5" w:type="pct"/>
            <w:shd w:val="clear" w:color="auto" w:fill="auto"/>
            <w:vAlign w:val="bottom"/>
          </w:tcPr>
          <w:p w14:paraId="22CFBD08" w14:textId="77777777" w:rsidR="002661BA" w:rsidRDefault="002661BA">
            <w:pPr>
              <w:rPr>
                <w:rFonts w:ascii="宋体"/>
              </w:rPr>
            </w:pPr>
          </w:p>
        </w:tc>
        <w:tc>
          <w:tcPr>
            <w:tcW w:w="50" w:type="pct"/>
            <w:shd w:val="clear" w:color="auto" w:fill="auto"/>
            <w:vAlign w:val="bottom"/>
          </w:tcPr>
          <w:p w14:paraId="22CFBD09" w14:textId="77777777" w:rsidR="002661BA" w:rsidRDefault="002661BA">
            <w:pPr>
              <w:rPr>
                <w:rFonts w:ascii="宋体"/>
              </w:rPr>
            </w:pPr>
          </w:p>
        </w:tc>
        <w:tc>
          <w:tcPr>
            <w:tcW w:w="581" w:type="pct"/>
            <w:shd w:val="clear" w:color="auto" w:fill="auto"/>
            <w:vAlign w:val="bottom"/>
          </w:tcPr>
          <w:p w14:paraId="22CFBD0A" w14:textId="77777777" w:rsidR="002661BA" w:rsidRDefault="002661BA">
            <w:pPr>
              <w:rPr>
                <w:rFonts w:ascii="宋体"/>
              </w:rPr>
            </w:pPr>
          </w:p>
        </w:tc>
        <w:tc>
          <w:tcPr>
            <w:tcW w:w="5" w:type="pct"/>
            <w:shd w:val="clear" w:color="auto" w:fill="auto"/>
            <w:vAlign w:val="bottom"/>
          </w:tcPr>
          <w:p w14:paraId="22CFBD0B" w14:textId="77777777" w:rsidR="002661BA" w:rsidRDefault="002661BA">
            <w:pPr>
              <w:rPr>
                <w:rFonts w:ascii="宋体"/>
              </w:rPr>
            </w:pPr>
          </w:p>
        </w:tc>
      </w:tr>
      <w:tr w:rsidR="002661BA" w14:paraId="22CFBD0F" w14:textId="77777777">
        <w:tc>
          <w:tcPr>
            <w:tcW w:w="0" w:type="auto"/>
            <w:gridSpan w:val="3"/>
            <w:shd w:val="clear" w:color="auto" w:fill="auto"/>
            <w:tcMar>
              <w:top w:w="40" w:type="dxa"/>
              <w:left w:w="20" w:type="dxa"/>
              <w:bottom w:w="40" w:type="dxa"/>
              <w:right w:w="20" w:type="dxa"/>
            </w:tcMar>
            <w:vAlign w:val="bottom"/>
          </w:tcPr>
          <w:p w14:paraId="22CFBD0D" w14:textId="77777777" w:rsidR="002661BA" w:rsidRDefault="00D972BC">
            <w:pPr>
              <w:textAlignment w:val="bottom"/>
            </w:pPr>
            <w:r>
              <w:rPr>
                <w:rFonts w:ascii="Arial" w:eastAsia="宋体" w:hAnsi="Arial" w:cs="Arial"/>
                <w:b/>
                <w:bCs/>
                <w:color w:val="000000"/>
                <w:sz w:val="18"/>
                <w:szCs w:val="18"/>
              </w:rPr>
              <w:t> </w:t>
            </w:r>
          </w:p>
        </w:tc>
        <w:tc>
          <w:tcPr>
            <w:tcW w:w="0" w:type="auto"/>
            <w:gridSpan w:val="3"/>
            <w:shd w:val="clear" w:color="auto" w:fill="auto"/>
            <w:tcMar>
              <w:top w:w="40" w:type="dxa"/>
              <w:left w:w="20" w:type="dxa"/>
              <w:bottom w:w="40" w:type="dxa"/>
              <w:right w:w="20" w:type="dxa"/>
            </w:tcMar>
            <w:vAlign w:val="bottom"/>
          </w:tcPr>
          <w:p w14:paraId="22CFBD0E" w14:textId="77777777" w:rsidR="002661BA" w:rsidRDefault="00D972BC">
            <w:pPr>
              <w:jc w:val="center"/>
              <w:textAlignment w:val="bottom"/>
            </w:pPr>
            <w:r>
              <w:rPr>
                <w:rFonts w:ascii="Arial" w:eastAsia="宋体" w:hAnsi="Arial" w:cs="Arial"/>
                <w:b/>
                <w:bCs/>
                <w:color w:val="000000"/>
                <w:sz w:val="17"/>
                <w:szCs w:val="17"/>
              </w:rPr>
              <w:t>December 31, 2020</w:t>
            </w:r>
          </w:p>
        </w:tc>
      </w:tr>
      <w:tr w:rsidR="002661BA" w14:paraId="22CFBD12" w14:textId="77777777">
        <w:tc>
          <w:tcPr>
            <w:tcW w:w="0" w:type="auto"/>
            <w:gridSpan w:val="3"/>
            <w:shd w:val="clear" w:color="auto" w:fill="DBDBDB"/>
            <w:tcMar>
              <w:top w:w="40" w:type="dxa"/>
              <w:left w:w="20" w:type="dxa"/>
              <w:bottom w:w="40" w:type="dxa"/>
              <w:right w:w="20" w:type="dxa"/>
            </w:tcMar>
            <w:vAlign w:val="bottom"/>
          </w:tcPr>
          <w:p w14:paraId="22CFBD10" w14:textId="77777777" w:rsidR="002661BA" w:rsidRDefault="00D972BC">
            <w:pPr>
              <w:textAlignment w:val="bottom"/>
            </w:pPr>
            <w:r>
              <w:rPr>
                <w:rFonts w:ascii="Arial" w:eastAsia="宋体" w:hAnsi="Arial" w:cs="Arial"/>
                <w:color w:val="000000"/>
                <w:sz w:val="18"/>
                <w:szCs w:val="18"/>
              </w:rPr>
              <w:t xml:space="preserve">Carrying amounts of assets included as part of </w:t>
            </w:r>
            <w:r>
              <w:rPr>
                <w:rFonts w:ascii="Arial" w:eastAsia="宋体" w:hAnsi="Arial" w:cs="Arial"/>
                <w:color w:val="000000"/>
                <w:sz w:val="18"/>
                <w:szCs w:val="18"/>
              </w:rPr>
              <w:t>discontinued operations:</w:t>
            </w: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22CFBD11" w14:textId="77777777" w:rsidR="002661BA" w:rsidRDefault="002661BA">
            <w:pPr>
              <w:rPr>
                <w:rFonts w:ascii="宋体"/>
              </w:rPr>
            </w:pPr>
          </w:p>
        </w:tc>
      </w:tr>
      <w:tr w:rsidR="002661BA" w14:paraId="22CFBD17" w14:textId="77777777">
        <w:tc>
          <w:tcPr>
            <w:tcW w:w="0" w:type="auto"/>
            <w:gridSpan w:val="3"/>
            <w:shd w:val="clear" w:color="auto" w:fill="FFFFFF"/>
            <w:tcMar>
              <w:top w:w="40" w:type="dxa"/>
              <w:left w:w="20" w:type="dxa"/>
              <w:bottom w:w="40" w:type="dxa"/>
              <w:right w:w="20" w:type="dxa"/>
            </w:tcMar>
            <w:vAlign w:val="bottom"/>
          </w:tcPr>
          <w:p w14:paraId="22CFBD13" w14:textId="77777777" w:rsidR="002661BA" w:rsidRDefault="00D972BC">
            <w:pPr>
              <w:textAlignment w:val="bottom"/>
            </w:pPr>
            <w:r>
              <w:rPr>
                <w:rFonts w:ascii="Arial" w:eastAsia="宋体" w:hAnsi="Arial" w:cs="Arial"/>
                <w:color w:val="000000"/>
                <w:sz w:val="18"/>
                <w:szCs w:val="18"/>
              </w:rPr>
              <w:t>Cash and cash equivalents</w:t>
            </w:r>
          </w:p>
        </w:tc>
        <w:tc>
          <w:tcPr>
            <w:tcW w:w="0" w:type="auto"/>
            <w:shd w:val="clear" w:color="auto" w:fill="FFFFFF"/>
            <w:tcMar>
              <w:top w:w="40" w:type="dxa"/>
              <w:left w:w="20" w:type="dxa"/>
              <w:bottom w:w="40" w:type="dxa"/>
              <w:right w:w="0" w:type="dxa"/>
            </w:tcMar>
            <w:vAlign w:val="bottom"/>
          </w:tcPr>
          <w:p w14:paraId="22CFBD14"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D15" w14:textId="77777777" w:rsidR="002661BA" w:rsidRDefault="00D972BC">
            <w:pPr>
              <w:jc w:val="right"/>
              <w:textAlignment w:val="bottom"/>
            </w:pPr>
            <w:r>
              <w:rPr>
                <w:rFonts w:ascii="Arial" w:eastAsia="宋体" w:hAnsi="Arial" w:cs="Arial"/>
                <w:color w:val="000000"/>
                <w:sz w:val="18"/>
                <w:szCs w:val="18"/>
              </w:rPr>
              <w:t>23 </w:t>
            </w:r>
          </w:p>
        </w:tc>
        <w:tc>
          <w:tcPr>
            <w:tcW w:w="0" w:type="auto"/>
            <w:shd w:val="clear" w:color="auto" w:fill="FFFFFF"/>
            <w:tcMar>
              <w:top w:w="40" w:type="dxa"/>
              <w:left w:w="0" w:type="dxa"/>
              <w:bottom w:w="40" w:type="dxa"/>
              <w:right w:w="20" w:type="dxa"/>
            </w:tcMar>
            <w:vAlign w:val="bottom"/>
          </w:tcPr>
          <w:p w14:paraId="22CFBD16" w14:textId="77777777" w:rsidR="002661BA" w:rsidRDefault="002661BA">
            <w:pPr>
              <w:jc w:val="right"/>
              <w:rPr>
                <w:rFonts w:ascii="宋体"/>
              </w:rPr>
            </w:pPr>
          </w:p>
        </w:tc>
      </w:tr>
      <w:tr w:rsidR="002661BA" w14:paraId="22CFBD1B" w14:textId="77777777">
        <w:tc>
          <w:tcPr>
            <w:tcW w:w="0" w:type="auto"/>
            <w:gridSpan w:val="3"/>
            <w:shd w:val="clear" w:color="auto" w:fill="DBDBDB"/>
            <w:tcMar>
              <w:top w:w="40" w:type="dxa"/>
              <w:left w:w="20" w:type="dxa"/>
              <w:bottom w:w="40" w:type="dxa"/>
              <w:right w:w="20" w:type="dxa"/>
            </w:tcMar>
            <w:vAlign w:val="bottom"/>
          </w:tcPr>
          <w:p w14:paraId="22CFBD18" w14:textId="77777777" w:rsidR="002661BA" w:rsidRDefault="00D972BC">
            <w:pPr>
              <w:textAlignment w:val="bottom"/>
            </w:pPr>
            <w:r>
              <w:rPr>
                <w:rFonts w:ascii="Arial" w:eastAsia="宋体" w:hAnsi="Arial" w:cs="Arial"/>
                <w:color w:val="000000"/>
                <w:sz w:val="18"/>
                <w:szCs w:val="18"/>
              </w:rPr>
              <w:t>Accounts receivable, net</w:t>
            </w:r>
          </w:p>
        </w:tc>
        <w:tc>
          <w:tcPr>
            <w:tcW w:w="0" w:type="auto"/>
            <w:gridSpan w:val="2"/>
            <w:shd w:val="clear" w:color="auto" w:fill="DBDBDB"/>
            <w:tcMar>
              <w:top w:w="40" w:type="dxa"/>
              <w:left w:w="20" w:type="dxa"/>
              <w:bottom w:w="40" w:type="dxa"/>
              <w:right w:w="0" w:type="dxa"/>
            </w:tcMar>
            <w:vAlign w:val="bottom"/>
          </w:tcPr>
          <w:p w14:paraId="22CFBD19" w14:textId="77777777" w:rsidR="002661BA" w:rsidRDefault="00D972BC">
            <w:pPr>
              <w:jc w:val="right"/>
              <w:textAlignment w:val="bottom"/>
            </w:pPr>
            <w:r>
              <w:rPr>
                <w:rFonts w:ascii="Arial" w:eastAsia="宋体" w:hAnsi="Arial" w:cs="Arial"/>
                <w:color w:val="000000"/>
                <w:sz w:val="18"/>
                <w:szCs w:val="18"/>
              </w:rPr>
              <w:t>117 </w:t>
            </w:r>
          </w:p>
        </w:tc>
        <w:tc>
          <w:tcPr>
            <w:tcW w:w="0" w:type="auto"/>
            <w:shd w:val="clear" w:color="auto" w:fill="DBDBDB"/>
            <w:tcMar>
              <w:top w:w="40" w:type="dxa"/>
              <w:left w:w="0" w:type="dxa"/>
              <w:bottom w:w="40" w:type="dxa"/>
              <w:right w:w="20" w:type="dxa"/>
            </w:tcMar>
            <w:vAlign w:val="bottom"/>
          </w:tcPr>
          <w:p w14:paraId="22CFBD1A" w14:textId="77777777" w:rsidR="002661BA" w:rsidRDefault="002661BA">
            <w:pPr>
              <w:jc w:val="right"/>
              <w:rPr>
                <w:rFonts w:ascii="宋体"/>
              </w:rPr>
            </w:pPr>
          </w:p>
        </w:tc>
      </w:tr>
      <w:tr w:rsidR="002661BA" w14:paraId="22CFBD1F" w14:textId="77777777">
        <w:tc>
          <w:tcPr>
            <w:tcW w:w="0" w:type="auto"/>
            <w:gridSpan w:val="3"/>
            <w:shd w:val="clear" w:color="auto" w:fill="FFFFFF"/>
            <w:tcMar>
              <w:top w:w="40" w:type="dxa"/>
              <w:left w:w="20" w:type="dxa"/>
              <w:bottom w:w="40" w:type="dxa"/>
              <w:right w:w="20" w:type="dxa"/>
            </w:tcMar>
            <w:vAlign w:val="bottom"/>
          </w:tcPr>
          <w:p w14:paraId="22CFBD1C" w14:textId="77777777" w:rsidR="002661BA" w:rsidRDefault="00D972BC">
            <w:pPr>
              <w:textAlignment w:val="bottom"/>
            </w:pPr>
            <w:r>
              <w:rPr>
                <w:rFonts w:ascii="Arial" w:eastAsia="宋体" w:hAnsi="Arial" w:cs="Arial"/>
                <w:color w:val="000000"/>
                <w:sz w:val="18"/>
                <w:szCs w:val="18"/>
              </w:rPr>
              <w:t>Other current assets</w:t>
            </w:r>
          </w:p>
        </w:tc>
        <w:tc>
          <w:tcPr>
            <w:tcW w:w="0" w:type="auto"/>
            <w:gridSpan w:val="2"/>
            <w:shd w:val="clear" w:color="auto" w:fill="FFFFFF"/>
            <w:tcMar>
              <w:top w:w="40" w:type="dxa"/>
              <w:left w:w="20" w:type="dxa"/>
              <w:bottom w:w="40" w:type="dxa"/>
              <w:right w:w="0" w:type="dxa"/>
            </w:tcMar>
            <w:vAlign w:val="bottom"/>
          </w:tcPr>
          <w:p w14:paraId="22CFBD1D" w14:textId="77777777" w:rsidR="002661BA" w:rsidRDefault="00D972BC">
            <w:pPr>
              <w:jc w:val="right"/>
              <w:textAlignment w:val="bottom"/>
            </w:pPr>
            <w:r>
              <w:rPr>
                <w:rFonts w:ascii="Arial" w:eastAsia="宋体" w:hAnsi="Arial" w:cs="Arial"/>
                <w:color w:val="000000"/>
                <w:sz w:val="18"/>
                <w:szCs w:val="18"/>
              </w:rPr>
              <w:t>30 </w:t>
            </w:r>
          </w:p>
        </w:tc>
        <w:tc>
          <w:tcPr>
            <w:tcW w:w="0" w:type="auto"/>
            <w:shd w:val="clear" w:color="auto" w:fill="FFFFFF"/>
            <w:tcMar>
              <w:top w:w="40" w:type="dxa"/>
              <w:left w:w="0" w:type="dxa"/>
              <w:bottom w:w="40" w:type="dxa"/>
              <w:right w:w="20" w:type="dxa"/>
            </w:tcMar>
            <w:vAlign w:val="bottom"/>
          </w:tcPr>
          <w:p w14:paraId="22CFBD1E" w14:textId="77777777" w:rsidR="002661BA" w:rsidRDefault="002661BA">
            <w:pPr>
              <w:jc w:val="right"/>
              <w:rPr>
                <w:rFonts w:ascii="宋体"/>
              </w:rPr>
            </w:pPr>
          </w:p>
        </w:tc>
      </w:tr>
      <w:tr w:rsidR="002661BA" w14:paraId="22CFBD23" w14:textId="77777777">
        <w:tc>
          <w:tcPr>
            <w:tcW w:w="0" w:type="auto"/>
            <w:gridSpan w:val="3"/>
            <w:shd w:val="clear" w:color="auto" w:fill="DBDBDB"/>
            <w:tcMar>
              <w:top w:w="40" w:type="dxa"/>
              <w:left w:w="20" w:type="dxa"/>
              <w:bottom w:w="40" w:type="dxa"/>
              <w:right w:w="20" w:type="dxa"/>
            </w:tcMar>
            <w:vAlign w:val="bottom"/>
          </w:tcPr>
          <w:p w14:paraId="22CFBD20" w14:textId="77777777" w:rsidR="002661BA" w:rsidRDefault="00D972BC">
            <w:pPr>
              <w:textAlignment w:val="bottom"/>
            </w:pPr>
            <w:r>
              <w:rPr>
                <w:rFonts w:ascii="Arial" w:eastAsia="宋体" w:hAnsi="Arial" w:cs="Arial"/>
                <w:color w:val="000000"/>
                <w:sz w:val="18"/>
                <w:szCs w:val="18"/>
              </w:rPr>
              <w:t>Long-term investments</w:t>
            </w:r>
          </w:p>
        </w:tc>
        <w:tc>
          <w:tcPr>
            <w:tcW w:w="0" w:type="auto"/>
            <w:gridSpan w:val="2"/>
            <w:shd w:val="clear" w:color="auto" w:fill="DBDBDB"/>
            <w:tcMar>
              <w:top w:w="40" w:type="dxa"/>
              <w:left w:w="20" w:type="dxa"/>
              <w:bottom w:w="40" w:type="dxa"/>
              <w:right w:w="0" w:type="dxa"/>
            </w:tcMar>
            <w:vAlign w:val="bottom"/>
          </w:tcPr>
          <w:p w14:paraId="22CFBD21" w14:textId="77777777" w:rsidR="002661BA" w:rsidRDefault="00D972BC">
            <w:pPr>
              <w:jc w:val="right"/>
              <w:textAlignment w:val="bottom"/>
            </w:pPr>
            <w:r>
              <w:rPr>
                <w:rFonts w:ascii="Arial" w:eastAsia="宋体" w:hAnsi="Arial" w:cs="Arial"/>
                <w:color w:val="000000"/>
                <w:sz w:val="18"/>
                <w:szCs w:val="18"/>
              </w:rPr>
              <w:t>32 </w:t>
            </w:r>
          </w:p>
        </w:tc>
        <w:tc>
          <w:tcPr>
            <w:tcW w:w="0" w:type="auto"/>
            <w:shd w:val="clear" w:color="auto" w:fill="DBDBDB"/>
            <w:tcMar>
              <w:top w:w="40" w:type="dxa"/>
              <w:left w:w="0" w:type="dxa"/>
              <w:bottom w:w="40" w:type="dxa"/>
              <w:right w:w="20" w:type="dxa"/>
            </w:tcMar>
            <w:vAlign w:val="bottom"/>
          </w:tcPr>
          <w:p w14:paraId="22CFBD22" w14:textId="77777777" w:rsidR="002661BA" w:rsidRDefault="002661BA">
            <w:pPr>
              <w:jc w:val="right"/>
              <w:rPr>
                <w:rFonts w:ascii="宋体"/>
              </w:rPr>
            </w:pPr>
          </w:p>
        </w:tc>
      </w:tr>
      <w:tr w:rsidR="002661BA" w14:paraId="22CFBD27" w14:textId="77777777">
        <w:tc>
          <w:tcPr>
            <w:tcW w:w="0" w:type="auto"/>
            <w:gridSpan w:val="3"/>
            <w:shd w:val="clear" w:color="auto" w:fill="FFFFFF"/>
            <w:tcMar>
              <w:top w:w="40" w:type="dxa"/>
              <w:left w:w="20" w:type="dxa"/>
              <w:bottom w:w="40" w:type="dxa"/>
              <w:right w:w="20" w:type="dxa"/>
            </w:tcMar>
            <w:vAlign w:val="bottom"/>
          </w:tcPr>
          <w:p w14:paraId="22CFBD24" w14:textId="77777777" w:rsidR="002661BA" w:rsidRDefault="00D972BC">
            <w:pPr>
              <w:textAlignment w:val="bottom"/>
            </w:pPr>
            <w:r>
              <w:rPr>
                <w:rFonts w:ascii="Arial" w:eastAsia="宋体" w:hAnsi="Arial" w:cs="Arial"/>
                <w:color w:val="000000"/>
                <w:sz w:val="18"/>
                <w:szCs w:val="18"/>
              </w:rPr>
              <w:t>Property and equipment, net</w:t>
            </w:r>
          </w:p>
        </w:tc>
        <w:tc>
          <w:tcPr>
            <w:tcW w:w="0" w:type="auto"/>
            <w:gridSpan w:val="2"/>
            <w:shd w:val="clear" w:color="auto" w:fill="FFFFFF"/>
            <w:tcMar>
              <w:top w:w="40" w:type="dxa"/>
              <w:left w:w="20" w:type="dxa"/>
              <w:bottom w:w="40" w:type="dxa"/>
              <w:right w:w="0" w:type="dxa"/>
            </w:tcMar>
            <w:vAlign w:val="bottom"/>
          </w:tcPr>
          <w:p w14:paraId="22CFBD25" w14:textId="77777777" w:rsidR="002661BA" w:rsidRDefault="00D972BC">
            <w:pPr>
              <w:jc w:val="right"/>
              <w:textAlignment w:val="bottom"/>
            </w:pPr>
            <w:r>
              <w:rPr>
                <w:rFonts w:ascii="Arial" w:eastAsia="宋体" w:hAnsi="Arial" w:cs="Arial"/>
                <w:color w:val="000000"/>
                <w:sz w:val="18"/>
                <w:szCs w:val="18"/>
              </w:rPr>
              <w:t>31 </w:t>
            </w:r>
          </w:p>
        </w:tc>
        <w:tc>
          <w:tcPr>
            <w:tcW w:w="0" w:type="auto"/>
            <w:shd w:val="clear" w:color="auto" w:fill="FFFFFF"/>
            <w:tcMar>
              <w:top w:w="40" w:type="dxa"/>
              <w:left w:w="0" w:type="dxa"/>
              <w:bottom w:w="40" w:type="dxa"/>
              <w:right w:w="20" w:type="dxa"/>
            </w:tcMar>
            <w:vAlign w:val="bottom"/>
          </w:tcPr>
          <w:p w14:paraId="22CFBD26" w14:textId="77777777" w:rsidR="002661BA" w:rsidRDefault="002661BA">
            <w:pPr>
              <w:jc w:val="right"/>
              <w:rPr>
                <w:rFonts w:ascii="宋体"/>
              </w:rPr>
            </w:pPr>
          </w:p>
        </w:tc>
      </w:tr>
      <w:tr w:rsidR="002661BA" w14:paraId="22CFBD2B" w14:textId="77777777">
        <w:tc>
          <w:tcPr>
            <w:tcW w:w="0" w:type="auto"/>
            <w:gridSpan w:val="3"/>
            <w:shd w:val="clear" w:color="auto" w:fill="DBDBDB"/>
            <w:tcMar>
              <w:top w:w="40" w:type="dxa"/>
              <w:left w:w="20" w:type="dxa"/>
              <w:bottom w:w="40" w:type="dxa"/>
              <w:right w:w="20" w:type="dxa"/>
            </w:tcMar>
            <w:vAlign w:val="bottom"/>
          </w:tcPr>
          <w:p w14:paraId="22CFBD28" w14:textId="77777777" w:rsidR="002661BA" w:rsidRDefault="00D972BC">
            <w:pPr>
              <w:textAlignment w:val="bottom"/>
            </w:pPr>
            <w:r>
              <w:rPr>
                <w:rFonts w:ascii="Arial" w:eastAsia="宋体" w:hAnsi="Arial" w:cs="Arial"/>
                <w:color w:val="000000"/>
                <w:sz w:val="18"/>
                <w:szCs w:val="18"/>
              </w:rPr>
              <w:t>Goodwill</w:t>
            </w:r>
          </w:p>
        </w:tc>
        <w:tc>
          <w:tcPr>
            <w:tcW w:w="0" w:type="auto"/>
            <w:gridSpan w:val="2"/>
            <w:shd w:val="clear" w:color="auto" w:fill="DBDBDB"/>
            <w:tcMar>
              <w:top w:w="40" w:type="dxa"/>
              <w:left w:w="20" w:type="dxa"/>
              <w:bottom w:w="40" w:type="dxa"/>
              <w:right w:w="0" w:type="dxa"/>
            </w:tcMar>
            <w:vAlign w:val="bottom"/>
          </w:tcPr>
          <w:p w14:paraId="22CFBD29" w14:textId="77777777" w:rsidR="002661BA" w:rsidRDefault="00D972BC">
            <w:pPr>
              <w:jc w:val="right"/>
              <w:textAlignment w:val="bottom"/>
            </w:pPr>
            <w:r>
              <w:rPr>
                <w:rFonts w:ascii="Arial" w:eastAsia="宋体" w:hAnsi="Arial" w:cs="Arial"/>
                <w:color w:val="000000"/>
                <w:sz w:val="18"/>
                <w:szCs w:val="18"/>
              </w:rPr>
              <w:t>465 </w:t>
            </w:r>
          </w:p>
        </w:tc>
        <w:tc>
          <w:tcPr>
            <w:tcW w:w="0" w:type="auto"/>
            <w:shd w:val="clear" w:color="auto" w:fill="DBDBDB"/>
            <w:tcMar>
              <w:top w:w="40" w:type="dxa"/>
              <w:left w:w="0" w:type="dxa"/>
              <w:bottom w:w="40" w:type="dxa"/>
              <w:right w:w="20" w:type="dxa"/>
            </w:tcMar>
            <w:vAlign w:val="bottom"/>
          </w:tcPr>
          <w:p w14:paraId="22CFBD2A" w14:textId="77777777" w:rsidR="002661BA" w:rsidRDefault="002661BA">
            <w:pPr>
              <w:jc w:val="right"/>
              <w:rPr>
                <w:rFonts w:ascii="宋体"/>
              </w:rPr>
            </w:pPr>
          </w:p>
        </w:tc>
      </w:tr>
      <w:tr w:rsidR="002661BA" w14:paraId="22CFBD2F" w14:textId="77777777">
        <w:tc>
          <w:tcPr>
            <w:tcW w:w="0" w:type="auto"/>
            <w:gridSpan w:val="3"/>
            <w:shd w:val="clear" w:color="auto" w:fill="FFFFFF"/>
            <w:tcMar>
              <w:top w:w="40" w:type="dxa"/>
              <w:left w:w="20" w:type="dxa"/>
              <w:bottom w:w="40" w:type="dxa"/>
              <w:right w:w="20" w:type="dxa"/>
            </w:tcMar>
            <w:vAlign w:val="bottom"/>
          </w:tcPr>
          <w:p w14:paraId="22CFBD2C" w14:textId="77777777" w:rsidR="002661BA" w:rsidRDefault="00D972BC">
            <w:pPr>
              <w:textAlignment w:val="bottom"/>
            </w:pPr>
            <w:r>
              <w:rPr>
                <w:rFonts w:ascii="Arial" w:eastAsia="宋体" w:hAnsi="Arial" w:cs="Arial"/>
                <w:color w:val="000000"/>
                <w:sz w:val="18"/>
                <w:szCs w:val="18"/>
              </w:rPr>
              <w:t>Intangible assets, net</w:t>
            </w:r>
          </w:p>
        </w:tc>
        <w:tc>
          <w:tcPr>
            <w:tcW w:w="0" w:type="auto"/>
            <w:gridSpan w:val="2"/>
            <w:shd w:val="clear" w:color="auto" w:fill="FFFFFF"/>
            <w:tcMar>
              <w:top w:w="40" w:type="dxa"/>
              <w:left w:w="20" w:type="dxa"/>
              <w:bottom w:w="40" w:type="dxa"/>
              <w:right w:w="0" w:type="dxa"/>
            </w:tcMar>
            <w:vAlign w:val="bottom"/>
          </w:tcPr>
          <w:p w14:paraId="22CFBD2D" w14:textId="77777777" w:rsidR="002661BA" w:rsidRDefault="00D972BC">
            <w:pPr>
              <w:jc w:val="right"/>
              <w:textAlignment w:val="bottom"/>
            </w:pPr>
            <w:r>
              <w:rPr>
                <w:rFonts w:ascii="Arial" w:eastAsia="宋体" w:hAnsi="Arial" w:cs="Arial"/>
                <w:color w:val="000000"/>
                <w:sz w:val="18"/>
                <w:szCs w:val="18"/>
              </w:rPr>
              <w:t>35 </w:t>
            </w:r>
          </w:p>
        </w:tc>
        <w:tc>
          <w:tcPr>
            <w:tcW w:w="0" w:type="auto"/>
            <w:shd w:val="clear" w:color="auto" w:fill="FFFFFF"/>
            <w:tcMar>
              <w:top w:w="40" w:type="dxa"/>
              <w:left w:w="0" w:type="dxa"/>
              <w:bottom w:w="40" w:type="dxa"/>
              <w:right w:w="20" w:type="dxa"/>
            </w:tcMar>
            <w:vAlign w:val="bottom"/>
          </w:tcPr>
          <w:p w14:paraId="22CFBD2E" w14:textId="77777777" w:rsidR="002661BA" w:rsidRDefault="002661BA">
            <w:pPr>
              <w:jc w:val="right"/>
              <w:rPr>
                <w:rFonts w:ascii="宋体"/>
              </w:rPr>
            </w:pPr>
          </w:p>
        </w:tc>
      </w:tr>
      <w:tr w:rsidR="002661BA" w14:paraId="22CFBD33" w14:textId="77777777">
        <w:tc>
          <w:tcPr>
            <w:tcW w:w="0" w:type="auto"/>
            <w:gridSpan w:val="3"/>
            <w:shd w:val="clear" w:color="auto" w:fill="DBDBDB"/>
            <w:tcMar>
              <w:top w:w="40" w:type="dxa"/>
              <w:left w:w="20" w:type="dxa"/>
              <w:bottom w:w="40" w:type="dxa"/>
              <w:right w:w="20" w:type="dxa"/>
            </w:tcMar>
            <w:vAlign w:val="bottom"/>
          </w:tcPr>
          <w:p w14:paraId="22CFBD30" w14:textId="77777777" w:rsidR="002661BA" w:rsidRDefault="00D972BC">
            <w:pPr>
              <w:textAlignment w:val="bottom"/>
            </w:pPr>
            <w:r>
              <w:rPr>
                <w:rFonts w:ascii="Arial" w:eastAsia="宋体" w:hAnsi="Arial" w:cs="Arial"/>
                <w:color w:val="000000"/>
                <w:sz w:val="18"/>
                <w:szCs w:val="18"/>
              </w:rPr>
              <w:t xml:space="preserve">Operating lease </w:t>
            </w:r>
            <w:r>
              <w:rPr>
                <w:rFonts w:ascii="Arial" w:eastAsia="宋体" w:hAnsi="Arial" w:cs="Arial"/>
                <w:color w:val="000000"/>
                <w:sz w:val="18"/>
                <w:szCs w:val="18"/>
              </w:rPr>
              <w:t>right-of-use assets</w:t>
            </w:r>
          </w:p>
        </w:tc>
        <w:tc>
          <w:tcPr>
            <w:tcW w:w="0" w:type="auto"/>
            <w:gridSpan w:val="2"/>
            <w:shd w:val="clear" w:color="auto" w:fill="DBDBDB"/>
            <w:tcMar>
              <w:top w:w="40" w:type="dxa"/>
              <w:left w:w="20" w:type="dxa"/>
              <w:bottom w:w="40" w:type="dxa"/>
              <w:right w:w="0" w:type="dxa"/>
            </w:tcMar>
            <w:vAlign w:val="bottom"/>
          </w:tcPr>
          <w:p w14:paraId="22CFBD31" w14:textId="77777777" w:rsidR="002661BA" w:rsidRDefault="00D972BC">
            <w:pPr>
              <w:jc w:val="right"/>
              <w:textAlignment w:val="bottom"/>
            </w:pPr>
            <w:r>
              <w:rPr>
                <w:rFonts w:ascii="Arial" w:eastAsia="宋体" w:hAnsi="Arial" w:cs="Arial"/>
                <w:color w:val="000000"/>
                <w:sz w:val="18"/>
                <w:szCs w:val="18"/>
              </w:rPr>
              <w:t>20 </w:t>
            </w:r>
          </w:p>
        </w:tc>
        <w:tc>
          <w:tcPr>
            <w:tcW w:w="0" w:type="auto"/>
            <w:shd w:val="clear" w:color="auto" w:fill="DBDBDB"/>
            <w:tcMar>
              <w:top w:w="40" w:type="dxa"/>
              <w:left w:w="0" w:type="dxa"/>
              <w:bottom w:w="40" w:type="dxa"/>
              <w:right w:w="20" w:type="dxa"/>
            </w:tcMar>
            <w:vAlign w:val="bottom"/>
          </w:tcPr>
          <w:p w14:paraId="22CFBD32" w14:textId="77777777" w:rsidR="002661BA" w:rsidRDefault="002661BA">
            <w:pPr>
              <w:jc w:val="right"/>
              <w:rPr>
                <w:rFonts w:ascii="宋体"/>
              </w:rPr>
            </w:pPr>
          </w:p>
        </w:tc>
      </w:tr>
      <w:tr w:rsidR="002661BA" w14:paraId="22CFBD37" w14:textId="77777777">
        <w:tc>
          <w:tcPr>
            <w:tcW w:w="0" w:type="auto"/>
            <w:gridSpan w:val="3"/>
            <w:shd w:val="clear" w:color="auto" w:fill="FFFFFF"/>
            <w:tcMar>
              <w:top w:w="40" w:type="dxa"/>
              <w:left w:w="20" w:type="dxa"/>
              <w:bottom w:w="40" w:type="dxa"/>
              <w:right w:w="20" w:type="dxa"/>
            </w:tcMar>
            <w:vAlign w:val="bottom"/>
          </w:tcPr>
          <w:p w14:paraId="22CFBD34" w14:textId="77777777" w:rsidR="002661BA" w:rsidRDefault="00D972BC">
            <w:pPr>
              <w:textAlignment w:val="bottom"/>
            </w:pPr>
            <w:r>
              <w:rPr>
                <w:rFonts w:ascii="Arial" w:eastAsia="宋体" w:hAnsi="Arial" w:cs="Arial"/>
                <w:color w:val="000000"/>
                <w:sz w:val="18"/>
                <w:szCs w:val="18"/>
              </w:rPr>
              <w:t>Deferred tax assets</w:t>
            </w:r>
          </w:p>
        </w:tc>
        <w:tc>
          <w:tcPr>
            <w:tcW w:w="0" w:type="auto"/>
            <w:gridSpan w:val="2"/>
            <w:shd w:val="clear" w:color="auto" w:fill="FFFFFF"/>
            <w:tcMar>
              <w:top w:w="40" w:type="dxa"/>
              <w:left w:w="20" w:type="dxa"/>
              <w:bottom w:w="40" w:type="dxa"/>
              <w:right w:w="0" w:type="dxa"/>
            </w:tcMar>
            <w:vAlign w:val="bottom"/>
          </w:tcPr>
          <w:p w14:paraId="22CFBD35" w14:textId="77777777" w:rsidR="002661BA" w:rsidRDefault="00D972BC">
            <w:pPr>
              <w:jc w:val="right"/>
              <w:textAlignment w:val="bottom"/>
            </w:pPr>
            <w:r>
              <w:rPr>
                <w:rFonts w:ascii="Arial" w:eastAsia="宋体" w:hAnsi="Arial" w:cs="Arial"/>
                <w:color w:val="000000"/>
                <w:sz w:val="18"/>
                <w:szCs w:val="18"/>
              </w:rPr>
              <w:t>435 </w:t>
            </w:r>
          </w:p>
        </w:tc>
        <w:tc>
          <w:tcPr>
            <w:tcW w:w="0" w:type="auto"/>
            <w:shd w:val="clear" w:color="auto" w:fill="FFFFFF"/>
            <w:tcMar>
              <w:top w:w="40" w:type="dxa"/>
              <w:left w:w="0" w:type="dxa"/>
              <w:bottom w:w="40" w:type="dxa"/>
              <w:right w:w="20" w:type="dxa"/>
            </w:tcMar>
            <w:vAlign w:val="bottom"/>
          </w:tcPr>
          <w:p w14:paraId="22CFBD36" w14:textId="77777777" w:rsidR="002661BA" w:rsidRDefault="002661BA">
            <w:pPr>
              <w:jc w:val="right"/>
              <w:rPr>
                <w:rFonts w:ascii="宋体"/>
              </w:rPr>
            </w:pPr>
          </w:p>
        </w:tc>
      </w:tr>
      <w:tr w:rsidR="002661BA" w14:paraId="22CFBD3A" w14:textId="77777777">
        <w:trPr>
          <w:hidden/>
        </w:trPr>
        <w:tc>
          <w:tcPr>
            <w:tcW w:w="0" w:type="auto"/>
            <w:gridSpan w:val="3"/>
            <w:shd w:val="clear" w:color="auto" w:fill="auto"/>
            <w:vAlign w:val="bottom"/>
          </w:tcPr>
          <w:p w14:paraId="22CFBD38" w14:textId="77777777" w:rsidR="002661BA" w:rsidRDefault="002661BA">
            <w:pPr>
              <w:rPr>
                <w:rFonts w:ascii="宋体"/>
                <w:vanish/>
              </w:rPr>
            </w:pPr>
          </w:p>
        </w:tc>
        <w:tc>
          <w:tcPr>
            <w:tcW w:w="0" w:type="auto"/>
            <w:gridSpan w:val="3"/>
            <w:shd w:val="clear" w:color="auto" w:fill="auto"/>
            <w:vAlign w:val="bottom"/>
          </w:tcPr>
          <w:p w14:paraId="22CFBD39" w14:textId="77777777" w:rsidR="002661BA" w:rsidRDefault="002661BA">
            <w:pPr>
              <w:rPr>
                <w:rFonts w:ascii="宋体"/>
                <w:vanish/>
              </w:rPr>
            </w:pPr>
          </w:p>
        </w:tc>
      </w:tr>
      <w:tr w:rsidR="002661BA" w14:paraId="22CFBD3F" w14:textId="77777777">
        <w:tc>
          <w:tcPr>
            <w:tcW w:w="0" w:type="auto"/>
            <w:gridSpan w:val="3"/>
            <w:shd w:val="clear" w:color="auto" w:fill="DBDBDB"/>
            <w:tcMar>
              <w:top w:w="40" w:type="dxa"/>
              <w:left w:w="500" w:type="dxa"/>
              <w:bottom w:w="40" w:type="dxa"/>
              <w:right w:w="20" w:type="dxa"/>
            </w:tcMar>
            <w:vAlign w:val="bottom"/>
          </w:tcPr>
          <w:p w14:paraId="22CFBD3B" w14:textId="77777777" w:rsidR="002661BA" w:rsidRDefault="00D972BC">
            <w:pPr>
              <w:textAlignment w:val="bottom"/>
            </w:pPr>
            <w:r>
              <w:rPr>
                <w:rFonts w:ascii="Arial" w:eastAsia="宋体" w:hAnsi="Arial" w:cs="Arial"/>
                <w:color w:val="000000"/>
                <w:sz w:val="18"/>
                <w:szCs w:val="18"/>
              </w:rPr>
              <w:t>Total assets classified as discontinued operations in the consolidated balance sheet</w:t>
            </w:r>
          </w:p>
        </w:tc>
        <w:tc>
          <w:tcPr>
            <w:tcW w:w="0" w:type="auto"/>
            <w:tcBorders>
              <w:top w:val="single" w:sz="8" w:space="0" w:color="000000"/>
            </w:tcBorders>
            <w:shd w:val="clear" w:color="auto" w:fill="DBDBDB"/>
            <w:tcMar>
              <w:top w:w="40" w:type="dxa"/>
              <w:left w:w="20" w:type="dxa"/>
              <w:bottom w:w="40" w:type="dxa"/>
              <w:right w:w="0" w:type="dxa"/>
            </w:tcMar>
            <w:vAlign w:val="bottom"/>
          </w:tcPr>
          <w:p w14:paraId="22CFBD3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BD3D" w14:textId="77777777" w:rsidR="002661BA" w:rsidRDefault="00D972BC">
            <w:pPr>
              <w:jc w:val="right"/>
              <w:textAlignment w:val="bottom"/>
            </w:pPr>
            <w:r>
              <w:rPr>
                <w:rFonts w:ascii="Arial" w:eastAsia="宋体" w:hAnsi="Arial" w:cs="Arial"/>
                <w:color w:val="000000"/>
                <w:sz w:val="18"/>
                <w:szCs w:val="18"/>
              </w:rPr>
              <w:t>1,188 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D3E" w14:textId="77777777" w:rsidR="002661BA" w:rsidRDefault="002661BA">
            <w:pPr>
              <w:jc w:val="right"/>
              <w:rPr>
                <w:rFonts w:ascii="宋体"/>
              </w:rPr>
            </w:pPr>
          </w:p>
        </w:tc>
      </w:tr>
      <w:tr w:rsidR="002661BA" w14:paraId="22CFBD42" w14:textId="77777777">
        <w:trPr>
          <w:trHeight w:val="240"/>
        </w:trPr>
        <w:tc>
          <w:tcPr>
            <w:tcW w:w="0" w:type="auto"/>
            <w:gridSpan w:val="3"/>
            <w:shd w:val="clear" w:color="auto" w:fill="FFFFFF"/>
            <w:tcMar>
              <w:top w:w="0" w:type="dxa"/>
              <w:left w:w="20" w:type="dxa"/>
              <w:bottom w:w="0" w:type="dxa"/>
              <w:right w:w="20" w:type="dxa"/>
            </w:tcMar>
            <w:vAlign w:val="bottom"/>
          </w:tcPr>
          <w:p w14:paraId="22CFBD40" w14:textId="77777777" w:rsidR="002661BA" w:rsidRDefault="002661B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BD41" w14:textId="77777777" w:rsidR="002661BA" w:rsidRDefault="002661BA">
            <w:pPr>
              <w:rPr>
                <w:rFonts w:ascii="宋体"/>
              </w:rPr>
            </w:pPr>
          </w:p>
        </w:tc>
      </w:tr>
      <w:tr w:rsidR="002661BA" w14:paraId="22CFBD45" w14:textId="77777777">
        <w:tc>
          <w:tcPr>
            <w:tcW w:w="0" w:type="auto"/>
            <w:gridSpan w:val="3"/>
            <w:shd w:val="clear" w:color="auto" w:fill="DBDBDB"/>
            <w:tcMar>
              <w:top w:w="40" w:type="dxa"/>
              <w:left w:w="20" w:type="dxa"/>
              <w:bottom w:w="40" w:type="dxa"/>
              <w:right w:w="20" w:type="dxa"/>
            </w:tcMar>
            <w:vAlign w:val="bottom"/>
          </w:tcPr>
          <w:p w14:paraId="22CFBD43" w14:textId="77777777" w:rsidR="002661BA" w:rsidRDefault="00D972BC">
            <w:pPr>
              <w:textAlignment w:val="bottom"/>
            </w:pPr>
            <w:r>
              <w:rPr>
                <w:rFonts w:ascii="Arial" w:eastAsia="宋体" w:hAnsi="Arial" w:cs="Arial"/>
                <w:color w:val="000000"/>
                <w:sz w:val="18"/>
                <w:szCs w:val="18"/>
              </w:rPr>
              <w:t>Carrying amounts of liabilities included as part discontinued operations:</w:t>
            </w:r>
          </w:p>
        </w:tc>
        <w:tc>
          <w:tcPr>
            <w:tcW w:w="0" w:type="auto"/>
            <w:gridSpan w:val="3"/>
            <w:shd w:val="clear" w:color="auto" w:fill="DBDBDB"/>
            <w:tcMar>
              <w:top w:w="0" w:type="dxa"/>
              <w:left w:w="20" w:type="dxa"/>
              <w:bottom w:w="0" w:type="dxa"/>
              <w:right w:w="20" w:type="dxa"/>
            </w:tcMar>
            <w:vAlign w:val="bottom"/>
          </w:tcPr>
          <w:p w14:paraId="22CFBD44" w14:textId="77777777" w:rsidR="002661BA" w:rsidRDefault="002661BA">
            <w:pPr>
              <w:rPr>
                <w:rFonts w:ascii="宋体"/>
              </w:rPr>
            </w:pPr>
          </w:p>
        </w:tc>
      </w:tr>
      <w:tr w:rsidR="002661BA" w14:paraId="22CFBD4A" w14:textId="77777777">
        <w:tc>
          <w:tcPr>
            <w:tcW w:w="0" w:type="auto"/>
            <w:gridSpan w:val="3"/>
            <w:shd w:val="clear" w:color="auto" w:fill="FFFFFF"/>
            <w:tcMar>
              <w:top w:w="40" w:type="dxa"/>
              <w:left w:w="20" w:type="dxa"/>
              <w:bottom w:w="40" w:type="dxa"/>
              <w:right w:w="20" w:type="dxa"/>
            </w:tcMar>
            <w:vAlign w:val="bottom"/>
          </w:tcPr>
          <w:p w14:paraId="22CFBD46" w14:textId="77777777" w:rsidR="002661BA" w:rsidRDefault="00D972BC">
            <w:pPr>
              <w:textAlignment w:val="bottom"/>
            </w:pPr>
            <w:r>
              <w:rPr>
                <w:rFonts w:ascii="Arial" w:eastAsia="宋体" w:hAnsi="Arial" w:cs="Arial"/>
                <w:color w:val="000000"/>
                <w:sz w:val="18"/>
                <w:szCs w:val="18"/>
              </w:rPr>
              <w:t>Accounts payable</w:t>
            </w:r>
          </w:p>
        </w:tc>
        <w:tc>
          <w:tcPr>
            <w:tcW w:w="0" w:type="auto"/>
            <w:shd w:val="clear" w:color="auto" w:fill="FFFFFF"/>
            <w:tcMar>
              <w:top w:w="40" w:type="dxa"/>
              <w:left w:w="20" w:type="dxa"/>
              <w:bottom w:w="40" w:type="dxa"/>
              <w:right w:w="0" w:type="dxa"/>
            </w:tcMar>
            <w:vAlign w:val="bottom"/>
          </w:tcPr>
          <w:p w14:paraId="22CFBD4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D48" w14:textId="77777777" w:rsidR="002661BA" w:rsidRDefault="00D972BC">
            <w:pPr>
              <w:jc w:val="right"/>
              <w:textAlignment w:val="bottom"/>
            </w:pPr>
            <w:r>
              <w:rPr>
                <w:rFonts w:ascii="Arial" w:eastAsia="宋体" w:hAnsi="Arial" w:cs="Arial"/>
                <w:color w:val="000000"/>
                <w:sz w:val="18"/>
                <w:szCs w:val="18"/>
              </w:rPr>
              <w:t>18 </w:t>
            </w:r>
          </w:p>
        </w:tc>
        <w:tc>
          <w:tcPr>
            <w:tcW w:w="0" w:type="auto"/>
            <w:shd w:val="clear" w:color="auto" w:fill="FFFFFF"/>
            <w:tcMar>
              <w:top w:w="40" w:type="dxa"/>
              <w:left w:w="0" w:type="dxa"/>
              <w:bottom w:w="40" w:type="dxa"/>
              <w:right w:w="20" w:type="dxa"/>
            </w:tcMar>
            <w:vAlign w:val="bottom"/>
          </w:tcPr>
          <w:p w14:paraId="22CFBD49" w14:textId="77777777" w:rsidR="002661BA" w:rsidRDefault="002661BA">
            <w:pPr>
              <w:jc w:val="right"/>
              <w:rPr>
                <w:rFonts w:ascii="宋体"/>
              </w:rPr>
            </w:pPr>
          </w:p>
        </w:tc>
      </w:tr>
      <w:tr w:rsidR="002661BA" w14:paraId="22CFBD4E" w14:textId="77777777">
        <w:tc>
          <w:tcPr>
            <w:tcW w:w="0" w:type="auto"/>
            <w:gridSpan w:val="3"/>
            <w:shd w:val="clear" w:color="auto" w:fill="DBDBDB"/>
            <w:tcMar>
              <w:top w:w="40" w:type="dxa"/>
              <w:left w:w="20" w:type="dxa"/>
              <w:bottom w:w="40" w:type="dxa"/>
              <w:right w:w="20" w:type="dxa"/>
            </w:tcMar>
            <w:vAlign w:val="bottom"/>
          </w:tcPr>
          <w:p w14:paraId="22CFBD4B" w14:textId="77777777" w:rsidR="002661BA" w:rsidRDefault="00D972BC">
            <w:pPr>
              <w:textAlignment w:val="bottom"/>
            </w:pPr>
            <w:r>
              <w:rPr>
                <w:rFonts w:ascii="Arial" w:eastAsia="宋体" w:hAnsi="Arial" w:cs="Arial"/>
                <w:color w:val="000000"/>
                <w:sz w:val="18"/>
                <w:szCs w:val="18"/>
              </w:rPr>
              <w:t>Accrued expenses and other current liabilities</w:t>
            </w:r>
          </w:p>
        </w:tc>
        <w:tc>
          <w:tcPr>
            <w:tcW w:w="0" w:type="auto"/>
            <w:gridSpan w:val="2"/>
            <w:shd w:val="clear" w:color="auto" w:fill="DBDBDB"/>
            <w:tcMar>
              <w:top w:w="40" w:type="dxa"/>
              <w:left w:w="20" w:type="dxa"/>
              <w:bottom w:w="40" w:type="dxa"/>
              <w:right w:w="0" w:type="dxa"/>
            </w:tcMar>
            <w:vAlign w:val="bottom"/>
          </w:tcPr>
          <w:p w14:paraId="22CFBD4C" w14:textId="77777777" w:rsidR="002661BA" w:rsidRDefault="00D972BC">
            <w:pPr>
              <w:jc w:val="right"/>
              <w:textAlignment w:val="bottom"/>
            </w:pPr>
            <w:r>
              <w:rPr>
                <w:rFonts w:ascii="Arial" w:eastAsia="宋体" w:hAnsi="Arial" w:cs="Arial"/>
                <w:color w:val="000000"/>
                <w:sz w:val="18"/>
                <w:szCs w:val="18"/>
              </w:rPr>
              <w:t>104 </w:t>
            </w:r>
          </w:p>
        </w:tc>
        <w:tc>
          <w:tcPr>
            <w:tcW w:w="0" w:type="auto"/>
            <w:shd w:val="clear" w:color="auto" w:fill="DBDBDB"/>
            <w:tcMar>
              <w:top w:w="40" w:type="dxa"/>
              <w:left w:w="0" w:type="dxa"/>
              <w:bottom w:w="40" w:type="dxa"/>
              <w:right w:w="20" w:type="dxa"/>
            </w:tcMar>
            <w:vAlign w:val="bottom"/>
          </w:tcPr>
          <w:p w14:paraId="22CFBD4D" w14:textId="77777777" w:rsidR="002661BA" w:rsidRDefault="002661BA">
            <w:pPr>
              <w:jc w:val="right"/>
              <w:rPr>
                <w:rFonts w:ascii="宋体"/>
              </w:rPr>
            </w:pPr>
          </w:p>
        </w:tc>
      </w:tr>
      <w:tr w:rsidR="002661BA" w14:paraId="22CFBD52" w14:textId="77777777">
        <w:tc>
          <w:tcPr>
            <w:tcW w:w="0" w:type="auto"/>
            <w:gridSpan w:val="3"/>
            <w:shd w:val="clear" w:color="auto" w:fill="FFFFFF"/>
            <w:tcMar>
              <w:top w:w="40" w:type="dxa"/>
              <w:left w:w="20" w:type="dxa"/>
              <w:bottom w:w="40" w:type="dxa"/>
              <w:right w:w="20" w:type="dxa"/>
            </w:tcMar>
            <w:vAlign w:val="bottom"/>
          </w:tcPr>
          <w:p w14:paraId="22CFBD4F" w14:textId="77777777" w:rsidR="002661BA" w:rsidRDefault="00D972BC">
            <w:pPr>
              <w:textAlignment w:val="bottom"/>
            </w:pPr>
            <w:r>
              <w:rPr>
                <w:rFonts w:ascii="Arial" w:eastAsia="宋体" w:hAnsi="Arial" w:cs="Arial"/>
                <w:color w:val="000000"/>
                <w:sz w:val="18"/>
                <w:szCs w:val="18"/>
              </w:rPr>
              <w:t>Deferred revenue</w:t>
            </w:r>
          </w:p>
        </w:tc>
        <w:tc>
          <w:tcPr>
            <w:tcW w:w="0" w:type="auto"/>
            <w:gridSpan w:val="2"/>
            <w:shd w:val="clear" w:color="auto" w:fill="FFFFFF"/>
            <w:tcMar>
              <w:top w:w="40" w:type="dxa"/>
              <w:left w:w="20" w:type="dxa"/>
              <w:bottom w:w="40" w:type="dxa"/>
              <w:right w:w="0" w:type="dxa"/>
            </w:tcMar>
            <w:vAlign w:val="bottom"/>
          </w:tcPr>
          <w:p w14:paraId="22CFBD50" w14:textId="77777777" w:rsidR="002661BA" w:rsidRDefault="00D972BC">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22CFBD51" w14:textId="77777777" w:rsidR="002661BA" w:rsidRDefault="002661BA">
            <w:pPr>
              <w:jc w:val="right"/>
              <w:rPr>
                <w:rFonts w:ascii="宋体"/>
              </w:rPr>
            </w:pPr>
          </w:p>
        </w:tc>
      </w:tr>
      <w:tr w:rsidR="002661BA" w14:paraId="22CFBD56" w14:textId="77777777">
        <w:tc>
          <w:tcPr>
            <w:tcW w:w="0" w:type="auto"/>
            <w:gridSpan w:val="3"/>
            <w:shd w:val="clear" w:color="auto" w:fill="DBDBDB"/>
            <w:tcMar>
              <w:top w:w="40" w:type="dxa"/>
              <w:left w:w="20" w:type="dxa"/>
              <w:bottom w:w="40" w:type="dxa"/>
              <w:right w:w="20" w:type="dxa"/>
            </w:tcMar>
            <w:vAlign w:val="bottom"/>
          </w:tcPr>
          <w:p w14:paraId="22CFBD53" w14:textId="77777777" w:rsidR="002661BA" w:rsidRDefault="00D972BC">
            <w:pPr>
              <w:textAlignment w:val="bottom"/>
            </w:pPr>
            <w:r>
              <w:rPr>
                <w:rFonts w:ascii="Arial" w:eastAsia="宋体" w:hAnsi="Arial" w:cs="Arial"/>
                <w:color w:val="000000"/>
                <w:sz w:val="18"/>
                <w:szCs w:val="18"/>
              </w:rPr>
              <w:t>Income taxes payable</w:t>
            </w:r>
          </w:p>
        </w:tc>
        <w:tc>
          <w:tcPr>
            <w:tcW w:w="0" w:type="auto"/>
            <w:gridSpan w:val="2"/>
            <w:shd w:val="clear" w:color="auto" w:fill="DBDBDB"/>
            <w:tcMar>
              <w:top w:w="40" w:type="dxa"/>
              <w:left w:w="20" w:type="dxa"/>
              <w:bottom w:w="40" w:type="dxa"/>
              <w:right w:w="0" w:type="dxa"/>
            </w:tcMar>
            <w:vAlign w:val="bottom"/>
          </w:tcPr>
          <w:p w14:paraId="22CFBD54" w14:textId="77777777" w:rsidR="002661BA" w:rsidRDefault="00D972BC">
            <w:pPr>
              <w:jc w:val="right"/>
              <w:textAlignment w:val="bottom"/>
            </w:pPr>
            <w:r>
              <w:rPr>
                <w:rFonts w:ascii="Arial" w:eastAsia="宋体" w:hAnsi="Arial" w:cs="Arial"/>
                <w:color w:val="000000"/>
                <w:sz w:val="18"/>
                <w:szCs w:val="18"/>
              </w:rPr>
              <w:t>35 </w:t>
            </w:r>
          </w:p>
        </w:tc>
        <w:tc>
          <w:tcPr>
            <w:tcW w:w="0" w:type="auto"/>
            <w:shd w:val="clear" w:color="auto" w:fill="DBDBDB"/>
            <w:tcMar>
              <w:top w:w="40" w:type="dxa"/>
              <w:left w:w="0" w:type="dxa"/>
              <w:bottom w:w="40" w:type="dxa"/>
              <w:right w:w="20" w:type="dxa"/>
            </w:tcMar>
            <w:vAlign w:val="bottom"/>
          </w:tcPr>
          <w:p w14:paraId="22CFBD55" w14:textId="77777777" w:rsidR="002661BA" w:rsidRDefault="002661BA">
            <w:pPr>
              <w:jc w:val="right"/>
              <w:rPr>
                <w:rFonts w:ascii="宋体"/>
              </w:rPr>
            </w:pPr>
          </w:p>
        </w:tc>
      </w:tr>
      <w:tr w:rsidR="002661BA" w14:paraId="22CFBD5A" w14:textId="77777777">
        <w:tc>
          <w:tcPr>
            <w:tcW w:w="0" w:type="auto"/>
            <w:gridSpan w:val="3"/>
            <w:shd w:val="clear" w:color="auto" w:fill="FFFFFF"/>
            <w:tcMar>
              <w:top w:w="40" w:type="dxa"/>
              <w:left w:w="20" w:type="dxa"/>
              <w:bottom w:w="40" w:type="dxa"/>
              <w:right w:w="20" w:type="dxa"/>
            </w:tcMar>
            <w:vAlign w:val="bottom"/>
          </w:tcPr>
          <w:p w14:paraId="22CFBD57" w14:textId="77777777" w:rsidR="002661BA" w:rsidRDefault="00D972BC">
            <w:pPr>
              <w:textAlignment w:val="bottom"/>
            </w:pPr>
            <w:r>
              <w:rPr>
                <w:rFonts w:ascii="Arial" w:eastAsia="宋体" w:hAnsi="Arial" w:cs="Arial"/>
                <w:color w:val="000000"/>
                <w:sz w:val="18"/>
                <w:szCs w:val="18"/>
              </w:rPr>
              <w:t>Operating lease liabilities</w:t>
            </w:r>
          </w:p>
        </w:tc>
        <w:tc>
          <w:tcPr>
            <w:tcW w:w="0" w:type="auto"/>
            <w:gridSpan w:val="2"/>
            <w:shd w:val="clear" w:color="auto" w:fill="FFFFFF"/>
            <w:tcMar>
              <w:top w:w="40" w:type="dxa"/>
              <w:left w:w="20" w:type="dxa"/>
              <w:bottom w:w="40" w:type="dxa"/>
              <w:right w:w="0" w:type="dxa"/>
            </w:tcMar>
            <w:vAlign w:val="bottom"/>
          </w:tcPr>
          <w:p w14:paraId="22CFBD58" w14:textId="77777777" w:rsidR="002661BA" w:rsidRDefault="00D972BC">
            <w:pPr>
              <w:jc w:val="right"/>
              <w:textAlignment w:val="bottom"/>
            </w:pPr>
            <w:r>
              <w:rPr>
                <w:rFonts w:ascii="Arial" w:eastAsia="宋体" w:hAnsi="Arial" w:cs="Arial"/>
                <w:color w:val="000000"/>
                <w:sz w:val="18"/>
                <w:szCs w:val="18"/>
              </w:rPr>
              <w:t>11 </w:t>
            </w:r>
          </w:p>
        </w:tc>
        <w:tc>
          <w:tcPr>
            <w:tcW w:w="0" w:type="auto"/>
            <w:shd w:val="clear" w:color="auto" w:fill="FFFFFF"/>
            <w:tcMar>
              <w:top w:w="40" w:type="dxa"/>
              <w:left w:w="0" w:type="dxa"/>
              <w:bottom w:w="40" w:type="dxa"/>
              <w:right w:w="20" w:type="dxa"/>
            </w:tcMar>
            <w:vAlign w:val="bottom"/>
          </w:tcPr>
          <w:p w14:paraId="22CFBD59" w14:textId="77777777" w:rsidR="002661BA" w:rsidRDefault="002661BA">
            <w:pPr>
              <w:jc w:val="right"/>
              <w:rPr>
                <w:rFonts w:ascii="宋体"/>
              </w:rPr>
            </w:pPr>
          </w:p>
        </w:tc>
      </w:tr>
      <w:tr w:rsidR="002661BA" w14:paraId="22CFBD5E" w14:textId="77777777">
        <w:tc>
          <w:tcPr>
            <w:tcW w:w="0" w:type="auto"/>
            <w:gridSpan w:val="3"/>
            <w:shd w:val="clear" w:color="auto" w:fill="DBDBDB"/>
            <w:tcMar>
              <w:top w:w="40" w:type="dxa"/>
              <w:left w:w="20" w:type="dxa"/>
              <w:bottom w:w="40" w:type="dxa"/>
              <w:right w:w="20" w:type="dxa"/>
            </w:tcMar>
            <w:vAlign w:val="bottom"/>
          </w:tcPr>
          <w:p w14:paraId="22CFBD5B" w14:textId="77777777" w:rsidR="002661BA" w:rsidRDefault="00D972BC">
            <w:pPr>
              <w:textAlignment w:val="bottom"/>
            </w:pPr>
            <w:r>
              <w:rPr>
                <w:rFonts w:ascii="Arial" w:eastAsia="宋体" w:hAnsi="Arial" w:cs="Arial"/>
                <w:color w:val="000000"/>
                <w:sz w:val="18"/>
                <w:szCs w:val="18"/>
              </w:rPr>
              <w:t>Deferred tax liabilities</w:t>
            </w:r>
          </w:p>
        </w:tc>
        <w:tc>
          <w:tcPr>
            <w:tcW w:w="0" w:type="auto"/>
            <w:gridSpan w:val="2"/>
            <w:shd w:val="clear" w:color="auto" w:fill="DBDBDB"/>
            <w:tcMar>
              <w:top w:w="40" w:type="dxa"/>
              <w:left w:w="20" w:type="dxa"/>
              <w:bottom w:w="40" w:type="dxa"/>
              <w:right w:w="0" w:type="dxa"/>
            </w:tcMar>
            <w:vAlign w:val="bottom"/>
          </w:tcPr>
          <w:p w14:paraId="22CFBD5C" w14:textId="77777777" w:rsidR="002661BA" w:rsidRDefault="00D972BC">
            <w:pPr>
              <w:jc w:val="right"/>
              <w:textAlignment w:val="bottom"/>
            </w:pPr>
            <w:r>
              <w:rPr>
                <w:rFonts w:ascii="Arial" w:eastAsia="宋体" w:hAnsi="Arial" w:cs="Arial"/>
                <w:color w:val="000000"/>
                <w:sz w:val="18"/>
                <w:szCs w:val="18"/>
              </w:rPr>
              <w:t>278 </w:t>
            </w:r>
          </w:p>
        </w:tc>
        <w:tc>
          <w:tcPr>
            <w:tcW w:w="0" w:type="auto"/>
            <w:shd w:val="clear" w:color="auto" w:fill="DBDBDB"/>
            <w:tcMar>
              <w:top w:w="40" w:type="dxa"/>
              <w:left w:w="0" w:type="dxa"/>
              <w:bottom w:w="40" w:type="dxa"/>
              <w:right w:w="20" w:type="dxa"/>
            </w:tcMar>
            <w:vAlign w:val="bottom"/>
          </w:tcPr>
          <w:p w14:paraId="22CFBD5D" w14:textId="77777777" w:rsidR="002661BA" w:rsidRDefault="002661BA">
            <w:pPr>
              <w:jc w:val="right"/>
              <w:rPr>
                <w:rFonts w:ascii="宋体"/>
              </w:rPr>
            </w:pPr>
          </w:p>
        </w:tc>
      </w:tr>
      <w:tr w:rsidR="002661BA" w14:paraId="22CFBD62" w14:textId="77777777">
        <w:tc>
          <w:tcPr>
            <w:tcW w:w="0" w:type="auto"/>
            <w:gridSpan w:val="3"/>
            <w:shd w:val="clear" w:color="auto" w:fill="FFFFFF"/>
            <w:tcMar>
              <w:top w:w="40" w:type="dxa"/>
              <w:left w:w="20" w:type="dxa"/>
              <w:bottom w:w="40" w:type="dxa"/>
              <w:right w:w="20" w:type="dxa"/>
            </w:tcMar>
            <w:vAlign w:val="bottom"/>
          </w:tcPr>
          <w:p w14:paraId="22CFBD5F" w14:textId="77777777" w:rsidR="002661BA" w:rsidRDefault="00D972BC">
            <w:pPr>
              <w:textAlignment w:val="bottom"/>
            </w:pPr>
            <w:r>
              <w:rPr>
                <w:rFonts w:ascii="Arial" w:eastAsia="宋体" w:hAnsi="Arial" w:cs="Arial"/>
                <w:color w:val="000000"/>
                <w:sz w:val="18"/>
                <w:szCs w:val="18"/>
              </w:rPr>
              <w:t>Other liabilities</w:t>
            </w:r>
          </w:p>
        </w:tc>
        <w:tc>
          <w:tcPr>
            <w:tcW w:w="0" w:type="auto"/>
            <w:gridSpan w:val="2"/>
            <w:shd w:val="clear" w:color="auto" w:fill="FFFFFF"/>
            <w:tcMar>
              <w:top w:w="40" w:type="dxa"/>
              <w:left w:w="20" w:type="dxa"/>
              <w:bottom w:w="40" w:type="dxa"/>
              <w:right w:w="0" w:type="dxa"/>
            </w:tcMar>
            <w:vAlign w:val="bottom"/>
          </w:tcPr>
          <w:p w14:paraId="22CFBD60" w14:textId="77777777" w:rsidR="002661BA" w:rsidRDefault="00D972BC">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22CFBD61" w14:textId="77777777" w:rsidR="002661BA" w:rsidRDefault="002661BA">
            <w:pPr>
              <w:jc w:val="right"/>
              <w:rPr>
                <w:rFonts w:ascii="宋体"/>
              </w:rPr>
            </w:pPr>
          </w:p>
        </w:tc>
      </w:tr>
      <w:tr w:rsidR="002661BA" w14:paraId="22CFBD67" w14:textId="77777777">
        <w:tc>
          <w:tcPr>
            <w:tcW w:w="0" w:type="auto"/>
            <w:gridSpan w:val="3"/>
            <w:shd w:val="clear" w:color="auto" w:fill="DBDBDB"/>
            <w:tcMar>
              <w:top w:w="40" w:type="dxa"/>
              <w:left w:w="20" w:type="dxa"/>
              <w:bottom w:w="40" w:type="dxa"/>
              <w:right w:w="20" w:type="dxa"/>
            </w:tcMar>
            <w:vAlign w:val="bottom"/>
          </w:tcPr>
          <w:p w14:paraId="22CFBD63" w14:textId="77777777" w:rsidR="002661BA" w:rsidRDefault="00D972BC">
            <w:pPr>
              <w:textAlignment w:val="bottom"/>
            </w:pPr>
            <w:r>
              <w:rPr>
                <w:rFonts w:ascii="Arial" w:eastAsia="宋体" w:hAnsi="Arial" w:cs="Arial"/>
                <w:color w:val="000000"/>
                <w:sz w:val="18"/>
                <w:szCs w:val="18"/>
              </w:rPr>
              <w:t xml:space="preserve">Total liabilities classified as discontinued </w:t>
            </w:r>
            <w:r>
              <w:rPr>
                <w:rFonts w:ascii="Arial" w:eastAsia="宋体" w:hAnsi="Arial" w:cs="Arial"/>
                <w:color w:val="000000"/>
                <w:sz w:val="18"/>
                <w:szCs w:val="18"/>
              </w:rPr>
              <w:t>operations in the consolidated balance sheet</w:t>
            </w: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22CFBD6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22CFBD65" w14:textId="77777777" w:rsidR="002661BA" w:rsidRDefault="00D972BC">
            <w:pPr>
              <w:jc w:val="right"/>
              <w:textAlignment w:val="bottom"/>
            </w:pPr>
            <w:r>
              <w:rPr>
                <w:rFonts w:ascii="Arial" w:eastAsia="宋体" w:hAnsi="Arial" w:cs="Arial"/>
                <w:color w:val="000000"/>
                <w:sz w:val="18"/>
                <w:szCs w:val="18"/>
              </w:rPr>
              <w:t>452 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22CFBD66" w14:textId="77777777" w:rsidR="002661BA" w:rsidRDefault="002661BA">
            <w:pPr>
              <w:jc w:val="right"/>
              <w:rPr>
                <w:rFonts w:ascii="宋体"/>
              </w:rPr>
            </w:pPr>
          </w:p>
        </w:tc>
      </w:tr>
    </w:tbl>
    <w:p w14:paraId="22CFBD68" w14:textId="77777777" w:rsidR="002661BA" w:rsidRDefault="00D972BC">
      <w:pPr>
        <w:jc w:val="center"/>
      </w:pPr>
      <w:r>
        <w:rPr>
          <w:rFonts w:ascii="Arial" w:eastAsia="宋体" w:hAnsi="Arial" w:cs="Arial"/>
          <w:color w:val="000000"/>
          <w:sz w:val="18"/>
          <w:szCs w:val="18"/>
        </w:rPr>
        <w:t>76</w:t>
      </w:r>
    </w:p>
    <w:p w14:paraId="22CFBD69" w14:textId="77777777" w:rsidR="002661BA" w:rsidRDefault="00D972BC">
      <w:r>
        <w:pict w14:anchorId="22CFE4FD">
          <v:rect id="_x0000_i1100" style="width:415.3pt;height:1.5pt" o:hralign="center" o:hrstd="t" o:hr="t" fillcolor="#a0a0a0" stroked="f"/>
        </w:pict>
      </w:r>
    </w:p>
    <w:p w14:paraId="22CFBD6A" w14:textId="77777777" w:rsidR="002661BA" w:rsidRDefault="00D972BC">
      <w:hyperlink r:id="rId111" w:anchor="id0d7a71b05ce452ea9fdb54f3cb359c7_7" w:history="1">
        <w:r>
          <w:rPr>
            <w:rStyle w:val="a5"/>
            <w:rFonts w:ascii="Arial" w:eastAsia="宋体" w:hAnsi="Arial" w:cs="Arial"/>
            <w:sz w:val="18"/>
            <w:szCs w:val="18"/>
          </w:rPr>
          <w:t>Table of Contents</w:t>
        </w:r>
      </w:hyperlink>
    </w:p>
    <w:p w14:paraId="22CFBD6B" w14:textId="77777777" w:rsidR="002661BA" w:rsidRDefault="00D972BC">
      <w:pPr>
        <w:jc w:val="center"/>
      </w:pPr>
      <w:r>
        <w:rPr>
          <w:rFonts w:ascii="Arial" w:eastAsia="宋体" w:hAnsi="Arial" w:cs="Arial"/>
          <w:b/>
          <w:bCs/>
          <w:color w:val="000000"/>
          <w:sz w:val="20"/>
          <w:szCs w:val="20"/>
        </w:rPr>
        <w:t>eBay Inc.</w:t>
      </w:r>
    </w:p>
    <w:p w14:paraId="22CFBD6C"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BD6D" w14:textId="77777777" w:rsidR="002661BA" w:rsidRDefault="00D972BC">
      <w:pPr>
        <w:ind w:firstLine="270"/>
        <w:jc w:val="both"/>
      </w:pPr>
      <w:r>
        <w:rPr>
          <w:rFonts w:ascii="Arial" w:eastAsia="宋体" w:hAnsi="Arial" w:cs="Arial"/>
          <w:b/>
          <w:bCs/>
          <w:i/>
          <w:iCs/>
          <w:color w:val="000000"/>
          <w:sz w:val="20"/>
          <w:szCs w:val="20"/>
        </w:rPr>
        <w:t>StubHub</w:t>
      </w:r>
    </w:p>
    <w:p w14:paraId="22CFBD6E" w14:textId="77777777" w:rsidR="002661BA" w:rsidRDefault="002661BA">
      <w:pPr>
        <w:ind w:firstLine="540"/>
        <w:jc w:val="both"/>
      </w:pPr>
    </w:p>
    <w:p w14:paraId="22CFBD6F" w14:textId="77777777" w:rsidR="002661BA" w:rsidRDefault="00D972BC">
      <w:pPr>
        <w:spacing w:after="120"/>
        <w:ind w:firstLine="540"/>
        <w:jc w:val="both"/>
      </w:pPr>
      <w:r>
        <w:rPr>
          <w:rFonts w:ascii="Arial" w:eastAsia="宋体" w:hAnsi="Arial" w:cs="Arial"/>
          <w:color w:val="000000"/>
          <w:sz w:val="20"/>
          <w:szCs w:val="20"/>
        </w:rPr>
        <w:t xml:space="preserve">The </w:t>
      </w:r>
      <w:r>
        <w:rPr>
          <w:rFonts w:ascii="Arial" w:eastAsia="宋体" w:hAnsi="Arial" w:cs="Arial"/>
          <w:color w:val="000000"/>
          <w:sz w:val="20"/>
          <w:szCs w:val="20"/>
        </w:rPr>
        <w:t>financial results of StubHub are presented as income from discontinued operations, net of income taxes on our consolidated statement of income. The following table presents the financial results of StubHub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058"/>
        <w:gridCol w:w="39"/>
        <w:gridCol w:w="36"/>
        <w:gridCol w:w="36"/>
        <w:gridCol w:w="36"/>
        <w:gridCol w:w="122"/>
        <w:gridCol w:w="800"/>
        <w:gridCol w:w="37"/>
        <w:gridCol w:w="36"/>
        <w:gridCol w:w="36"/>
        <w:gridCol w:w="36"/>
        <w:gridCol w:w="121"/>
        <w:gridCol w:w="800"/>
        <w:gridCol w:w="36"/>
        <w:gridCol w:w="36"/>
        <w:gridCol w:w="36"/>
        <w:gridCol w:w="36"/>
        <w:gridCol w:w="121"/>
        <w:gridCol w:w="802"/>
        <w:gridCol w:w="36"/>
      </w:tblGrid>
      <w:tr w:rsidR="002661BA" w14:paraId="22CFBD85" w14:textId="77777777">
        <w:tc>
          <w:tcPr>
            <w:tcW w:w="50" w:type="pct"/>
            <w:shd w:val="clear" w:color="auto" w:fill="auto"/>
            <w:vAlign w:val="bottom"/>
          </w:tcPr>
          <w:p w14:paraId="22CFBD70" w14:textId="77777777" w:rsidR="002661BA" w:rsidRDefault="002661BA">
            <w:pPr>
              <w:rPr>
                <w:rFonts w:ascii="宋体"/>
              </w:rPr>
            </w:pPr>
          </w:p>
        </w:tc>
        <w:tc>
          <w:tcPr>
            <w:tcW w:w="3132" w:type="pct"/>
            <w:shd w:val="clear" w:color="auto" w:fill="auto"/>
            <w:vAlign w:val="bottom"/>
          </w:tcPr>
          <w:p w14:paraId="22CFBD71" w14:textId="77777777" w:rsidR="002661BA" w:rsidRDefault="002661BA">
            <w:pPr>
              <w:rPr>
                <w:rFonts w:ascii="宋体"/>
              </w:rPr>
            </w:pPr>
          </w:p>
        </w:tc>
        <w:tc>
          <w:tcPr>
            <w:tcW w:w="5" w:type="pct"/>
            <w:shd w:val="clear" w:color="auto" w:fill="auto"/>
            <w:vAlign w:val="bottom"/>
          </w:tcPr>
          <w:p w14:paraId="22CFBD72" w14:textId="77777777" w:rsidR="002661BA" w:rsidRDefault="002661BA">
            <w:pPr>
              <w:rPr>
                <w:rFonts w:ascii="宋体"/>
              </w:rPr>
            </w:pPr>
          </w:p>
        </w:tc>
        <w:tc>
          <w:tcPr>
            <w:tcW w:w="0" w:type="auto"/>
            <w:shd w:val="clear" w:color="auto" w:fill="auto"/>
            <w:vAlign w:val="bottom"/>
          </w:tcPr>
          <w:p w14:paraId="22CFBD73" w14:textId="77777777" w:rsidR="002661BA" w:rsidRDefault="002661BA">
            <w:pPr>
              <w:rPr>
                <w:rFonts w:ascii="宋体"/>
                <w:vanish/>
              </w:rPr>
            </w:pPr>
          </w:p>
        </w:tc>
        <w:tc>
          <w:tcPr>
            <w:tcW w:w="0" w:type="auto"/>
            <w:shd w:val="clear" w:color="auto" w:fill="auto"/>
            <w:vAlign w:val="bottom"/>
          </w:tcPr>
          <w:p w14:paraId="22CFBD74" w14:textId="77777777" w:rsidR="002661BA" w:rsidRDefault="002661BA">
            <w:pPr>
              <w:rPr>
                <w:rFonts w:ascii="宋体"/>
                <w:vanish/>
              </w:rPr>
            </w:pPr>
          </w:p>
        </w:tc>
        <w:tc>
          <w:tcPr>
            <w:tcW w:w="0" w:type="auto"/>
            <w:shd w:val="clear" w:color="auto" w:fill="auto"/>
            <w:vAlign w:val="bottom"/>
          </w:tcPr>
          <w:p w14:paraId="22CFBD75" w14:textId="77777777" w:rsidR="002661BA" w:rsidRDefault="002661BA">
            <w:pPr>
              <w:rPr>
                <w:rFonts w:ascii="宋体"/>
                <w:vanish/>
              </w:rPr>
            </w:pPr>
          </w:p>
        </w:tc>
        <w:tc>
          <w:tcPr>
            <w:tcW w:w="50" w:type="pct"/>
            <w:shd w:val="clear" w:color="auto" w:fill="auto"/>
            <w:vAlign w:val="bottom"/>
          </w:tcPr>
          <w:p w14:paraId="22CFBD76" w14:textId="77777777" w:rsidR="002661BA" w:rsidRDefault="002661BA">
            <w:pPr>
              <w:rPr>
                <w:rFonts w:ascii="宋体"/>
              </w:rPr>
            </w:pPr>
          </w:p>
        </w:tc>
        <w:tc>
          <w:tcPr>
            <w:tcW w:w="529" w:type="pct"/>
            <w:shd w:val="clear" w:color="auto" w:fill="auto"/>
            <w:vAlign w:val="bottom"/>
          </w:tcPr>
          <w:p w14:paraId="22CFBD77" w14:textId="77777777" w:rsidR="002661BA" w:rsidRDefault="002661BA">
            <w:pPr>
              <w:rPr>
                <w:rFonts w:ascii="宋体"/>
              </w:rPr>
            </w:pPr>
          </w:p>
        </w:tc>
        <w:tc>
          <w:tcPr>
            <w:tcW w:w="5" w:type="pct"/>
            <w:shd w:val="clear" w:color="auto" w:fill="auto"/>
            <w:vAlign w:val="bottom"/>
          </w:tcPr>
          <w:p w14:paraId="22CFBD78" w14:textId="77777777" w:rsidR="002661BA" w:rsidRDefault="002661BA">
            <w:pPr>
              <w:rPr>
                <w:rFonts w:ascii="宋体"/>
              </w:rPr>
            </w:pPr>
          </w:p>
        </w:tc>
        <w:tc>
          <w:tcPr>
            <w:tcW w:w="5" w:type="pct"/>
            <w:shd w:val="clear" w:color="auto" w:fill="auto"/>
            <w:vAlign w:val="bottom"/>
          </w:tcPr>
          <w:p w14:paraId="22CFBD79" w14:textId="77777777" w:rsidR="002661BA" w:rsidRDefault="002661BA">
            <w:pPr>
              <w:rPr>
                <w:rFonts w:ascii="宋体"/>
              </w:rPr>
            </w:pPr>
          </w:p>
        </w:tc>
        <w:tc>
          <w:tcPr>
            <w:tcW w:w="19" w:type="pct"/>
            <w:shd w:val="clear" w:color="auto" w:fill="auto"/>
            <w:vAlign w:val="bottom"/>
          </w:tcPr>
          <w:p w14:paraId="22CFBD7A" w14:textId="77777777" w:rsidR="002661BA" w:rsidRDefault="002661BA">
            <w:pPr>
              <w:rPr>
                <w:rFonts w:ascii="宋体"/>
              </w:rPr>
            </w:pPr>
          </w:p>
        </w:tc>
        <w:tc>
          <w:tcPr>
            <w:tcW w:w="5" w:type="pct"/>
            <w:shd w:val="clear" w:color="auto" w:fill="auto"/>
            <w:vAlign w:val="bottom"/>
          </w:tcPr>
          <w:p w14:paraId="22CFBD7B" w14:textId="77777777" w:rsidR="002661BA" w:rsidRDefault="002661BA">
            <w:pPr>
              <w:rPr>
                <w:rFonts w:ascii="宋体"/>
              </w:rPr>
            </w:pPr>
          </w:p>
        </w:tc>
        <w:tc>
          <w:tcPr>
            <w:tcW w:w="50" w:type="pct"/>
            <w:shd w:val="clear" w:color="auto" w:fill="auto"/>
            <w:vAlign w:val="bottom"/>
          </w:tcPr>
          <w:p w14:paraId="22CFBD7C" w14:textId="77777777" w:rsidR="002661BA" w:rsidRDefault="002661BA">
            <w:pPr>
              <w:rPr>
                <w:rFonts w:ascii="宋体"/>
              </w:rPr>
            </w:pPr>
          </w:p>
        </w:tc>
        <w:tc>
          <w:tcPr>
            <w:tcW w:w="529" w:type="pct"/>
            <w:shd w:val="clear" w:color="auto" w:fill="auto"/>
            <w:vAlign w:val="bottom"/>
          </w:tcPr>
          <w:p w14:paraId="22CFBD7D" w14:textId="77777777" w:rsidR="002661BA" w:rsidRDefault="002661BA">
            <w:pPr>
              <w:rPr>
                <w:rFonts w:ascii="宋体"/>
              </w:rPr>
            </w:pPr>
          </w:p>
        </w:tc>
        <w:tc>
          <w:tcPr>
            <w:tcW w:w="5" w:type="pct"/>
            <w:shd w:val="clear" w:color="auto" w:fill="auto"/>
            <w:vAlign w:val="bottom"/>
          </w:tcPr>
          <w:p w14:paraId="22CFBD7E" w14:textId="77777777" w:rsidR="002661BA" w:rsidRDefault="002661BA">
            <w:pPr>
              <w:rPr>
                <w:rFonts w:ascii="宋体"/>
              </w:rPr>
            </w:pPr>
          </w:p>
        </w:tc>
        <w:tc>
          <w:tcPr>
            <w:tcW w:w="5" w:type="pct"/>
            <w:shd w:val="clear" w:color="auto" w:fill="auto"/>
            <w:vAlign w:val="bottom"/>
          </w:tcPr>
          <w:p w14:paraId="22CFBD7F" w14:textId="77777777" w:rsidR="002661BA" w:rsidRDefault="002661BA">
            <w:pPr>
              <w:rPr>
                <w:rFonts w:ascii="宋体"/>
              </w:rPr>
            </w:pPr>
          </w:p>
        </w:tc>
        <w:tc>
          <w:tcPr>
            <w:tcW w:w="19" w:type="pct"/>
            <w:shd w:val="clear" w:color="auto" w:fill="auto"/>
            <w:vAlign w:val="bottom"/>
          </w:tcPr>
          <w:p w14:paraId="22CFBD80" w14:textId="77777777" w:rsidR="002661BA" w:rsidRDefault="002661BA">
            <w:pPr>
              <w:rPr>
                <w:rFonts w:ascii="宋体"/>
              </w:rPr>
            </w:pPr>
          </w:p>
        </w:tc>
        <w:tc>
          <w:tcPr>
            <w:tcW w:w="5" w:type="pct"/>
            <w:shd w:val="clear" w:color="auto" w:fill="auto"/>
            <w:vAlign w:val="bottom"/>
          </w:tcPr>
          <w:p w14:paraId="22CFBD81" w14:textId="77777777" w:rsidR="002661BA" w:rsidRDefault="002661BA">
            <w:pPr>
              <w:rPr>
                <w:rFonts w:ascii="宋体"/>
              </w:rPr>
            </w:pPr>
          </w:p>
        </w:tc>
        <w:tc>
          <w:tcPr>
            <w:tcW w:w="50" w:type="pct"/>
            <w:shd w:val="clear" w:color="auto" w:fill="auto"/>
            <w:vAlign w:val="bottom"/>
          </w:tcPr>
          <w:p w14:paraId="22CFBD82" w14:textId="77777777" w:rsidR="002661BA" w:rsidRDefault="002661BA">
            <w:pPr>
              <w:rPr>
                <w:rFonts w:ascii="宋体"/>
              </w:rPr>
            </w:pPr>
          </w:p>
        </w:tc>
        <w:tc>
          <w:tcPr>
            <w:tcW w:w="530" w:type="pct"/>
            <w:shd w:val="clear" w:color="auto" w:fill="auto"/>
            <w:vAlign w:val="bottom"/>
          </w:tcPr>
          <w:p w14:paraId="22CFBD83" w14:textId="77777777" w:rsidR="002661BA" w:rsidRDefault="002661BA">
            <w:pPr>
              <w:rPr>
                <w:rFonts w:ascii="宋体"/>
              </w:rPr>
            </w:pPr>
          </w:p>
        </w:tc>
        <w:tc>
          <w:tcPr>
            <w:tcW w:w="5" w:type="pct"/>
            <w:shd w:val="clear" w:color="auto" w:fill="auto"/>
            <w:vAlign w:val="bottom"/>
          </w:tcPr>
          <w:p w14:paraId="22CFBD84" w14:textId="77777777" w:rsidR="002661BA" w:rsidRDefault="002661BA">
            <w:pPr>
              <w:rPr>
                <w:rFonts w:ascii="宋体"/>
              </w:rPr>
            </w:pPr>
          </w:p>
        </w:tc>
      </w:tr>
      <w:tr w:rsidR="002661BA" w14:paraId="22CFBD8F" w14:textId="77777777">
        <w:tc>
          <w:tcPr>
            <w:tcW w:w="0" w:type="auto"/>
            <w:gridSpan w:val="3"/>
            <w:shd w:val="clear" w:color="auto" w:fill="auto"/>
            <w:tcMar>
              <w:top w:w="40" w:type="dxa"/>
              <w:left w:w="20" w:type="dxa"/>
              <w:bottom w:w="40" w:type="dxa"/>
              <w:right w:w="20" w:type="dxa"/>
            </w:tcMar>
            <w:vAlign w:val="bottom"/>
          </w:tcPr>
          <w:p w14:paraId="22CFBD86" w14:textId="77777777" w:rsidR="002661BA" w:rsidRDefault="00D972BC">
            <w:pPr>
              <w:textAlignment w:val="bottom"/>
            </w:pPr>
            <w:r>
              <w:rPr>
                <w:rFonts w:ascii="Arial" w:eastAsia="宋体" w:hAnsi="Arial" w:cs="Arial"/>
                <w:b/>
                <w:bCs/>
                <w:color w:val="000000"/>
                <w:sz w:val="18"/>
                <w:szCs w:val="18"/>
              </w:rPr>
              <w:t> </w:t>
            </w:r>
          </w:p>
        </w:tc>
        <w:tc>
          <w:tcPr>
            <w:tcW w:w="0" w:type="auto"/>
            <w:shd w:val="clear" w:color="auto" w:fill="auto"/>
            <w:vAlign w:val="bottom"/>
          </w:tcPr>
          <w:p w14:paraId="22CFBD87" w14:textId="77777777" w:rsidR="002661BA" w:rsidRDefault="002661BA">
            <w:pPr>
              <w:rPr>
                <w:rFonts w:ascii="宋体"/>
                <w:vanish/>
              </w:rPr>
            </w:pPr>
          </w:p>
        </w:tc>
        <w:tc>
          <w:tcPr>
            <w:tcW w:w="0" w:type="auto"/>
            <w:gridSpan w:val="11"/>
            <w:shd w:val="clear" w:color="auto" w:fill="auto"/>
            <w:tcMar>
              <w:top w:w="40" w:type="dxa"/>
              <w:left w:w="20" w:type="dxa"/>
              <w:bottom w:w="40" w:type="dxa"/>
              <w:right w:w="20" w:type="dxa"/>
            </w:tcMar>
            <w:vAlign w:val="bottom"/>
          </w:tcPr>
          <w:p w14:paraId="22CFBD88" w14:textId="77777777" w:rsidR="002661BA" w:rsidRDefault="00D972BC">
            <w:pPr>
              <w:jc w:val="center"/>
              <w:textAlignment w:val="bottom"/>
            </w:pPr>
            <w:r>
              <w:rPr>
                <w:rFonts w:ascii="Arial" w:eastAsia="宋体" w:hAnsi="Arial" w:cs="Arial"/>
                <w:b/>
                <w:bCs/>
                <w:color w:val="000000"/>
                <w:sz w:val="17"/>
                <w:szCs w:val="17"/>
              </w:rPr>
              <w:t xml:space="preserve">Year </w:t>
            </w:r>
            <w:r>
              <w:rPr>
                <w:rFonts w:ascii="Arial" w:eastAsia="宋体" w:hAnsi="Arial" w:cs="Arial"/>
                <w:b/>
                <w:bCs/>
                <w:color w:val="000000"/>
                <w:sz w:val="17"/>
                <w:szCs w:val="17"/>
              </w:rPr>
              <w:t>ended December 31,</w:t>
            </w:r>
          </w:p>
        </w:tc>
        <w:tc>
          <w:tcPr>
            <w:tcW w:w="0" w:type="auto"/>
            <w:shd w:val="clear" w:color="auto" w:fill="auto"/>
            <w:vAlign w:val="bottom"/>
          </w:tcPr>
          <w:p w14:paraId="22CFBD89" w14:textId="77777777" w:rsidR="002661BA" w:rsidRDefault="002661BA">
            <w:pPr>
              <w:rPr>
                <w:rFonts w:ascii="宋体"/>
              </w:rPr>
            </w:pPr>
          </w:p>
        </w:tc>
        <w:tc>
          <w:tcPr>
            <w:tcW w:w="0" w:type="auto"/>
            <w:shd w:val="clear" w:color="auto" w:fill="auto"/>
            <w:vAlign w:val="bottom"/>
          </w:tcPr>
          <w:p w14:paraId="22CFBD8A" w14:textId="77777777" w:rsidR="002661BA" w:rsidRDefault="002661BA">
            <w:pPr>
              <w:rPr>
                <w:rFonts w:ascii="宋体"/>
              </w:rPr>
            </w:pPr>
          </w:p>
        </w:tc>
        <w:tc>
          <w:tcPr>
            <w:tcW w:w="0" w:type="auto"/>
            <w:shd w:val="clear" w:color="auto" w:fill="auto"/>
            <w:vAlign w:val="bottom"/>
          </w:tcPr>
          <w:p w14:paraId="22CFBD8B" w14:textId="77777777" w:rsidR="002661BA" w:rsidRDefault="002661BA">
            <w:pPr>
              <w:rPr>
                <w:rFonts w:ascii="宋体"/>
              </w:rPr>
            </w:pPr>
          </w:p>
        </w:tc>
        <w:tc>
          <w:tcPr>
            <w:tcW w:w="0" w:type="auto"/>
            <w:shd w:val="clear" w:color="auto" w:fill="auto"/>
            <w:vAlign w:val="bottom"/>
          </w:tcPr>
          <w:p w14:paraId="22CFBD8C" w14:textId="77777777" w:rsidR="002661BA" w:rsidRDefault="002661BA">
            <w:pPr>
              <w:rPr>
                <w:rFonts w:ascii="宋体"/>
              </w:rPr>
            </w:pPr>
          </w:p>
        </w:tc>
        <w:tc>
          <w:tcPr>
            <w:tcW w:w="0" w:type="auto"/>
            <w:shd w:val="clear" w:color="auto" w:fill="auto"/>
            <w:vAlign w:val="bottom"/>
          </w:tcPr>
          <w:p w14:paraId="22CFBD8D" w14:textId="77777777" w:rsidR="002661BA" w:rsidRDefault="002661BA">
            <w:pPr>
              <w:rPr>
                <w:rFonts w:ascii="宋体"/>
              </w:rPr>
            </w:pPr>
          </w:p>
        </w:tc>
        <w:tc>
          <w:tcPr>
            <w:tcW w:w="0" w:type="auto"/>
            <w:shd w:val="clear" w:color="auto" w:fill="auto"/>
            <w:vAlign w:val="bottom"/>
          </w:tcPr>
          <w:p w14:paraId="22CFBD8E" w14:textId="77777777" w:rsidR="002661BA" w:rsidRDefault="002661BA">
            <w:pPr>
              <w:rPr>
                <w:rFonts w:ascii="宋体"/>
              </w:rPr>
            </w:pPr>
          </w:p>
        </w:tc>
      </w:tr>
      <w:tr w:rsidR="002661BA" w14:paraId="22CFBD99" w14:textId="77777777">
        <w:tc>
          <w:tcPr>
            <w:tcW w:w="0" w:type="auto"/>
            <w:gridSpan w:val="3"/>
            <w:shd w:val="clear" w:color="auto" w:fill="auto"/>
            <w:tcMar>
              <w:top w:w="40" w:type="dxa"/>
              <w:left w:w="20" w:type="dxa"/>
              <w:bottom w:w="40" w:type="dxa"/>
              <w:right w:w="20" w:type="dxa"/>
            </w:tcMar>
            <w:vAlign w:val="bottom"/>
          </w:tcPr>
          <w:p w14:paraId="22CFBD90" w14:textId="77777777" w:rsidR="002661BA" w:rsidRDefault="00D972BC">
            <w:pPr>
              <w:textAlignment w:val="bottom"/>
            </w:pPr>
            <w:r>
              <w:rPr>
                <w:rFonts w:ascii="Arial" w:eastAsia="宋体" w:hAnsi="Arial" w:cs="Arial"/>
                <w:b/>
                <w:bCs/>
                <w:color w:val="000000"/>
                <w:sz w:val="18"/>
                <w:szCs w:val="18"/>
              </w:rPr>
              <w:t> </w:t>
            </w:r>
          </w:p>
        </w:tc>
        <w:tc>
          <w:tcPr>
            <w:tcW w:w="0" w:type="auto"/>
            <w:shd w:val="clear" w:color="auto" w:fill="auto"/>
            <w:vAlign w:val="bottom"/>
          </w:tcPr>
          <w:p w14:paraId="22CFBD91" w14:textId="77777777" w:rsidR="002661BA" w:rsidRDefault="002661BA">
            <w:pPr>
              <w:rPr>
                <w:rFonts w:ascii="宋体"/>
                <w:vanish/>
              </w:rPr>
            </w:pPr>
          </w:p>
        </w:tc>
        <w:tc>
          <w:tcPr>
            <w:tcW w:w="0" w:type="auto"/>
            <w:shd w:val="clear" w:color="auto" w:fill="auto"/>
            <w:vAlign w:val="bottom"/>
          </w:tcPr>
          <w:p w14:paraId="22CFBD92" w14:textId="77777777" w:rsidR="002661BA" w:rsidRDefault="002661BA">
            <w:pPr>
              <w:rPr>
                <w:rFonts w:ascii="宋体"/>
                <w:vanish/>
              </w:rPr>
            </w:pPr>
          </w:p>
        </w:tc>
        <w:tc>
          <w:tcPr>
            <w:tcW w:w="0" w:type="auto"/>
            <w:shd w:val="clear" w:color="auto" w:fill="auto"/>
            <w:vAlign w:val="bottom"/>
          </w:tcPr>
          <w:p w14:paraId="22CFBD93" w14:textId="77777777" w:rsidR="002661BA" w:rsidRDefault="002661BA">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D94"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D95"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D96" w14:textId="77777777" w:rsidR="002661BA" w:rsidRDefault="00D972BC">
            <w:pPr>
              <w:jc w:val="center"/>
              <w:textAlignment w:val="bottom"/>
            </w:pPr>
            <w:r>
              <w:rPr>
                <w:rFonts w:ascii="Arial" w:eastAsia="宋体" w:hAnsi="Arial" w:cs="Arial"/>
                <w:b/>
                <w:bCs/>
                <w:color w:val="000000"/>
                <w:sz w:val="17"/>
                <w:szCs w:val="17"/>
              </w:rPr>
              <w:t xml:space="preserve">2020 </w:t>
            </w:r>
            <w:r>
              <w:rPr>
                <w:rFonts w:ascii="Arial" w:eastAsia="宋体" w:hAnsi="Arial" w:cs="Arial"/>
                <w:b/>
                <w:bCs/>
                <w:color w:val="000000"/>
                <w:sz w:val="11"/>
                <w:szCs w:val="11"/>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D97"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D98"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BDA9" w14:textId="77777777">
        <w:tc>
          <w:tcPr>
            <w:tcW w:w="0" w:type="auto"/>
            <w:gridSpan w:val="3"/>
            <w:shd w:val="clear" w:color="auto" w:fill="DBDBDB"/>
            <w:tcMar>
              <w:top w:w="40" w:type="dxa"/>
              <w:left w:w="20" w:type="dxa"/>
              <w:bottom w:w="40" w:type="dxa"/>
              <w:right w:w="20" w:type="dxa"/>
            </w:tcMar>
            <w:vAlign w:val="bottom"/>
          </w:tcPr>
          <w:p w14:paraId="22CFBD9A" w14:textId="77777777" w:rsidR="002661BA" w:rsidRDefault="00D972BC">
            <w:pPr>
              <w:textAlignment w:val="bottom"/>
            </w:pPr>
            <w:r>
              <w:rPr>
                <w:rFonts w:ascii="Arial" w:eastAsia="宋体" w:hAnsi="Arial" w:cs="Arial"/>
                <w:color w:val="000000"/>
                <w:sz w:val="18"/>
                <w:szCs w:val="18"/>
              </w:rPr>
              <w:t>Net revenues</w:t>
            </w:r>
          </w:p>
        </w:tc>
        <w:tc>
          <w:tcPr>
            <w:tcW w:w="0" w:type="auto"/>
            <w:shd w:val="clear" w:color="auto" w:fill="auto"/>
            <w:vAlign w:val="bottom"/>
          </w:tcPr>
          <w:p w14:paraId="22CFBD9B" w14:textId="77777777" w:rsidR="002661BA" w:rsidRDefault="002661BA">
            <w:pPr>
              <w:rPr>
                <w:rFonts w:ascii="宋体"/>
                <w:vanish/>
              </w:rPr>
            </w:pPr>
          </w:p>
        </w:tc>
        <w:tc>
          <w:tcPr>
            <w:tcW w:w="0" w:type="auto"/>
            <w:shd w:val="clear" w:color="auto" w:fill="auto"/>
            <w:vAlign w:val="bottom"/>
          </w:tcPr>
          <w:p w14:paraId="22CFBD9C" w14:textId="77777777" w:rsidR="002661BA" w:rsidRDefault="002661BA">
            <w:pPr>
              <w:rPr>
                <w:rFonts w:ascii="宋体"/>
                <w:vanish/>
              </w:rPr>
            </w:pPr>
          </w:p>
        </w:tc>
        <w:tc>
          <w:tcPr>
            <w:tcW w:w="0" w:type="auto"/>
            <w:shd w:val="clear" w:color="auto" w:fill="auto"/>
            <w:vAlign w:val="bottom"/>
          </w:tcPr>
          <w:p w14:paraId="22CFBD9D" w14:textId="77777777" w:rsidR="002661BA" w:rsidRDefault="002661BA">
            <w:pPr>
              <w:rPr>
                <w:rFonts w:ascii="宋体"/>
                <w:vanish/>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BD9E"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BD9F"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DA0"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DA1"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BDA2"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BDA3" w14:textId="77777777" w:rsidR="002661BA" w:rsidRDefault="00D972BC">
            <w:pPr>
              <w:jc w:val="right"/>
              <w:textAlignment w:val="bottom"/>
            </w:pPr>
            <w:r>
              <w:rPr>
                <w:rFonts w:ascii="Arial" w:eastAsia="宋体" w:hAnsi="Arial" w:cs="Arial"/>
                <w:color w:val="000000"/>
                <w:sz w:val="18"/>
                <w:szCs w:val="18"/>
              </w:rPr>
              <w:t>100 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DA4"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DA5"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BDA6"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BDA7" w14:textId="77777777" w:rsidR="002661BA" w:rsidRDefault="00D972BC">
            <w:pPr>
              <w:jc w:val="right"/>
              <w:textAlignment w:val="bottom"/>
            </w:pPr>
            <w:r>
              <w:rPr>
                <w:rFonts w:ascii="Arial" w:eastAsia="宋体" w:hAnsi="Arial" w:cs="Arial"/>
                <w:color w:val="000000"/>
                <w:sz w:val="18"/>
                <w:szCs w:val="18"/>
              </w:rPr>
              <w:t>1,121 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DA8" w14:textId="77777777" w:rsidR="002661BA" w:rsidRDefault="002661BA">
            <w:pPr>
              <w:jc w:val="right"/>
              <w:rPr>
                <w:rFonts w:ascii="宋体"/>
              </w:rPr>
            </w:pPr>
          </w:p>
        </w:tc>
      </w:tr>
      <w:tr w:rsidR="002661BA" w14:paraId="22CFBDB6" w14:textId="77777777">
        <w:tc>
          <w:tcPr>
            <w:tcW w:w="0" w:type="auto"/>
            <w:gridSpan w:val="3"/>
            <w:shd w:val="clear" w:color="auto" w:fill="FFFFFF"/>
            <w:tcMar>
              <w:top w:w="40" w:type="dxa"/>
              <w:left w:w="20" w:type="dxa"/>
              <w:bottom w:w="40" w:type="dxa"/>
              <w:right w:w="20" w:type="dxa"/>
            </w:tcMar>
            <w:vAlign w:val="bottom"/>
          </w:tcPr>
          <w:p w14:paraId="22CFBDAA" w14:textId="77777777" w:rsidR="002661BA" w:rsidRDefault="00D972BC">
            <w:pPr>
              <w:textAlignment w:val="bottom"/>
            </w:pPr>
            <w:r>
              <w:rPr>
                <w:rFonts w:ascii="Arial" w:eastAsia="宋体" w:hAnsi="Arial" w:cs="Arial"/>
                <w:color w:val="000000"/>
                <w:sz w:val="18"/>
                <w:szCs w:val="18"/>
              </w:rPr>
              <w:t>Cost of net revenues</w:t>
            </w:r>
          </w:p>
        </w:tc>
        <w:tc>
          <w:tcPr>
            <w:tcW w:w="0" w:type="auto"/>
            <w:shd w:val="clear" w:color="auto" w:fill="auto"/>
            <w:vAlign w:val="bottom"/>
          </w:tcPr>
          <w:p w14:paraId="22CFBDAB" w14:textId="77777777" w:rsidR="002661BA" w:rsidRDefault="002661BA">
            <w:pPr>
              <w:rPr>
                <w:rFonts w:ascii="宋体"/>
                <w:vanish/>
              </w:rPr>
            </w:pPr>
          </w:p>
        </w:tc>
        <w:tc>
          <w:tcPr>
            <w:tcW w:w="0" w:type="auto"/>
            <w:shd w:val="clear" w:color="auto" w:fill="auto"/>
            <w:vAlign w:val="bottom"/>
          </w:tcPr>
          <w:p w14:paraId="22CFBDAC" w14:textId="77777777" w:rsidR="002661BA" w:rsidRDefault="002661BA">
            <w:pPr>
              <w:rPr>
                <w:rFonts w:ascii="宋体"/>
                <w:vanish/>
              </w:rPr>
            </w:pPr>
          </w:p>
        </w:tc>
        <w:tc>
          <w:tcPr>
            <w:tcW w:w="0" w:type="auto"/>
            <w:shd w:val="clear" w:color="auto" w:fill="auto"/>
            <w:vAlign w:val="bottom"/>
          </w:tcPr>
          <w:p w14:paraId="22CFBDAD" w14:textId="77777777" w:rsidR="002661BA" w:rsidRDefault="002661BA">
            <w:pPr>
              <w:rPr>
                <w:rFonts w:ascii="宋体"/>
                <w:vanish/>
              </w:rPr>
            </w:pPr>
          </w:p>
        </w:tc>
        <w:tc>
          <w:tcPr>
            <w:tcW w:w="0" w:type="auto"/>
            <w:gridSpan w:val="2"/>
            <w:shd w:val="clear" w:color="auto" w:fill="FFFFFF"/>
            <w:tcMar>
              <w:top w:w="40" w:type="dxa"/>
              <w:left w:w="20" w:type="dxa"/>
              <w:bottom w:w="40" w:type="dxa"/>
              <w:right w:w="0" w:type="dxa"/>
            </w:tcMar>
            <w:vAlign w:val="bottom"/>
          </w:tcPr>
          <w:p w14:paraId="22CFBDAE"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DA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DB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DB1" w14:textId="77777777" w:rsidR="002661BA" w:rsidRDefault="00D972BC">
            <w:pPr>
              <w:jc w:val="right"/>
              <w:textAlignment w:val="bottom"/>
            </w:pPr>
            <w:r>
              <w:rPr>
                <w:rFonts w:ascii="Arial" w:eastAsia="宋体" w:hAnsi="Arial" w:cs="Arial"/>
                <w:color w:val="000000"/>
                <w:sz w:val="18"/>
                <w:szCs w:val="18"/>
              </w:rPr>
              <w:t>31 </w:t>
            </w:r>
          </w:p>
        </w:tc>
        <w:tc>
          <w:tcPr>
            <w:tcW w:w="0" w:type="auto"/>
            <w:shd w:val="clear" w:color="auto" w:fill="FFFFFF"/>
            <w:tcMar>
              <w:top w:w="40" w:type="dxa"/>
              <w:left w:w="0" w:type="dxa"/>
              <w:bottom w:w="40" w:type="dxa"/>
              <w:right w:w="20" w:type="dxa"/>
            </w:tcMar>
            <w:vAlign w:val="bottom"/>
          </w:tcPr>
          <w:p w14:paraId="22CFBDB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DB3"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DB4" w14:textId="77777777" w:rsidR="002661BA" w:rsidRDefault="00D972BC">
            <w:pPr>
              <w:jc w:val="right"/>
              <w:textAlignment w:val="bottom"/>
            </w:pPr>
            <w:r>
              <w:rPr>
                <w:rFonts w:ascii="Arial" w:eastAsia="宋体" w:hAnsi="Arial" w:cs="Arial"/>
                <w:color w:val="000000"/>
                <w:sz w:val="18"/>
                <w:szCs w:val="18"/>
              </w:rPr>
              <w:t>290 </w:t>
            </w:r>
          </w:p>
        </w:tc>
        <w:tc>
          <w:tcPr>
            <w:tcW w:w="0" w:type="auto"/>
            <w:shd w:val="clear" w:color="auto" w:fill="FFFFFF"/>
            <w:tcMar>
              <w:top w:w="40" w:type="dxa"/>
              <w:left w:w="0" w:type="dxa"/>
              <w:bottom w:w="40" w:type="dxa"/>
              <w:right w:w="20" w:type="dxa"/>
            </w:tcMar>
            <w:vAlign w:val="bottom"/>
          </w:tcPr>
          <w:p w14:paraId="22CFBDB5" w14:textId="77777777" w:rsidR="002661BA" w:rsidRDefault="002661BA">
            <w:pPr>
              <w:jc w:val="right"/>
              <w:rPr>
                <w:rFonts w:ascii="宋体"/>
              </w:rPr>
            </w:pPr>
          </w:p>
        </w:tc>
      </w:tr>
      <w:tr w:rsidR="002661BA" w14:paraId="22CFBDC3" w14:textId="77777777">
        <w:tc>
          <w:tcPr>
            <w:tcW w:w="0" w:type="auto"/>
            <w:gridSpan w:val="3"/>
            <w:shd w:val="clear" w:color="auto" w:fill="DBDBDB"/>
            <w:tcMar>
              <w:top w:w="40" w:type="dxa"/>
              <w:left w:w="875" w:type="dxa"/>
              <w:bottom w:w="40" w:type="dxa"/>
              <w:right w:w="20" w:type="dxa"/>
            </w:tcMar>
            <w:vAlign w:val="bottom"/>
          </w:tcPr>
          <w:p w14:paraId="22CFBDB7" w14:textId="77777777" w:rsidR="002661BA" w:rsidRDefault="00D972BC">
            <w:pPr>
              <w:textAlignment w:val="bottom"/>
            </w:pPr>
            <w:r>
              <w:rPr>
                <w:rFonts w:ascii="Arial" w:eastAsia="宋体" w:hAnsi="Arial" w:cs="Arial"/>
                <w:color w:val="000000"/>
                <w:sz w:val="18"/>
                <w:szCs w:val="18"/>
              </w:rPr>
              <w:t>Gross profit</w:t>
            </w:r>
          </w:p>
        </w:tc>
        <w:tc>
          <w:tcPr>
            <w:tcW w:w="0" w:type="auto"/>
            <w:shd w:val="clear" w:color="auto" w:fill="auto"/>
            <w:vAlign w:val="bottom"/>
          </w:tcPr>
          <w:p w14:paraId="22CFBDB8" w14:textId="77777777" w:rsidR="002661BA" w:rsidRDefault="002661BA">
            <w:pPr>
              <w:rPr>
                <w:rFonts w:ascii="宋体"/>
                <w:vanish/>
              </w:rPr>
            </w:pPr>
          </w:p>
        </w:tc>
        <w:tc>
          <w:tcPr>
            <w:tcW w:w="0" w:type="auto"/>
            <w:shd w:val="clear" w:color="auto" w:fill="auto"/>
            <w:vAlign w:val="bottom"/>
          </w:tcPr>
          <w:p w14:paraId="22CFBDB9" w14:textId="77777777" w:rsidR="002661BA" w:rsidRDefault="002661BA">
            <w:pPr>
              <w:rPr>
                <w:rFonts w:ascii="宋体"/>
                <w:vanish/>
              </w:rPr>
            </w:pPr>
          </w:p>
        </w:tc>
        <w:tc>
          <w:tcPr>
            <w:tcW w:w="0" w:type="auto"/>
            <w:shd w:val="clear" w:color="auto" w:fill="auto"/>
            <w:vAlign w:val="bottom"/>
          </w:tcPr>
          <w:p w14:paraId="22CFBDBA" w14:textId="77777777" w:rsidR="002661BA" w:rsidRDefault="002661BA">
            <w:pPr>
              <w:rPr>
                <w:rFonts w:ascii="宋体"/>
                <w:vanish/>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DBB"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DBC"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DBD"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DBE" w14:textId="77777777" w:rsidR="002661BA" w:rsidRDefault="00D972BC">
            <w:pPr>
              <w:jc w:val="right"/>
              <w:textAlignment w:val="bottom"/>
            </w:pPr>
            <w:r>
              <w:rPr>
                <w:rFonts w:ascii="Arial" w:eastAsia="宋体" w:hAnsi="Arial" w:cs="Arial"/>
                <w:color w:val="000000"/>
                <w:sz w:val="18"/>
                <w:szCs w:val="18"/>
              </w:rPr>
              <w:t>69 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DBF"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DC0"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DC1" w14:textId="77777777" w:rsidR="002661BA" w:rsidRDefault="00D972BC">
            <w:pPr>
              <w:jc w:val="right"/>
              <w:textAlignment w:val="bottom"/>
            </w:pPr>
            <w:r>
              <w:rPr>
                <w:rFonts w:ascii="Arial" w:eastAsia="宋体" w:hAnsi="Arial" w:cs="Arial"/>
                <w:color w:val="000000"/>
                <w:sz w:val="18"/>
                <w:szCs w:val="18"/>
              </w:rPr>
              <w:t>831 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DC2" w14:textId="77777777" w:rsidR="002661BA" w:rsidRDefault="002661BA">
            <w:pPr>
              <w:jc w:val="right"/>
              <w:rPr>
                <w:rFonts w:ascii="宋体"/>
              </w:rPr>
            </w:pPr>
          </w:p>
        </w:tc>
      </w:tr>
      <w:tr w:rsidR="002661BA" w14:paraId="22CFBDCD" w14:textId="77777777">
        <w:tc>
          <w:tcPr>
            <w:tcW w:w="0" w:type="auto"/>
            <w:gridSpan w:val="3"/>
            <w:shd w:val="clear" w:color="auto" w:fill="FFFFFF"/>
            <w:tcMar>
              <w:top w:w="40" w:type="dxa"/>
              <w:left w:w="20" w:type="dxa"/>
              <w:bottom w:w="40" w:type="dxa"/>
              <w:right w:w="20" w:type="dxa"/>
            </w:tcMar>
            <w:vAlign w:val="bottom"/>
          </w:tcPr>
          <w:p w14:paraId="22CFBDC4" w14:textId="77777777" w:rsidR="002661BA" w:rsidRDefault="00D972BC">
            <w:pPr>
              <w:textAlignment w:val="bottom"/>
            </w:pPr>
            <w:r>
              <w:rPr>
                <w:rFonts w:ascii="Arial" w:eastAsia="宋体" w:hAnsi="Arial" w:cs="Arial"/>
                <w:color w:val="000000"/>
                <w:sz w:val="18"/>
                <w:szCs w:val="18"/>
              </w:rPr>
              <w:t>Operating expenses:</w:t>
            </w:r>
          </w:p>
        </w:tc>
        <w:tc>
          <w:tcPr>
            <w:tcW w:w="0" w:type="auto"/>
            <w:shd w:val="clear" w:color="auto" w:fill="auto"/>
            <w:vAlign w:val="bottom"/>
          </w:tcPr>
          <w:p w14:paraId="22CFBDC5" w14:textId="77777777" w:rsidR="002661BA" w:rsidRDefault="002661BA">
            <w:pPr>
              <w:rPr>
                <w:rFonts w:ascii="宋体"/>
                <w:vanish/>
              </w:rPr>
            </w:pPr>
          </w:p>
        </w:tc>
        <w:tc>
          <w:tcPr>
            <w:tcW w:w="0" w:type="auto"/>
            <w:shd w:val="clear" w:color="auto" w:fill="auto"/>
            <w:vAlign w:val="bottom"/>
          </w:tcPr>
          <w:p w14:paraId="22CFBDC6" w14:textId="77777777" w:rsidR="002661BA" w:rsidRDefault="002661BA">
            <w:pPr>
              <w:rPr>
                <w:rFonts w:ascii="宋体"/>
                <w:vanish/>
              </w:rPr>
            </w:pPr>
          </w:p>
        </w:tc>
        <w:tc>
          <w:tcPr>
            <w:tcW w:w="0" w:type="auto"/>
            <w:shd w:val="clear" w:color="auto" w:fill="auto"/>
            <w:vAlign w:val="bottom"/>
          </w:tcPr>
          <w:p w14:paraId="22CFBDC7" w14:textId="77777777" w:rsidR="002661BA" w:rsidRDefault="002661BA">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DC8"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DC9" w14:textId="77777777" w:rsidR="002661BA" w:rsidRDefault="002661B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DCA"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BDCB" w14:textId="77777777" w:rsidR="002661BA" w:rsidRDefault="002661B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BDCC" w14:textId="77777777" w:rsidR="002661BA" w:rsidRDefault="002661BA">
            <w:pPr>
              <w:rPr>
                <w:rFonts w:ascii="宋体"/>
              </w:rPr>
            </w:pPr>
          </w:p>
        </w:tc>
      </w:tr>
      <w:tr w:rsidR="002661BA" w14:paraId="22CFBDDA" w14:textId="77777777">
        <w:tc>
          <w:tcPr>
            <w:tcW w:w="0" w:type="auto"/>
            <w:gridSpan w:val="3"/>
            <w:shd w:val="clear" w:color="auto" w:fill="DBDBDB"/>
            <w:tcMar>
              <w:top w:w="40" w:type="dxa"/>
              <w:left w:w="515" w:type="dxa"/>
              <w:bottom w:w="40" w:type="dxa"/>
              <w:right w:w="20" w:type="dxa"/>
            </w:tcMar>
            <w:vAlign w:val="bottom"/>
          </w:tcPr>
          <w:p w14:paraId="22CFBDCE" w14:textId="77777777" w:rsidR="002661BA" w:rsidRDefault="00D972BC">
            <w:pPr>
              <w:textAlignment w:val="bottom"/>
            </w:pPr>
            <w:r>
              <w:rPr>
                <w:rFonts w:ascii="Arial" w:eastAsia="宋体" w:hAnsi="Arial" w:cs="Arial"/>
                <w:color w:val="000000"/>
                <w:sz w:val="18"/>
                <w:szCs w:val="18"/>
              </w:rPr>
              <w:t>Sales and marketing</w:t>
            </w:r>
          </w:p>
        </w:tc>
        <w:tc>
          <w:tcPr>
            <w:tcW w:w="0" w:type="auto"/>
            <w:shd w:val="clear" w:color="auto" w:fill="auto"/>
            <w:vAlign w:val="bottom"/>
          </w:tcPr>
          <w:p w14:paraId="22CFBDCF" w14:textId="77777777" w:rsidR="002661BA" w:rsidRDefault="002661BA">
            <w:pPr>
              <w:rPr>
                <w:rFonts w:ascii="宋体"/>
                <w:vanish/>
              </w:rPr>
            </w:pPr>
          </w:p>
        </w:tc>
        <w:tc>
          <w:tcPr>
            <w:tcW w:w="0" w:type="auto"/>
            <w:shd w:val="clear" w:color="auto" w:fill="auto"/>
            <w:vAlign w:val="bottom"/>
          </w:tcPr>
          <w:p w14:paraId="22CFBDD0" w14:textId="77777777" w:rsidR="002661BA" w:rsidRDefault="002661BA">
            <w:pPr>
              <w:rPr>
                <w:rFonts w:ascii="宋体"/>
                <w:vanish/>
              </w:rPr>
            </w:pPr>
          </w:p>
        </w:tc>
        <w:tc>
          <w:tcPr>
            <w:tcW w:w="0" w:type="auto"/>
            <w:shd w:val="clear" w:color="auto" w:fill="auto"/>
            <w:vAlign w:val="bottom"/>
          </w:tcPr>
          <w:p w14:paraId="22CFBDD1" w14:textId="77777777" w:rsidR="002661BA" w:rsidRDefault="002661BA">
            <w:pPr>
              <w:rPr>
                <w:rFonts w:ascii="宋体"/>
                <w:vanish/>
              </w:rPr>
            </w:pPr>
          </w:p>
        </w:tc>
        <w:tc>
          <w:tcPr>
            <w:tcW w:w="0" w:type="auto"/>
            <w:gridSpan w:val="2"/>
            <w:shd w:val="clear" w:color="auto" w:fill="DBDBDB"/>
            <w:tcMar>
              <w:top w:w="40" w:type="dxa"/>
              <w:left w:w="20" w:type="dxa"/>
              <w:bottom w:w="40" w:type="dxa"/>
              <w:right w:w="0" w:type="dxa"/>
            </w:tcMar>
            <w:vAlign w:val="bottom"/>
          </w:tcPr>
          <w:p w14:paraId="22CFBDD2"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BDD3"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DD4"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DD5" w14:textId="77777777" w:rsidR="002661BA" w:rsidRDefault="00D972BC">
            <w:pPr>
              <w:jc w:val="right"/>
              <w:textAlignment w:val="bottom"/>
            </w:pPr>
            <w:r>
              <w:rPr>
                <w:rFonts w:ascii="Arial" w:eastAsia="宋体" w:hAnsi="Arial" w:cs="Arial"/>
                <w:color w:val="000000"/>
                <w:sz w:val="18"/>
                <w:szCs w:val="18"/>
              </w:rPr>
              <w:t>51 </w:t>
            </w:r>
          </w:p>
        </w:tc>
        <w:tc>
          <w:tcPr>
            <w:tcW w:w="0" w:type="auto"/>
            <w:shd w:val="clear" w:color="auto" w:fill="DBDBDB"/>
            <w:tcMar>
              <w:top w:w="40" w:type="dxa"/>
              <w:left w:w="0" w:type="dxa"/>
              <w:bottom w:w="40" w:type="dxa"/>
              <w:right w:w="20" w:type="dxa"/>
            </w:tcMar>
            <w:vAlign w:val="bottom"/>
          </w:tcPr>
          <w:p w14:paraId="22CFBDD6"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DD7"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DD8" w14:textId="77777777" w:rsidR="002661BA" w:rsidRDefault="00D972BC">
            <w:pPr>
              <w:jc w:val="right"/>
              <w:textAlignment w:val="bottom"/>
            </w:pPr>
            <w:r>
              <w:rPr>
                <w:rFonts w:ascii="Arial" w:eastAsia="宋体" w:hAnsi="Arial" w:cs="Arial"/>
                <w:color w:val="000000"/>
                <w:sz w:val="18"/>
                <w:szCs w:val="18"/>
              </w:rPr>
              <w:t>491 </w:t>
            </w:r>
          </w:p>
        </w:tc>
        <w:tc>
          <w:tcPr>
            <w:tcW w:w="0" w:type="auto"/>
            <w:shd w:val="clear" w:color="auto" w:fill="DBDBDB"/>
            <w:tcMar>
              <w:top w:w="40" w:type="dxa"/>
              <w:left w:w="0" w:type="dxa"/>
              <w:bottom w:w="40" w:type="dxa"/>
              <w:right w:w="20" w:type="dxa"/>
            </w:tcMar>
            <w:vAlign w:val="bottom"/>
          </w:tcPr>
          <w:p w14:paraId="22CFBDD9" w14:textId="77777777" w:rsidR="002661BA" w:rsidRDefault="002661BA">
            <w:pPr>
              <w:jc w:val="right"/>
              <w:rPr>
                <w:rFonts w:ascii="宋体"/>
              </w:rPr>
            </w:pPr>
          </w:p>
        </w:tc>
      </w:tr>
      <w:tr w:rsidR="002661BA" w14:paraId="22CFBDE7" w14:textId="77777777">
        <w:tc>
          <w:tcPr>
            <w:tcW w:w="0" w:type="auto"/>
            <w:gridSpan w:val="3"/>
            <w:shd w:val="clear" w:color="auto" w:fill="FFFFFF"/>
            <w:tcMar>
              <w:top w:w="40" w:type="dxa"/>
              <w:left w:w="515" w:type="dxa"/>
              <w:bottom w:w="40" w:type="dxa"/>
              <w:right w:w="20" w:type="dxa"/>
            </w:tcMar>
            <w:vAlign w:val="bottom"/>
          </w:tcPr>
          <w:p w14:paraId="22CFBDDB" w14:textId="77777777" w:rsidR="002661BA" w:rsidRDefault="00D972BC">
            <w:pPr>
              <w:textAlignment w:val="bottom"/>
            </w:pPr>
            <w:r>
              <w:rPr>
                <w:rFonts w:ascii="Arial" w:eastAsia="宋体" w:hAnsi="Arial" w:cs="Arial"/>
                <w:color w:val="000000"/>
                <w:sz w:val="18"/>
                <w:szCs w:val="18"/>
              </w:rPr>
              <w:t>Product development</w:t>
            </w:r>
          </w:p>
        </w:tc>
        <w:tc>
          <w:tcPr>
            <w:tcW w:w="0" w:type="auto"/>
            <w:shd w:val="clear" w:color="auto" w:fill="auto"/>
            <w:vAlign w:val="bottom"/>
          </w:tcPr>
          <w:p w14:paraId="22CFBDDC" w14:textId="77777777" w:rsidR="002661BA" w:rsidRDefault="002661BA">
            <w:pPr>
              <w:rPr>
                <w:rFonts w:ascii="宋体"/>
                <w:vanish/>
              </w:rPr>
            </w:pPr>
          </w:p>
        </w:tc>
        <w:tc>
          <w:tcPr>
            <w:tcW w:w="0" w:type="auto"/>
            <w:shd w:val="clear" w:color="auto" w:fill="auto"/>
            <w:vAlign w:val="bottom"/>
          </w:tcPr>
          <w:p w14:paraId="22CFBDDD" w14:textId="77777777" w:rsidR="002661BA" w:rsidRDefault="002661BA">
            <w:pPr>
              <w:rPr>
                <w:rFonts w:ascii="宋体"/>
                <w:vanish/>
              </w:rPr>
            </w:pPr>
          </w:p>
        </w:tc>
        <w:tc>
          <w:tcPr>
            <w:tcW w:w="0" w:type="auto"/>
            <w:shd w:val="clear" w:color="auto" w:fill="auto"/>
            <w:vAlign w:val="bottom"/>
          </w:tcPr>
          <w:p w14:paraId="22CFBDDE" w14:textId="77777777" w:rsidR="002661BA" w:rsidRDefault="002661BA">
            <w:pPr>
              <w:rPr>
                <w:rFonts w:ascii="宋体"/>
                <w:vanish/>
              </w:rPr>
            </w:pPr>
          </w:p>
        </w:tc>
        <w:tc>
          <w:tcPr>
            <w:tcW w:w="0" w:type="auto"/>
            <w:gridSpan w:val="2"/>
            <w:shd w:val="clear" w:color="auto" w:fill="FFFFFF"/>
            <w:tcMar>
              <w:top w:w="40" w:type="dxa"/>
              <w:left w:w="20" w:type="dxa"/>
              <w:bottom w:w="40" w:type="dxa"/>
              <w:right w:w="0" w:type="dxa"/>
            </w:tcMar>
            <w:vAlign w:val="bottom"/>
          </w:tcPr>
          <w:p w14:paraId="22CFBDDF"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DE0"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DE1"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DE2" w14:textId="77777777" w:rsidR="002661BA" w:rsidRDefault="00D972BC">
            <w:pPr>
              <w:jc w:val="right"/>
              <w:textAlignment w:val="bottom"/>
            </w:pPr>
            <w:r>
              <w:rPr>
                <w:rFonts w:ascii="Arial" w:eastAsia="宋体" w:hAnsi="Arial" w:cs="Arial"/>
                <w:color w:val="000000"/>
                <w:sz w:val="18"/>
                <w:szCs w:val="18"/>
              </w:rPr>
              <w:t>26 </w:t>
            </w:r>
          </w:p>
        </w:tc>
        <w:tc>
          <w:tcPr>
            <w:tcW w:w="0" w:type="auto"/>
            <w:shd w:val="clear" w:color="auto" w:fill="FFFFFF"/>
            <w:tcMar>
              <w:top w:w="40" w:type="dxa"/>
              <w:left w:w="0" w:type="dxa"/>
              <w:bottom w:w="40" w:type="dxa"/>
              <w:right w:w="20" w:type="dxa"/>
            </w:tcMar>
            <w:vAlign w:val="bottom"/>
          </w:tcPr>
          <w:p w14:paraId="22CFBDE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DE4"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DE5" w14:textId="77777777" w:rsidR="002661BA" w:rsidRDefault="00D972BC">
            <w:pPr>
              <w:jc w:val="right"/>
              <w:textAlignment w:val="bottom"/>
            </w:pPr>
            <w:r>
              <w:rPr>
                <w:rFonts w:ascii="Arial" w:eastAsia="宋体" w:hAnsi="Arial" w:cs="Arial"/>
                <w:color w:val="000000"/>
                <w:sz w:val="18"/>
                <w:szCs w:val="18"/>
              </w:rPr>
              <w:t>114 </w:t>
            </w:r>
          </w:p>
        </w:tc>
        <w:tc>
          <w:tcPr>
            <w:tcW w:w="0" w:type="auto"/>
            <w:shd w:val="clear" w:color="auto" w:fill="FFFFFF"/>
            <w:tcMar>
              <w:top w:w="40" w:type="dxa"/>
              <w:left w:w="0" w:type="dxa"/>
              <w:bottom w:w="40" w:type="dxa"/>
              <w:right w:w="20" w:type="dxa"/>
            </w:tcMar>
            <w:vAlign w:val="bottom"/>
          </w:tcPr>
          <w:p w14:paraId="22CFBDE6" w14:textId="77777777" w:rsidR="002661BA" w:rsidRDefault="002661BA">
            <w:pPr>
              <w:jc w:val="right"/>
              <w:rPr>
                <w:rFonts w:ascii="宋体"/>
              </w:rPr>
            </w:pPr>
          </w:p>
        </w:tc>
      </w:tr>
      <w:tr w:rsidR="002661BA" w14:paraId="22CFBDF4" w14:textId="77777777">
        <w:tc>
          <w:tcPr>
            <w:tcW w:w="0" w:type="auto"/>
            <w:gridSpan w:val="3"/>
            <w:shd w:val="clear" w:color="auto" w:fill="DBDBDB"/>
            <w:tcMar>
              <w:top w:w="40" w:type="dxa"/>
              <w:left w:w="515" w:type="dxa"/>
              <w:bottom w:w="40" w:type="dxa"/>
              <w:right w:w="20" w:type="dxa"/>
            </w:tcMar>
            <w:vAlign w:val="bottom"/>
          </w:tcPr>
          <w:p w14:paraId="22CFBDE8" w14:textId="77777777" w:rsidR="002661BA" w:rsidRDefault="00D972BC">
            <w:pPr>
              <w:textAlignment w:val="bottom"/>
            </w:pPr>
            <w:r>
              <w:rPr>
                <w:rFonts w:ascii="Arial" w:eastAsia="宋体" w:hAnsi="Arial" w:cs="Arial"/>
                <w:color w:val="000000"/>
                <w:sz w:val="18"/>
                <w:szCs w:val="18"/>
              </w:rPr>
              <w:t>General and administrative</w:t>
            </w:r>
          </w:p>
        </w:tc>
        <w:tc>
          <w:tcPr>
            <w:tcW w:w="0" w:type="auto"/>
            <w:shd w:val="clear" w:color="auto" w:fill="auto"/>
            <w:vAlign w:val="bottom"/>
          </w:tcPr>
          <w:p w14:paraId="22CFBDE9" w14:textId="77777777" w:rsidR="002661BA" w:rsidRDefault="002661BA">
            <w:pPr>
              <w:rPr>
                <w:rFonts w:ascii="宋体"/>
                <w:vanish/>
              </w:rPr>
            </w:pPr>
          </w:p>
        </w:tc>
        <w:tc>
          <w:tcPr>
            <w:tcW w:w="0" w:type="auto"/>
            <w:shd w:val="clear" w:color="auto" w:fill="auto"/>
            <w:vAlign w:val="bottom"/>
          </w:tcPr>
          <w:p w14:paraId="22CFBDEA" w14:textId="77777777" w:rsidR="002661BA" w:rsidRDefault="002661BA">
            <w:pPr>
              <w:rPr>
                <w:rFonts w:ascii="宋体"/>
                <w:vanish/>
              </w:rPr>
            </w:pPr>
          </w:p>
        </w:tc>
        <w:tc>
          <w:tcPr>
            <w:tcW w:w="0" w:type="auto"/>
            <w:shd w:val="clear" w:color="auto" w:fill="auto"/>
            <w:vAlign w:val="bottom"/>
          </w:tcPr>
          <w:p w14:paraId="22CFBDEB" w14:textId="77777777" w:rsidR="002661BA" w:rsidRDefault="002661BA">
            <w:pPr>
              <w:rPr>
                <w:rFonts w:ascii="宋体"/>
                <w:vanish/>
              </w:rPr>
            </w:pPr>
          </w:p>
        </w:tc>
        <w:tc>
          <w:tcPr>
            <w:tcW w:w="0" w:type="auto"/>
            <w:gridSpan w:val="2"/>
            <w:shd w:val="clear" w:color="auto" w:fill="DBDBDB"/>
            <w:tcMar>
              <w:top w:w="40" w:type="dxa"/>
              <w:left w:w="20" w:type="dxa"/>
              <w:bottom w:w="40" w:type="dxa"/>
              <w:right w:w="0" w:type="dxa"/>
            </w:tcMar>
            <w:vAlign w:val="bottom"/>
          </w:tcPr>
          <w:p w14:paraId="22CFBDEC" w14:textId="77777777" w:rsidR="002661BA" w:rsidRDefault="00D972BC">
            <w:pPr>
              <w:jc w:val="right"/>
              <w:textAlignment w:val="bottom"/>
            </w:pPr>
            <w:r>
              <w:rPr>
                <w:rFonts w:ascii="Arial" w:eastAsia="宋体" w:hAnsi="Arial" w:cs="Arial"/>
                <w:color w:val="000000"/>
                <w:sz w:val="18"/>
                <w:szCs w:val="18"/>
              </w:rPr>
              <w:t>1 </w:t>
            </w:r>
          </w:p>
        </w:tc>
        <w:tc>
          <w:tcPr>
            <w:tcW w:w="0" w:type="auto"/>
            <w:shd w:val="clear" w:color="auto" w:fill="DBDBDB"/>
            <w:tcMar>
              <w:top w:w="40" w:type="dxa"/>
              <w:left w:w="0" w:type="dxa"/>
              <w:bottom w:w="40" w:type="dxa"/>
              <w:right w:w="20" w:type="dxa"/>
            </w:tcMar>
            <w:vAlign w:val="bottom"/>
          </w:tcPr>
          <w:p w14:paraId="22CFBDED"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DEE"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DEF" w14:textId="77777777" w:rsidR="002661BA" w:rsidRDefault="00D972BC">
            <w:pPr>
              <w:jc w:val="right"/>
              <w:textAlignment w:val="bottom"/>
            </w:pPr>
            <w:r>
              <w:rPr>
                <w:rFonts w:ascii="Arial" w:eastAsia="宋体" w:hAnsi="Arial" w:cs="Arial"/>
                <w:color w:val="000000"/>
                <w:sz w:val="18"/>
                <w:szCs w:val="18"/>
              </w:rPr>
              <w:t>30 </w:t>
            </w:r>
          </w:p>
        </w:tc>
        <w:tc>
          <w:tcPr>
            <w:tcW w:w="0" w:type="auto"/>
            <w:shd w:val="clear" w:color="auto" w:fill="DBDBDB"/>
            <w:tcMar>
              <w:top w:w="40" w:type="dxa"/>
              <w:left w:w="0" w:type="dxa"/>
              <w:bottom w:w="40" w:type="dxa"/>
              <w:right w:w="20" w:type="dxa"/>
            </w:tcMar>
            <w:vAlign w:val="bottom"/>
          </w:tcPr>
          <w:p w14:paraId="22CFBDF0"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DF1"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DF2" w14:textId="77777777" w:rsidR="002661BA" w:rsidRDefault="00D972BC">
            <w:pPr>
              <w:jc w:val="right"/>
              <w:textAlignment w:val="bottom"/>
            </w:pPr>
            <w:r>
              <w:rPr>
                <w:rFonts w:ascii="Arial" w:eastAsia="宋体" w:hAnsi="Arial" w:cs="Arial"/>
                <w:color w:val="000000"/>
                <w:sz w:val="18"/>
                <w:szCs w:val="18"/>
              </w:rPr>
              <w:t>125 </w:t>
            </w:r>
          </w:p>
        </w:tc>
        <w:tc>
          <w:tcPr>
            <w:tcW w:w="0" w:type="auto"/>
            <w:shd w:val="clear" w:color="auto" w:fill="DBDBDB"/>
            <w:tcMar>
              <w:top w:w="40" w:type="dxa"/>
              <w:left w:w="0" w:type="dxa"/>
              <w:bottom w:w="40" w:type="dxa"/>
              <w:right w:w="20" w:type="dxa"/>
            </w:tcMar>
            <w:vAlign w:val="bottom"/>
          </w:tcPr>
          <w:p w14:paraId="22CFBDF3" w14:textId="77777777" w:rsidR="002661BA" w:rsidRDefault="002661BA">
            <w:pPr>
              <w:jc w:val="right"/>
              <w:rPr>
                <w:rFonts w:ascii="宋体"/>
              </w:rPr>
            </w:pPr>
          </w:p>
        </w:tc>
      </w:tr>
      <w:tr w:rsidR="002661BA" w14:paraId="22CFBE01" w14:textId="77777777">
        <w:tc>
          <w:tcPr>
            <w:tcW w:w="0" w:type="auto"/>
            <w:gridSpan w:val="3"/>
            <w:shd w:val="clear" w:color="auto" w:fill="FFFFFF"/>
            <w:tcMar>
              <w:top w:w="40" w:type="dxa"/>
              <w:left w:w="515" w:type="dxa"/>
              <w:bottom w:w="40" w:type="dxa"/>
              <w:right w:w="20" w:type="dxa"/>
            </w:tcMar>
            <w:vAlign w:val="bottom"/>
          </w:tcPr>
          <w:p w14:paraId="22CFBDF5" w14:textId="77777777" w:rsidR="002661BA" w:rsidRDefault="00D972BC">
            <w:pPr>
              <w:textAlignment w:val="bottom"/>
            </w:pPr>
            <w:r>
              <w:rPr>
                <w:rFonts w:ascii="Arial" w:eastAsia="宋体" w:hAnsi="Arial" w:cs="Arial"/>
                <w:color w:val="000000"/>
                <w:sz w:val="18"/>
                <w:szCs w:val="18"/>
              </w:rPr>
              <w:t>Provision for transaction losses</w:t>
            </w:r>
          </w:p>
        </w:tc>
        <w:tc>
          <w:tcPr>
            <w:tcW w:w="0" w:type="auto"/>
            <w:shd w:val="clear" w:color="auto" w:fill="auto"/>
            <w:vAlign w:val="bottom"/>
          </w:tcPr>
          <w:p w14:paraId="22CFBDF6" w14:textId="77777777" w:rsidR="002661BA" w:rsidRDefault="002661BA">
            <w:pPr>
              <w:rPr>
                <w:rFonts w:ascii="宋体"/>
                <w:vanish/>
              </w:rPr>
            </w:pPr>
          </w:p>
        </w:tc>
        <w:tc>
          <w:tcPr>
            <w:tcW w:w="0" w:type="auto"/>
            <w:shd w:val="clear" w:color="auto" w:fill="auto"/>
            <w:vAlign w:val="bottom"/>
          </w:tcPr>
          <w:p w14:paraId="22CFBDF7" w14:textId="77777777" w:rsidR="002661BA" w:rsidRDefault="002661BA">
            <w:pPr>
              <w:rPr>
                <w:rFonts w:ascii="宋体"/>
                <w:vanish/>
              </w:rPr>
            </w:pPr>
          </w:p>
        </w:tc>
        <w:tc>
          <w:tcPr>
            <w:tcW w:w="0" w:type="auto"/>
            <w:shd w:val="clear" w:color="auto" w:fill="auto"/>
            <w:vAlign w:val="bottom"/>
          </w:tcPr>
          <w:p w14:paraId="22CFBDF8" w14:textId="77777777" w:rsidR="002661BA" w:rsidRDefault="002661BA">
            <w:pPr>
              <w:rPr>
                <w:rFonts w:ascii="宋体"/>
                <w:vanish/>
              </w:rPr>
            </w:pPr>
          </w:p>
        </w:tc>
        <w:tc>
          <w:tcPr>
            <w:tcW w:w="0" w:type="auto"/>
            <w:gridSpan w:val="2"/>
            <w:shd w:val="clear" w:color="auto" w:fill="FFFFFF"/>
            <w:tcMar>
              <w:top w:w="40" w:type="dxa"/>
              <w:left w:w="20" w:type="dxa"/>
              <w:bottom w:w="40" w:type="dxa"/>
              <w:right w:w="0" w:type="dxa"/>
            </w:tcMar>
            <w:vAlign w:val="bottom"/>
          </w:tcPr>
          <w:p w14:paraId="22CFBDF9"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DFA"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DFB"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DFC" w14:textId="77777777" w:rsidR="002661BA" w:rsidRDefault="00D972BC">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22CFBDF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DFE"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DFF" w14:textId="77777777" w:rsidR="002661BA" w:rsidRDefault="00D972BC">
            <w:pPr>
              <w:jc w:val="right"/>
              <w:textAlignment w:val="bottom"/>
            </w:pPr>
            <w:r>
              <w:rPr>
                <w:rFonts w:ascii="Arial" w:eastAsia="宋体" w:hAnsi="Arial" w:cs="Arial"/>
                <w:color w:val="000000"/>
                <w:sz w:val="18"/>
                <w:szCs w:val="18"/>
              </w:rPr>
              <w:t>23 </w:t>
            </w:r>
          </w:p>
        </w:tc>
        <w:tc>
          <w:tcPr>
            <w:tcW w:w="0" w:type="auto"/>
            <w:shd w:val="clear" w:color="auto" w:fill="FFFFFF"/>
            <w:tcMar>
              <w:top w:w="40" w:type="dxa"/>
              <w:left w:w="0" w:type="dxa"/>
              <w:bottom w:w="40" w:type="dxa"/>
              <w:right w:w="20" w:type="dxa"/>
            </w:tcMar>
            <w:vAlign w:val="bottom"/>
          </w:tcPr>
          <w:p w14:paraId="22CFBE00" w14:textId="77777777" w:rsidR="002661BA" w:rsidRDefault="002661BA">
            <w:pPr>
              <w:jc w:val="right"/>
              <w:rPr>
                <w:rFonts w:ascii="宋体"/>
              </w:rPr>
            </w:pPr>
          </w:p>
        </w:tc>
      </w:tr>
      <w:tr w:rsidR="002661BA" w14:paraId="22CFBE0E" w14:textId="77777777">
        <w:tc>
          <w:tcPr>
            <w:tcW w:w="0" w:type="auto"/>
            <w:gridSpan w:val="3"/>
            <w:shd w:val="clear" w:color="auto" w:fill="DBDBDB"/>
            <w:tcMar>
              <w:top w:w="40" w:type="dxa"/>
              <w:left w:w="515" w:type="dxa"/>
              <w:bottom w:w="40" w:type="dxa"/>
              <w:right w:w="20" w:type="dxa"/>
            </w:tcMar>
            <w:vAlign w:val="bottom"/>
          </w:tcPr>
          <w:p w14:paraId="22CFBE02" w14:textId="77777777" w:rsidR="002661BA" w:rsidRDefault="00D972BC">
            <w:pPr>
              <w:textAlignment w:val="bottom"/>
            </w:pPr>
            <w:r>
              <w:rPr>
                <w:rFonts w:ascii="Arial" w:eastAsia="宋体" w:hAnsi="Arial" w:cs="Arial"/>
                <w:color w:val="000000"/>
                <w:sz w:val="18"/>
                <w:szCs w:val="18"/>
              </w:rPr>
              <w:t xml:space="preserve">Amortization of acquired </w:t>
            </w:r>
            <w:r>
              <w:rPr>
                <w:rFonts w:ascii="Arial" w:eastAsia="宋体" w:hAnsi="Arial" w:cs="Arial"/>
                <w:color w:val="000000"/>
                <w:sz w:val="18"/>
                <w:szCs w:val="18"/>
              </w:rPr>
              <w:t>intangible assets</w:t>
            </w:r>
          </w:p>
        </w:tc>
        <w:tc>
          <w:tcPr>
            <w:tcW w:w="0" w:type="auto"/>
            <w:shd w:val="clear" w:color="auto" w:fill="auto"/>
            <w:vAlign w:val="bottom"/>
          </w:tcPr>
          <w:p w14:paraId="22CFBE03" w14:textId="77777777" w:rsidR="002661BA" w:rsidRDefault="002661BA">
            <w:pPr>
              <w:rPr>
                <w:rFonts w:ascii="宋体"/>
                <w:vanish/>
              </w:rPr>
            </w:pPr>
          </w:p>
        </w:tc>
        <w:tc>
          <w:tcPr>
            <w:tcW w:w="0" w:type="auto"/>
            <w:shd w:val="clear" w:color="auto" w:fill="auto"/>
            <w:vAlign w:val="bottom"/>
          </w:tcPr>
          <w:p w14:paraId="22CFBE04" w14:textId="77777777" w:rsidR="002661BA" w:rsidRDefault="002661BA">
            <w:pPr>
              <w:rPr>
                <w:rFonts w:ascii="宋体"/>
                <w:vanish/>
              </w:rPr>
            </w:pPr>
          </w:p>
        </w:tc>
        <w:tc>
          <w:tcPr>
            <w:tcW w:w="0" w:type="auto"/>
            <w:shd w:val="clear" w:color="auto" w:fill="auto"/>
            <w:vAlign w:val="bottom"/>
          </w:tcPr>
          <w:p w14:paraId="22CFBE05" w14:textId="77777777" w:rsidR="002661BA" w:rsidRDefault="002661BA">
            <w:pPr>
              <w:rPr>
                <w:rFonts w:ascii="宋体"/>
                <w:vanish/>
              </w:rPr>
            </w:pPr>
          </w:p>
        </w:tc>
        <w:tc>
          <w:tcPr>
            <w:tcW w:w="0" w:type="auto"/>
            <w:gridSpan w:val="2"/>
            <w:shd w:val="clear" w:color="auto" w:fill="DBDBDB"/>
            <w:tcMar>
              <w:top w:w="40" w:type="dxa"/>
              <w:left w:w="20" w:type="dxa"/>
              <w:bottom w:w="40" w:type="dxa"/>
              <w:right w:w="0" w:type="dxa"/>
            </w:tcMar>
            <w:vAlign w:val="bottom"/>
          </w:tcPr>
          <w:p w14:paraId="22CFBE06"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BE07"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E08"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E09" w14:textId="77777777" w:rsidR="002661BA" w:rsidRDefault="00D972BC">
            <w:pPr>
              <w:jc w:val="right"/>
              <w:textAlignment w:val="bottom"/>
            </w:pPr>
            <w:r>
              <w:rPr>
                <w:rFonts w:ascii="Arial" w:eastAsia="宋体" w:hAnsi="Arial" w:cs="Arial"/>
                <w:color w:val="000000"/>
                <w:sz w:val="18"/>
                <w:szCs w:val="18"/>
              </w:rPr>
              <w:t>1 </w:t>
            </w:r>
          </w:p>
        </w:tc>
        <w:tc>
          <w:tcPr>
            <w:tcW w:w="0" w:type="auto"/>
            <w:shd w:val="clear" w:color="auto" w:fill="DBDBDB"/>
            <w:tcMar>
              <w:top w:w="40" w:type="dxa"/>
              <w:left w:w="0" w:type="dxa"/>
              <w:bottom w:w="40" w:type="dxa"/>
              <w:right w:w="20" w:type="dxa"/>
            </w:tcMar>
            <w:vAlign w:val="bottom"/>
          </w:tcPr>
          <w:p w14:paraId="22CFBE0A"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E0B"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E0C" w14:textId="77777777" w:rsidR="002661BA" w:rsidRDefault="00D972BC">
            <w:pPr>
              <w:jc w:val="right"/>
              <w:textAlignment w:val="bottom"/>
            </w:pPr>
            <w:r>
              <w:rPr>
                <w:rFonts w:ascii="Arial" w:eastAsia="宋体" w:hAnsi="Arial" w:cs="Arial"/>
                <w:color w:val="000000"/>
                <w:sz w:val="18"/>
                <w:szCs w:val="18"/>
              </w:rPr>
              <w:t>9 </w:t>
            </w:r>
          </w:p>
        </w:tc>
        <w:tc>
          <w:tcPr>
            <w:tcW w:w="0" w:type="auto"/>
            <w:shd w:val="clear" w:color="auto" w:fill="DBDBDB"/>
            <w:tcMar>
              <w:top w:w="40" w:type="dxa"/>
              <w:left w:w="0" w:type="dxa"/>
              <w:bottom w:w="40" w:type="dxa"/>
              <w:right w:w="20" w:type="dxa"/>
            </w:tcMar>
            <w:vAlign w:val="bottom"/>
          </w:tcPr>
          <w:p w14:paraId="22CFBE0D" w14:textId="77777777" w:rsidR="002661BA" w:rsidRDefault="002661BA">
            <w:pPr>
              <w:jc w:val="right"/>
              <w:rPr>
                <w:rFonts w:ascii="宋体"/>
              </w:rPr>
            </w:pPr>
          </w:p>
        </w:tc>
      </w:tr>
      <w:tr w:rsidR="002661BA" w14:paraId="22CFBE1B" w14:textId="77777777">
        <w:tc>
          <w:tcPr>
            <w:tcW w:w="0" w:type="auto"/>
            <w:gridSpan w:val="3"/>
            <w:shd w:val="clear" w:color="auto" w:fill="FFFFFF"/>
            <w:tcMar>
              <w:top w:w="40" w:type="dxa"/>
              <w:left w:w="875" w:type="dxa"/>
              <w:bottom w:w="40" w:type="dxa"/>
              <w:right w:w="20" w:type="dxa"/>
            </w:tcMar>
            <w:vAlign w:val="bottom"/>
          </w:tcPr>
          <w:p w14:paraId="22CFBE0F" w14:textId="77777777" w:rsidR="002661BA" w:rsidRDefault="00D972BC">
            <w:pPr>
              <w:textAlignment w:val="bottom"/>
            </w:pPr>
            <w:r>
              <w:rPr>
                <w:rFonts w:ascii="Arial" w:eastAsia="宋体" w:hAnsi="Arial" w:cs="Arial"/>
                <w:color w:val="000000"/>
                <w:sz w:val="18"/>
                <w:szCs w:val="18"/>
              </w:rPr>
              <w:t>Total operating expenses</w:t>
            </w:r>
          </w:p>
        </w:tc>
        <w:tc>
          <w:tcPr>
            <w:tcW w:w="0" w:type="auto"/>
            <w:shd w:val="clear" w:color="auto" w:fill="auto"/>
            <w:vAlign w:val="bottom"/>
          </w:tcPr>
          <w:p w14:paraId="22CFBE10" w14:textId="77777777" w:rsidR="002661BA" w:rsidRDefault="002661BA">
            <w:pPr>
              <w:rPr>
                <w:rFonts w:ascii="宋体"/>
                <w:vanish/>
              </w:rPr>
            </w:pPr>
          </w:p>
        </w:tc>
        <w:tc>
          <w:tcPr>
            <w:tcW w:w="0" w:type="auto"/>
            <w:shd w:val="clear" w:color="auto" w:fill="auto"/>
            <w:vAlign w:val="bottom"/>
          </w:tcPr>
          <w:p w14:paraId="22CFBE11" w14:textId="77777777" w:rsidR="002661BA" w:rsidRDefault="002661BA">
            <w:pPr>
              <w:rPr>
                <w:rFonts w:ascii="宋体"/>
                <w:vanish/>
              </w:rPr>
            </w:pPr>
          </w:p>
        </w:tc>
        <w:tc>
          <w:tcPr>
            <w:tcW w:w="0" w:type="auto"/>
            <w:shd w:val="clear" w:color="auto" w:fill="auto"/>
            <w:vAlign w:val="bottom"/>
          </w:tcPr>
          <w:p w14:paraId="22CFBE12" w14:textId="77777777" w:rsidR="002661BA" w:rsidRDefault="002661BA">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E13" w14:textId="77777777" w:rsidR="002661BA" w:rsidRDefault="00D972BC">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E1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E15"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E16" w14:textId="77777777" w:rsidR="002661BA" w:rsidRDefault="00D972BC">
            <w:pPr>
              <w:jc w:val="right"/>
              <w:textAlignment w:val="bottom"/>
            </w:pPr>
            <w:r>
              <w:rPr>
                <w:rFonts w:ascii="Arial" w:eastAsia="宋体" w:hAnsi="Arial" w:cs="Arial"/>
                <w:color w:val="000000"/>
                <w:sz w:val="18"/>
                <w:szCs w:val="18"/>
              </w:rPr>
              <w:t>111 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E1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E18"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BE19" w14:textId="77777777" w:rsidR="002661BA" w:rsidRDefault="00D972BC">
            <w:pPr>
              <w:jc w:val="right"/>
              <w:textAlignment w:val="bottom"/>
            </w:pPr>
            <w:r>
              <w:rPr>
                <w:rFonts w:ascii="Arial" w:eastAsia="宋体" w:hAnsi="Arial" w:cs="Arial"/>
                <w:color w:val="000000"/>
                <w:sz w:val="18"/>
                <w:szCs w:val="18"/>
              </w:rPr>
              <w:t>762 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BE1A" w14:textId="77777777" w:rsidR="002661BA" w:rsidRDefault="002661BA">
            <w:pPr>
              <w:jc w:val="right"/>
              <w:rPr>
                <w:rFonts w:ascii="宋体"/>
              </w:rPr>
            </w:pPr>
          </w:p>
        </w:tc>
      </w:tr>
      <w:tr w:rsidR="002661BA" w14:paraId="22CFBE28" w14:textId="77777777">
        <w:tc>
          <w:tcPr>
            <w:tcW w:w="0" w:type="auto"/>
            <w:gridSpan w:val="3"/>
            <w:shd w:val="clear" w:color="auto" w:fill="DBDBDB"/>
            <w:tcMar>
              <w:top w:w="40" w:type="dxa"/>
              <w:left w:w="20" w:type="dxa"/>
              <w:bottom w:w="40" w:type="dxa"/>
              <w:right w:w="20" w:type="dxa"/>
            </w:tcMar>
            <w:vAlign w:val="bottom"/>
          </w:tcPr>
          <w:p w14:paraId="22CFBE1C" w14:textId="77777777" w:rsidR="002661BA" w:rsidRDefault="00D972BC">
            <w:pPr>
              <w:textAlignment w:val="bottom"/>
            </w:pPr>
            <w:r>
              <w:rPr>
                <w:rFonts w:ascii="Arial" w:eastAsia="宋体" w:hAnsi="Arial" w:cs="Arial"/>
                <w:color w:val="000000"/>
                <w:sz w:val="18"/>
                <w:szCs w:val="18"/>
              </w:rPr>
              <w:t>Income (loss) from operations of discontinued operations</w:t>
            </w:r>
          </w:p>
        </w:tc>
        <w:tc>
          <w:tcPr>
            <w:tcW w:w="0" w:type="auto"/>
            <w:shd w:val="clear" w:color="auto" w:fill="auto"/>
            <w:vAlign w:val="bottom"/>
          </w:tcPr>
          <w:p w14:paraId="22CFBE1D" w14:textId="77777777" w:rsidR="002661BA" w:rsidRDefault="002661BA">
            <w:pPr>
              <w:rPr>
                <w:rFonts w:ascii="宋体"/>
                <w:vanish/>
              </w:rPr>
            </w:pPr>
          </w:p>
        </w:tc>
        <w:tc>
          <w:tcPr>
            <w:tcW w:w="0" w:type="auto"/>
            <w:shd w:val="clear" w:color="auto" w:fill="auto"/>
            <w:vAlign w:val="bottom"/>
          </w:tcPr>
          <w:p w14:paraId="22CFBE1E" w14:textId="77777777" w:rsidR="002661BA" w:rsidRDefault="002661BA">
            <w:pPr>
              <w:rPr>
                <w:rFonts w:ascii="宋体"/>
                <w:vanish/>
              </w:rPr>
            </w:pPr>
          </w:p>
        </w:tc>
        <w:tc>
          <w:tcPr>
            <w:tcW w:w="0" w:type="auto"/>
            <w:shd w:val="clear" w:color="auto" w:fill="auto"/>
            <w:vAlign w:val="bottom"/>
          </w:tcPr>
          <w:p w14:paraId="22CFBE1F" w14:textId="77777777" w:rsidR="002661BA" w:rsidRDefault="002661BA">
            <w:pPr>
              <w:rPr>
                <w:rFonts w:ascii="宋体"/>
                <w:vanish/>
              </w:rPr>
            </w:pPr>
          </w:p>
        </w:tc>
        <w:tc>
          <w:tcPr>
            <w:tcW w:w="0" w:type="auto"/>
            <w:gridSpan w:val="2"/>
            <w:shd w:val="clear" w:color="auto" w:fill="DBDBDB"/>
            <w:tcMar>
              <w:top w:w="40" w:type="dxa"/>
              <w:left w:w="20" w:type="dxa"/>
              <w:bottom w:w="40" w:type="dxa"/>
              <w:right w:w="0" w:type="dxa"/>
            </w:tcMar>
            <w:vAlign w:val="bottom"/>
          </w:tcPr>
          <w:p w14:paraId="22CFBE20" w14:textId="77777777" w:rsidR="002661BA" w:rsidRDefault="00D972BC">
            <w:pPr>
              <w:jc w:val="right"/>
              <w:textAlignment w:val="bottom"/>
            </w:pPr>
            <w:r>
              <w:rPr>
                <w:rFonts w:ascii="Arial" w:eastAsia="宋体" w:hAnsi="Arial" w:cs="Arial"/>
                <w:color w:val="000000"/>
                <w:sz w:val="18"/>
                <w:szCs w:val="18"/>
              </w:rPr>
              <w:t>(1)</w:t>
            </w:r>
          </w:p>
        </w:tc>
        <w:tc>
          <w:tcPr>
            <w:tcW w:w="0" w:type="auto"/>
            <w:shd w:val="clear" w:color="auto" w:fill="DBDBDB"/>
            <w:tcMar>
              <w:top w:w="40" w:type="dxa"/>
              <w:left w:w="0" w:type="dxa"/>
              <w:bottom w:w="40" w:type="dxa"/>
              <w:right w:w="20" w:type="dxa"/>
            </w:tcMar>
            <w:vAlign w:val="bottom"/>
          </w:tcPr>
          <w:p w14:paraId="22CFBE21"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E22"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E23" w14:textId="77777777" w:rsidR="002661BA" w:rsidRDefault="00D972BC">
            <w:pPr>
              <w:jc w:val="right"/>
              <w:textAlignment w:val="bottom"/>
            </w:pPr>
            <w:r>
              <w:rPr>
                <w:rFonts w:ascii="Arial" w:eastAsia="宋体" w:hAnsi="Arial" w:cs="Arial"/>
                <w:color w:val="000000"/>
                <w:sz w:val="18"/>
                <w:szCs w:val="18"/>
              </w:rPr>
              <w:t>(42)</w:t>
            </w:r>
          </w:p>
        </w:tc>
        <w:tc>
          <w:tcPr>
            <w:tcW w:w="0" w:type="auto"/>
            <w:shd w:val="clear" w:color="auto" w:fill="DBDBDB"/>
            <w:tcMar>
              <w:top w:w="40" w:type="dxa"/>
              <w:left w:w="0" w:type="dxa"/>
              <w:bottom w:w="40" w:type="dxa"/>
              <w:right w:w="20" w:type="dxa"/>
            </w:tcMar>
            <w:vAlign w:val="bottom"/>
          </w:tcPr>
          <w:p w14:paraId="22CFBE24"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E25"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BE26" w14:textId="77777777" w:rsidR="002661BA" w:rsidRDefault="00D972BC">
            <w:pPr>
              <w:jc w:val="right"/>
              <w:textAlignment w:val="bottom"/>
            </w:pPr>
            <w:r>
              <w:rPr>
                <w:rFonts w:ascii="Arial" w:eastAsia="宋体" w:hAnsi="Arial" w:cs="Arial"/>
                <w:color w:val="000000"/>
                <w:sz w:val="18"/>
                <w:szCs w:val="18"/>
              </w:rPr>
              <w:t>69 </w:t>
            </w:r>
          </w:p>
        </w:tc>
        <w:tc>
          <w:tcPr>
            <w:tcW w:w="0" w:type="auto"/>
            <w:shd w:val="clear" w:color="auto" w:fill="DBDBDB"/>
            <w:tcMar>
              <w:top w:w="40" w:type="dxa"/>
              <w:left w:w="0" w:type="dxa"/>
              <w:bottom w:w="40" w:type="dxa"/>
              <w:right w:w="20" w:type="dxa"/>
            </w:tcMar>
            <w:vAlign w:val="bottom"/>
          </w:tcPr>
          <w:p w14:paraId="22CFBE27" w14:textId="77777777" w:rsidR="002661BA" w:rsidRDefault="002661BA">
            <w:pPr>
              <w:jc w:val="right"/>
              <w:rPr>
                <w:rFonts w:ascii="宋体"/>
              </w:rPr>
            </w:pPr>
          </w:p>
        </w:tc>
      </w:tr>
      <w:tr w:rsidR="002661BA" w14:paraId="22CFBE35" w14:textId="77777777">
        <w:tc>
          <w:tcPr>
            <w:tcW w:w="0" w:type="auto"/>
            <w:gridSpan w:val="3"/>
            <w:shd w:val="clear" w:color="auto" w:fill="FFFFFF"/>
            <w:tcMar>
              <w:top w:w="40" w:type="dxa"/>
              <w:left w:w="20" w:type="dxa"/>
              <w:bottom w:w="40" w:type="dxa"/>
              <w:right w:w="20" w:type="dxa"/>
            </w:tcMar>
            <w:vAlign w:val="bottom"/>
          </w:tcPr>
          <w:p w14:paraId="22CFBE29" w14:textId="77777777" w:rsidR="002661BA" w:rsidRDefault="00D972BC">
            <w:pPr>
              <w:textAlignment w:val="bottom"/>
            </w:pPr>
            <w:r>
              <w:rPr>
                <w:rFonts w:ascii="Arial" w:eastAsia="宋体" w:hAnsi="Arial" w:cs="Arial"/>
                <w:color w:val="000000"/>
                <w:sz w:val="18"/>
                <w:szCs w:val="18"/>
              </w:rPr>
              <w:t>Pre-tax gain on sale</w:t>
            </w:r>
          </w:p>
        </w:tc>
        <w:tc>
          <w:tcPr>
            <w:tcW w:w="0" w:type="auto"/>
            <w:shd w:val="clear" w:color="auto" w:fill="auto"/>
            <w:vAlign w:val="bottom"/>
          </w:tcPr>
          <w:p w14:paraId="22CFBE2A" w14:textId="77777777" w:rsidR="002661BA" w:rsidRDefault="002661BA">
            <w:pPr>
              <w:rPr>
                <w:rFonts w:ascii="宋体"/>
                <w:vanish/>
              </w:rPr>
            </w:pPr>
          </w:p>
        </w:tc>
        <w:tc>
          <w:tcPr>
            <w:tcW w:w="0" w:type="auto"/>
            <w:shd w:val="clear" w:color="auto" w:fill="auto"/>
            <w:vAlign w:val="bottom"/>
          </w:tcPr>
          <w:p w14:paraId="22CFBE2B" w14:textId="77777777" w:rsidR="002661BA" w:rsidRDefault="002661BA">
            <w:pPr>
              <w:rPr>
                <w:rFonts w:ascii="宋体"/>
                <w:vanish/>
              </w:rPr>
            </w:pPr>
          </w:p>
        </w:tc>
        <w:tc>
          <w:tcPr>
            <w:tcW w:w="0" w:type="auto"/>
            <w:shd w:val="clear" w:color="auto" w:fill="auto"/>
            <w:vAlign w:val="bottom"/>
          </w:tcPr>
          <w:p w14:paraId="22CFBE2C" w14:textId="77777777" w:rsidR="002661BA" w:rsidRDefault="002661BA">
            <w:pPr>
              <w:rPr>
                <w:rFonts w:ascii="宋体"/>
                <w:vanish/>
              </w:rPr>
            </w:pPr>
          </w:p>
        </w:tc>
        <w:tc>
          <w:tcPr>
            <w:tcW w:w="0" w:type="auto"/>
            <w:gridSpan w:val="2"/>
            <w:shd w:val="clear" w:color="auto" w:fill="FFFFFF"/>
            <w:tcMar>
              <w:top w:w="40" w:type="dxa"/>
              <w:left w:w="20" w:type="dxa"/>
              <w:bottom w:w="40" w:type="dxa"/>
              <w:right w:w="0" w:type="dxa"/>
            </w:tcMar>
            <w:vAlign w:val="bottom"/>
          </w:tcPr>
          <w:p w14:paraId="22CFBE2D" w14:textId="77777777" w:rsidR="002661BA" w:rsidRDefault="00D972BC">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22CFBE2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E2F"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E30" w14:textId="77777777" w:rsidR="002661BA" w:rsidRDefault="00D972BC">
            <w:pPr>
              <w:jc w:val="right"/>
              <w:textAlignment w:val="bottom"/>
            </w:pPr>
            <w:r>
              <w:rPr>
                <w:rFonts w:ascii="Arial" w:eastAsia="宋体" w:hAnsi="Arial" w:cs="Arial"/>
                <w:color w:val="000000"/>
                <w:sz w:val="18"/>
                <w:szCs w:val="18"/>
              </w:rPr>
              <w:t>3,868 </w:t>
            </w:r>
          </w:p>
        </w:tc>
        <w:tc>
          <w:tcPr>
            <w:tcW w:w="0" w:type="auto"/>
            <w:shd w:val="clear" w:color="auto" w:fill="FFFFFF"/>
            <w:tcMar>
              <w:top w:w="40" w:type="dxa"/>
              <w:left w:w="0" w:type="dxa"/>
              <w:bottom w:w="40" w:type="dxa"/>
              <w:right w:w="20" w:type="dxa"/>
            </w:tcMar>
            <w:vAlign w:val="bottom"/>
          </w:tcPr>
          <w:p w14:paraId="22CFBE3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E32"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E33"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BE34" w14:textId="77777777" w:rsidR="002661BA" w:rsidRDefault="002661BA">
            <w:pPr>
              <w:jc w:val="right"/>
              <w:rPr>
                <w:rFonts w:ascii="宋体"/>
              </w:rPr>
            </w:pPr>
          </w:p>
        </w:tc>
      </w:tr>
      <w:tr w:rsidR="002661BA" w14:paraId="22CFBE42" w14:textId="77777777">
        <w:tc>
          <w:tcPr>
            <w:tcW w:w="0" w:type="auto"/>
            <w:gridSpan w:val="3"/>
            <w:shd w:val="clear" w:color="auto" w:fill="DBDBDB"/>
            <w:tcMar>
              <w:top w:w="40" w:type="dxa"/>
              <w:left w:w="20" w:type="dxa"/>
              <w:bottom w:w="40" w:type="dxa"/>
              <w:right w:w="20" w:type="dxa"/>
            </w:tcMar>
            <w:vAlign w:val="bottom"/>
          </w:tcPr>
          <w:p w14:paraId="22CFBE36" w14:textId="77777777" w:rsidR="002661BA" w:rsidRDefault="00D972BC">
            <w:pPr>
              <w:textAlignment w:val="bottom"/>
            </w:pPr>
            <w:r>
              <w:rPr>
                <w:rFonts w:ascii="Arial" w:eastAsia="宋体" w:hAnsi="Arial" w:cs="Arial"/>
                <w:color w:val="000000"/>
                <w:sz w:val="18"/>
                <w:szCs w:val="18"/>
              </w:rPr>
              <w:t>Income from discontinued operations before income taxes</w:t>
            </w:r>
          </w:p>
        </w:tc>
        <w:tc>
          <w:tcPr>
            <w:tcW w:w="0" w:type="auto"/>
            <w:shd w:val="clear" w:color="auto" w:fill="auto"/>
            <w:vAlign w:val="bottom"/>
          </w:tcPr>
          <w:p w14:paraId="22CFBE37" w14:textId="77777777" w:rsidR="002661BA" w:rsidRDefault="002661BA">
            <w:pPr>
              <w:rPr>
                <w:rFonts w:ascii="宋体"/>
                <w:vanish/>
              </w:rPr>
            </w:pPr>
          </w:p>
        </w:tc>
        <w:tc>
          <w:tcPr>
            <w:tcW w:w="0" w:type="auto"/>
            <w:shd w:val="clear" w:color="auto" w:fill="auto"/>
            <w:vAlign w:val="bottom"/>
          </w:tcPr>
          <w:p w14:paraId="22CFBE38" w14:textId="77777777" w:rsidR="002661BA" w:rsidRDefault="002661BA">
            <w:pPr>
              <w:rPr>
                <w:rFonts w:ascii="宋体"/>
                <w:vanish/>
              </w:rPr>
            </w:pPr>
          </w:p>
        </w:tc>
        <w:tc>
          <w:tcPr>
            <w:tcW w:w="0" w:type="auto"/>
            <w:shd w:val="clear" w:color="auto" w:fill="auto"/>
            <w:vAlign w:val="bottom"/>
          </w:tcPr>
          <w:p w14:paraId="22CFBE39" w14:textId="77777777" w:rsidR="002661BA" w:rsidRDefault="002661BA">
            <w:pPr>
              <w:rPr>
                <w:rFonts w:ascii="宋体"/>
                <w:vanish/>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E3A" w14:textId="77777777" w:rsidR="002661BA" w:rsidRDefault="00D972BC">
            <w:pPr>
              <w:jc w:val="right"/>
              <w:textAlignment w:val="bottom"/>
            </w:pPr>
            <w:r>
              <w:rPr>
                <w:rFonts w:ascii="Arial" w:eastAsia="宋体" w:hAnsi="Arial" w:cs="Arial"/>
                <w:color w:val="000000"/>
                <w:sz w:val="18"/>
                <w:szCs w:val="18"/>
              </w:rPr>
              <w:t>11 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E3B"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E3C"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E3D" w14:textId="77777777" w:rsidR="002661BA" w:rsidRDefault="00D972BC">
            <w:pPr>
              <w:jc w:val="right"/>
              <w:textAlignment w:val="bottom"/>
            </w:pPr>
            <w:r>
              <w:rPr>
                <w:rFonts w:ascii="Arial" w:eastAsia="宋体" w:hAnsi="Arial" w:cs="Arial"/>
                <w:color w:val="000000"/>
                <w:sz w:val="18"/>
                <w:szCs w:val="18"/>
              </w:rPr>
              <w:t>3,826 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E3E"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E3F"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BE40" w14:textId="77777777" w:rsidR="002661BA" w:rsidRDefault="00D972BC">
            <w:pPr>
              <w:jc w:val="right"/>
              <w:textAlignment w:val="bottom"/>
            </w:pPr>
            <w:r>
              <w:rPr>
                <w:rFonts w:ascii="Arial" w:eastAsia="宋体" w:hAnsi="Arial" w:cs="Arial"/>
                <w:color w:val="000000"/>
                <w:sz w:val="18"/>
                <w:szCs w:val="18"/>
              </w:rPr>
              <w:t>69 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BE41" w14:textId="77777777" w:rsidR="002661BA" w:rsidRDefault="002661BA">
            <w:pPr>
              <w:jc w:val="right"/>
              <w:rPr>
                <w:rFonts w:ascii="宋体"/>
              </w:rPr>
            </w:pPr>
          </w:p>
        </w:tc>
      </w:tr>
      <w:tr w:rsidR="002661BA" w14:paraId="22CFBE4F" w14:textId="77777777">
        <w:tc>
          <w:tcPr>
            <w:tcW w:w="0" w:type="auto"/>
            <w:gridSpan w:val="3"/>
            <w:shd w:val="clear" w:color="auto" w:fill="FFFFFF"/>
            <w:tcMar>
              <w:top w:w="40" w:type="dxa"/>
              <w:left w:w="20" w:type="dxa"/>
              <w:bottom w:w="40" w:type="dxa"/>
              <w:right w:w="20" w:type="dxa"/>
            </w:tcMar>
            <w:vAlign w:val="bottom"/>
          </w:tcPr>
          <w:p w14:paraId="22CFBE43" w14:textId="77777777" w:rsidR="002661BA" w:rsidRDefault="00D972BC">
            <w:pPr>
              <w:textAlignment w:val="bottom"/>
            </w:pPr>
            <w:r>
              <w:rPr>
                <w:rFonts w:ascii="Arial" w:eastAsia="宋体" w:hAnsi="Arial" w:cs="Arial"/>
                <w:color w:val="000000"/>
                <w:sz w:val="18"/>
                <w:szCs w:val="18"/>
              </w:rPr>
              <w:t>Income tax provision</w:t>
            </w:r>
          </w:p>
        </w:tc>
        <w:tc>
          <w:tcPr>
            <w:tcW w:w="0" w:type="auto"/>
            <w:shd w:val="clear" w:color="auto" w:fill="auto"/>
            <w:vAlign w:val="bottom"/>
          </w:tcPr>
          <w:p w14:paraId="22CFBE44" w14:textId="77777777" w:rsidR="002661BA" w:rsidRDefault="002661BA">
            <w:pPr>
              <w:rPr>
                <w:rFonts w:ascii="宋体"/>
                <w:vanish/>
              </w:rPr>
            </w:pPr>
          </w:p>
        </w:tc>
        <w:tc>
          <w:tcPr>
            <w:tcW w:w="0" w:type="auto"/>
            <w:shd w:val="clear" w:color="auto" w:fill="auto"/>
            <w:vAlign w:val="bottom"/>
          </w:tcPr>
          <w:p w14:paraId="22CFBE45" w14:textId="77777777" w:rsidR="002661BA" w:rsidRDefault="002661BA">
            <w:pPr>
              <w:rPr>
                <w:rFonts w:ascii="宋体"/>
                <w:vanish/>
              </w:rPr>
            </w:pPr>
          </w:p>
        </w:tc>
        <w:tc>
          <w:tcPr>
            <w:tcW w:w="0" w:type="auto"/>
            <w:shd w:val="clear" w:color="auto" w:fill="auto"/>
            <w:vAlign w:val="bottom"/>
          </w:tcPr>
          <w:p w14:paraId="22CFBE46" w14:textId="77777777" w:rsidR="002661BA" w:rsidRDefault="002661BA">
            <w:pPr>
              <w:rPr>
                <w:rFonts w:ascii="宋体"/>
                <w:vanish/>
              </w:rPr>
            </w:pPr>
          </w:p>
        </w:tc>
        <w:tc>
          <w:tcPr>
            <w:tcW w:w="0" w:type="auto"/>
            <w:gridSpan w:val="2"/>
            <w:shd w:val="clear" w:color="auto" w:fill="FFFFFF"/>
            <w:tcMar>
              <w:top w:w="40" w:type="dxa"/>
              <w:left w:w="20" w:type="dxa"/>
              <w:bottom w:w="40" w:type="dxa"/>
              <w:right w:w="0" w:type="dxa"/>
            </w:tcMar>
            <w:vAlign w:val="bottom"/>
          </w:tcPr>
          <w:p w14:paraId="22CFBE47" w14:textId="77777777" w:rsidR="002661BA" w:rsidRDefault="00D972BC">
            <w:pPr>
              <w:jc w:val="right"/>
              <w:textAlignment w:val="bottom"/>
            </w:pPr>
            <w:r>
              <w:rPr>
                <w:rFonts w:ascii="Arial" w:eastAsia="宋体" w:hAnsi="Arial" w:cs="Arial"/>
                <w:color w:val="000000"/>
                <w:sz w:val="18"/>
                <w:szCs w:val="18"/>
              </w:rPr>
              <w:t>(10)</w:t>
            </w:r>
          </w:p>
        </w:tc>
        <w:tc>
          <w:tcPr>
            <w:tcW w:w="0" w:type="auto"/>
            <w:shd w:val="clear" w:color="auto" w:fill="FFFFFF"/>
            <w:tcMar>
              <w:top w:w="40" w:type="dxa"/>
              <w:left w:w="0" w:type="dxa"/>
              <w:bottom w:w="40" w:type="dxa"/>
              <w:right w:w="20" w:type="dxa"/>
            </w:tcMar>
            <w:vAlign w:val="bottom"/>
          </w:tcPr>
          <w:p w14:paraId="22CFBE4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E49"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E4A" w14:textId="77777777" w:rsidR="002661BA" w:rsidRDefault="00D972BC">
            <w:pPr>
              <w:jc w:val="right"/>
              <w:textAlignment w:val="bottom"/>
            </w:pPr>
            <w:r>
              <w:rPr>
                <w:rFonts w:ascii="Arial" w:eastAsia="宋体" w:hAnsi="Arial" w:cs="Arial"/>
                <w:color w:val="000000"/>
                <w:sz w:val="18"/>
                <w:szCs w:val="18"/>
              </w:rPr>
              <w:t>(896)</w:t>
            </w:r>
          </w:p>
        </w:tc>
        <w:tc>
          <w:tcPr>
            <w:tcW w:w="0" w:type="auto"/>
            <w:shd w:val="clear" w:color="auto" w:fill="FFFFFF"/>
            <w:tcMar>
              <w:top w:w="40" w:type="dxa"/>
              <w:left w:w="0" w:type="dxa"/>
              <w:bottom w:w="40" w:type="dxa"/>
              <w:right w:w="20" w:type="dxa"/>
            </w:tcMar>
            <w:vAlign w:val="bottom"/>
          </w:tcPr>
          <w:p w14:paraId="22CFBE4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E4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BE4D" w14:textId="77777777" w:rsidR="002661BA" w:rsidRDefault="00D972BC">
            <w:pPr>
              <w:jc w:val="right"/>
              <w:textAlignment w:val="bottom"/>
            </w:pPr>
            <w:r>
              <w:rPr>
                <w:rFonts w:ascii="Arial" w:eastAsia="宋体" w:hAnsi="Arial" w:cs="Arial"/>
                <w:color w:val="000000"/>
                <w:sz w:val="18"/>
                <w:szCs w:val="18"/>
              </w:rPr>
              <w:t>(10)</w:t>
            </w:r>
          </w:p>
        </w:tc>
        <w:tc>
          <w:tcPr>
            <w:tcW w:w="0" w:type="auto"/>
            <w:shd w:val="clear" w:color="auto" w:fill="FFFFFF"/>
            <w:tcMar>
              <w:top w:w="40" w:type="dxa"/>
              <w:left w:w="0" w:type="dxa"/>
              <w:bottom w:w="40" w:type="dxa"/>
              <w:right w:w="20" w:type="dxa"/>
            </w:tcMar>
            <w:vAlign w:val="bottom"/>
          </w:tcPr>
          <w:p w14:paraId="22CFBE4E" w14:textId="77777777" w:rsidR="002661BA" w:rsidRDefault="002661BA">
            <w:pPr>
              <w:jc w:val="right"/>
              <w:rPr>
                <w:rFonts w:ascii="宋体"/>
              </w:rPr>
            </w:pPr>
          </w:p>
        </w:tc>
      </w:tr>
      <w:tr w:rsidR="002661BA" w14:paraId="22CFBE5F" w14:textId="77777777">
        <w:tc>
          <w:tcPr>
            <w:tcW w:w="0" w:type="auto"/>
            <w:gridSpan w:val="3"/>
            <w:shd w:val="clear" w:color="auto" w:fill="DBDBDB"/>
            <w:tcMar>
              <w:top w:w="40" w:type="dxa"/>
              <w:left w:w="20" w:type="dxa"/>
              <w:bottom w:w="40" w:type="dxa"/>
              <w:right w:w="20" w:type="dxa"/>
            </w:tcMar>
            <w:vAlign w:val="bottom"/>
          </w:tcPr>
          <w:p w14:paraId="22CFBE50" w14:textId="77777777" w:rsidR="002661BA" w:rsidRDefault="00D972BC">
            <w:pPr>
              <w:textAlignment w:val="bottom"/>
            </w:pPr>
            <w:r>
              <w:rPr>
                <w:rFonts w:ascii="Arial" w:eastAsia="宋体" w:hAnsi="Arial" w:cs="Arial"/>
                <w:color w:val="000000"/>
                <w:sz w:val="18"/>
                <w:szCs w:val="18"/>
              </w:rPr>
              <w:t>Income from discontinued operations, net of income taxes</w:t>
            </w:r>
          </w:p>
        </w:tc>
        <w:tc>
          <w:tcPr>
            <w:tcW w:w="0" w:type="auto"/>
            <w:shd w:val="clear" w:color="auto" w:fill="auto"/>
            <w:vAlign w:val="bottom"/>
          </w:tcPr>
          <w:p w14:paraId="22CFBE51" w14:textId="77777777" w:rsidR="002661BA" w:rsidRDefault="002661BA">
            <w:pPr>
              <w:rPr>
                <w:rFonts w:ascii="宋体"/>
                <w:vanish/>
              </w:rPr>
            </w:pPr>
          </w:p>
        </w:tc>
        <w:tc>
          <w:tcPr>
            <w:tcW w:w="0" w:type="auto"/>
            <w:shd w:val="clear" w:color="auto" w:fill="auto"/>
            <w:vAlign w:val="bottom"/>
          </w:tcPr>
          <w:p w14:paraId="22CFBE52" w14:textId="77777777" w:rsidR="002661BA" w:rsidRDefault="002661BA">
            <w:pPr>
              <w:rPr>
                <w:rFonts w:ascii="宋体"/>
                <w:vanish/>
              </w:rPr>
            </w:pPr>
          </w:p>
        </w:tc>
        <w:tc>
          <w:tcPr>
            <w:tcW w:w="0" w:type="auto"/>
            <w:shd w:val="clear" w:color="auto" w:fill="auto"/>
            <w:vAlign w:val="bottom"/>
          </w:tcPr>
          <w:p w14:paraId="22CFBE53" w14:textId="77777777" w:rsidR="002661BA" w:rsidRDefault="002661BA">
            <w:pPr>
              <w:rPr>
                <w:rFonts w:ascii="宋体"/>
                <w:vanish/>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22CFBE5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22CFBE55" w14:textId="77777777" w:rsidR="002661BA" w:rsidRDefault="00D972BC">
            <w:pPr>
              <w:jc w:val="right"/>
              <w:textAlignment w:val="bottom"/>
            </w:pPr>
            <w:r>
              <w:rPr>
                <w:rFonts w:ascii="Arial" w:eastAsia="宋体" w:hAnsi="Arial" w:cs="Arial"/>
                <w:color w:val="000000"/>
                <w:sz w:val="18"/>
                <w:szCs w:val="18"/>
              </w:rPr>
              <w:t>1 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22CFBE56"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E57" w14:textId="77777777" w:rsidR="002661BA" w:rsidRDefault="002661BA">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22CFBE5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22CFBE59" w14:textId="77777777" w:rsidR="002661BA" w:rsidRDefault="00D972BC">
            <w:pPr>
              <w:jc w:val="right"/>
              <w:textAlignment w:val="bottom"/>
            </w:pPr>
            <w:r>
              <w:rPr>
                <w:rFonts w:ascii="Arial" w:eastAsia="宋体" w:hAnsi="Arial" w:cs="Arial"/>
                <w:color w:val="000000"/>
                <w:sz w:val="18"/>
                <w:szCs w:val="18"/>
              </w:rPr>
              <w:t>2,930 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22CFBE5A"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BE5B" w14:textId="77777777" w:rsidR="002661BA" w:rsidRDefault="002661BA">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22CFBE5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22CFBE5D" w14:textId="77777777" w:rsidR="002661BA" w:rsidRDefault="00D972BC">
            <w:pPr>
              <w:jc w:val="right"/>
              <w:textAlignment w:val="bottom"/>
            </w:pPr>
            <w:r>
              <w:rPr>
                <w:rFonts w:ascii="Arial" w:eastAsia="宋体" w:hAnsi="Arial" w:cs="Arial"/>
                <w:color w:val="000000"/>
                <w:sz w:val="18"/>
                <w:szCs w:val="18"/>
              </w:rPr>
              <w:t>59 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22CFBE5E" w14:textId="77777777" w:rsidR="002661BA" w:rsidRDefault="002661BA">
            <w:pPr>
              <w:jc w:val="right"/>
              <w:rPr>
                <w:rFonts w:ascii="宋体"/>
              </w:rPr>
            </w:pPr>
          </w:p>
        </w:tc>
      </w:tr>
    </w:tbl>
    <w:p w14:paraId="22CFBE60" w14:textId="77777777" w:rsidR="002661BA" w:rsidRDefault="00D972BC">
      <w:pPr>
        <w:ind w:hanging="360"/>
        <w:jc w:val="both"/>
      </w:pPr>
      <w:r>
        <w:rPr>
          <w:rFonts w:ascii="Arial" w:eastAsia="宋体" w:hAnsi="Arial" w:cs="Arial"/>
          <w:color w:val="000000"/>
          <w:sz w:val="16"/>
          <w:szCs w:val="16"/>
        </w:rPr>
        <w:t>(1)Includes StubHub financial results from January 1, 2020 to February 13, 2020, and includes the gain on sale recorded for the StubHub transaction.</w:t>
      </w:r>
    </w:p>
    <w:p w14:paraId="22CFBE61" w14:textId="77777777" w:rsidR="002661BA" w:rsidRDefault="002661BA">
      <w:pPr>
        <w:ind w:hanging="180"/>
        <w:jc w:val="both"/>
      </w:pPr>
    </w:p>
    <w:p w14:paraId="22CFBE62" w14:textId="77777777" w:rsidR="002661BA" w:rsidRDefault="00D972BC">
      <w:pPr>
        <w:ind w:firstLine="270"/>
        <w:jc w:val="both"/>
      </w:pPr>
      <w:r>
        <w:rPr>
          <w:rFonts w:ascii="Arial" w:eastAsia="宋体" w:hAnsi="Arial" w:cs="Arial"/>
          <w:b/>
          <w:bCs/>
          <w:i/>
          <w:iCs/>
          <w:color w:val="000000"/>
          <w:sz w:val="20"/>
          <w:szCs w:val="20"/>
        </w:rPr>
        <w:t>Paypal and Enterprise</w:t>
      </w:r>
    </w:p>
    <w:p w14:paraId="22CFBE63" w14:textId="77777777" w:rsidR="002661BA" w:rsidRDefault="002661BA">
      <w:pPr>
        <w:ind w:firstLine="540"/>
        <w:jc w:val="both"/>
      </w:pPr>
    </w:p>
    <w:p w14:paraId="22CFBE64" w14:textId="77777777" w:rsidR="002661BA" w:rsidRDefault="00D972BC">
      <w:pPr>
        <w:ind w:firstLine="540"/>
        <w:jc w:val="both"/>
      </w:pPr>
      <w:r>
        <w:rPr>
          <w:rFonts w:ascii="Arial" w:eastAsia="宋体" w:hAnsi="Arial" w:cs="Arial"/>
          <w:color w:val="000000"/>
          <w:sz w:val="20"/>
          <w:szCs w:val="20"/>
        </w:rPr>
        <w:t xml:space="preserve">For the years ended December 31, 2021, 2020 and 2019, the discontinued operations activity related to our former PayPal and Enterprise businesses was immaterial. </w:t>
      </w:r>
    </w:p>
    <w:p w14:paraId="22CFBE65" w14:textId="77777777" w:rsidR="002661BA" w:rsidRDefault="002661BA"/>
    <w:p w14:paraId="22CFBE66" w14:textId="77777777" w:rsidR="002661BA" w:rsidRDefault="00D972BC">
      <w:pPr>
        <w:jc w:val="center"/>
      </w:pPr>
      <w:r>
        <w:rPr>
          <w:rFonts w:ascii="Arial" w:eastAsia="宋体" w:hAnsi="Arial" w:cs="Arial"/>
          <w:color w:val="000000"/>
          <w:sz w:val="18"/>
          <w:szCs w:val="18"/>
        </w:rPr>
        <w:t>77</w:t>
      </w:r>
    </w:p>
    <w:p w14:paraId="22CFBE67" w14:textId="77777777" w:rsidR="002661BA" w:rsidRDefault="00D972BC">
      <w:r>
        <w:pict w14:anchorId="22CFE4FE">
          <v:rect id="_x0000_i1101" style="width:415.3pt;height:1.5pt" o:hralign="center" o:hrstd="t" o:hr="t" fillcolor="#a0a0a0" stroked="f"/>
        </w:pict>
      </w:r>
    </w:p>
    <w:p w14:paraId="22CFBE68" w14:textId="77777777" w:rsidR="002661BA" w:rsidRDefault="00D972BC">
      <w:hyperlink r:id="rId112" w:anchor="id0d7a71b05ce452ea9fdb54f3cb359c7_7" w:history="1">
        <w:r>
          <w:rPr>
            <w:rStyle w:val="a5"/>
            <w:rFonts w:ascii="Arial" w:eastAsia="宋体" w:hAnsi="Arial" w:cs="Arial"/>
            <w:sz w:val="18"/>
            <w:szCs w:val="18"/>
          </w:rPr>
          <w:t>Table of Contents</w:t>
        </w:r>
      </w:hyperlink>
    </w:p>
    <w:p w14:paraId="22CFBE69" w14:textId="77777777" w:rsidR="002661BA" w:rsidRDefault="00D972BC">
      <w:pPr>
        <w:jc w:val="center"/>
      </w:pPr>
      <w:r>
        <w:rPr>
          <w:rFonts w:ascii="Arial" w:eastAsia="宋体" w:hAnsi="Arial" w:cs="Arial"/>
          <w:b/>
          <w:bCs/>
          <w:color w:val="000000"/>
          <w:sz w:val="20"/>
          <w:szCs w:val="20"/>
        </w:rPr>
        <w:t>eBay Inc.</w:t>
      </w:r>
    </w:p>
    <w:p w14:paraId="22CFBE6A"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BE6B" w14:textId="77777777" w:rsidR="002661BA" w:rsidRDefault="00D972BC">
      <w:pPr>
        <w:jc w:val="both"/>
      </w:pPr>
      <w:r>
        <w:rPr>
          <w:rFonts w:ascii="Arial" w:eastAsia="宋体" w:hAnsi="Arial" w:cs="Arial"/>
          <w:b/>
          <w:bCs/>
          <w:color w:val="000000"/>
          <w:sz w:val="20"/>
          <w:szCs w:val="20"/>
        </w:rPr>
        <w:t xml:space="preserve">Note 4 — Goodwill and Intangible Assets </w:t>
      </w:r>
    </w:p>
    <w:p w14:paraId="22CFBE6C" w14:textId="77777777" w:rsidR="002661BA" w:rsidRDefault="002661BA">
      <w:pPr>
        <w:jc w:val="both"/>
      </w:pPr>
    </w:p>
    <w:p w14:paraId="22CFBE6D" w14:textId="77777777" w:rsidR="002661BA" w:rsidRDefault="00D972BC">
      <w:pPr>
        <w:spacing w:after="120"/>
        <w:ind w:firstLine="540"/>
        <w:jc w:val="both"/>
      </w:pPr>
      <w:r>
        <w:rPr>
          <w:rFonts w:ascii="Arial" w:eastAsia="宋体" w:hAnsi="Arial" w:cs="Arial"/>
          <w:color w:val="000000"/>
          <w:sz w:val="20"/>
          <w:szCs w:val="20"/>
        </w:rPr>
        <w:t>The following table presents goodwill activity for the periods in</w:t>
      </w:r>
      <w:r>
        <w:rPr>
          <w:rFonts w:ascii="Arial" w:eastAsia="宋体" w:hAnsi="Arial" w:cs="Arial"/>
          <w:color w:val="000000"/>
          <w:sz w:val="20"/>
          <w:szCs w:val="20"/>
        </w:rPr>
        <w:t>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46"/>
        <w:gridCol w:w="820"/>
        <w:gridCol w:w="36"/>
        <w:gridCol w:w="122"/>
        <w:gridCol w:w="789"/>
        <w:gridCol w:w="36"/>
        <w:gridCol w:w="36"/>
        <w:gridCol w:w="36"/>
        <w:gridCol w:w="36"/>
        <w:gridCol w:w="122"/>
        <w:gridCol w:w="690"/>
        <w:gridCol w:w="36"/>
        <w:gridCol w:w="36"/>
        <w:gridCol w:w="36"/>
        <w:gridCol w:w="36"/>
        <w:gridCol w:w="122"/>
        <w:gridCol w:w="969"/>
        <w:gridCol w:w="36"/>
        <w:gridCol w:w="36"/>
        <w:gridCol w:w="36"/>
        <w:gridCol w:w="36"/>
        <w:gridCol w:w="122"/>
        <w:gridCol w:w="789"/>
        <w:gridCol w:w="36"/>
        <w:gridCol w:w="36"/>
        <w:gridCol w:w="36"/>
        <w:gridCol w:w="36"/>
        <w:gridCol w:w="122"/>
        <w:gridCol w:w="690"/>
        <w:gridCol w:w="36"/>
        <w:gridCol w:w="36"/>
        <w:gridCol w:w="36"/>
        <w:gridCol w:w="36"/>
        <w:gridCol w:w="122"/>
        <w:gridCol w:w="969"/>
        <w:gridCol w:w="36"/>
        <w:gridCol w:w="36"/>
        <w:gridCol w:w="36"/>
        <w:gridCol w:w="36"/>
        <w:gridCol w:w="122"/>
        <w:gridCol w:w="784"/>
        <w:gridCol w:w="36"/>
      </w:tblGrid>
      <w:tr w:rsidR="002661BA" w14:paraId="22CFBE98" w14:textId="77777777">
        <w:tc>
          <w:tcPr>
            <w:tcW w:w="50" w:type="pct"/>
            <w:shd w:val="clear" w:color="auto" w:fill="auto"/>
            <w:vAlign w:val="bottom"/>
          </w:tcPr>
          <w:p w14:paraId="22CFBE6E" w14:textId="77777777" w:rsidR="002661BA" w:rsidRDefault="002661BA">
            <w:pPr>
              <w:rPr>
                <w:rFonts w:ascii="宋体"/>
              </w:rPr>
            </w:pPr>
          </w:p>
        </w:tc>
        <w:tc>
          <w:tcPr>
            <w:tcW w:w="741" w:type="pct"/>
            <w:shd w:val="clear" w:color="auto" w:fill="auto"/>
            <w:vAlign w:val="bottom"/>
          </w:tcPr>
          <w:p w14:paraId="22CFBE6F" w14:textId="77777777" w:rsidR="002661BA" w:rsidRDefault="002661BA">
            <w:pPr>
              <w:rPr>
                <w:rFonts w:ascii="宋体"/>
              </w:rPr>
            </w:pPr>
          </w:p>
        </w:tc>
        <w:tc>
          <w:tcPr>
            <w:tcW w:w="5" w:type="pct"/>
            <w:shd w:val="clear" w:color="auto" w:fill="auto"/>
            <w:vAlign w:val="bottom"/>
          </w:tcPr>
          <w:p w14:paraId="22CFBE70" w14:textId="77777777" w:rsidR="002661BA" w:rsidRDefault="002661BA">
            <w:pPr>
              <w:rPr>
                <w:rFonts w:ascii="宋体"/>
              </w:rPr>
            </w:pPr>
          </w:p>
        </w:tc>
        <w:tc>
          <w:tcPr>
            <w:tcW w:w="50" w:type="pct"/>
            <w:shd w:val="clear" w:color="auto" w:fill="auto"/>
            <w:vAlign w:val="bottom"/>
          </w:tcPr>
          <w:p w14:paraId="22CFBE71" w14:textId="77777777" w:rsidR="002661BA" w:rsidRDefault="002661BA">
            <w:pPr>
              <w:rPr>
                <w:rFonts w:ascii="宋体"/>
              </w:rPr>
            </w:pPr>
          </w:p>
        </w:tc>
        <w:tc>
          <w:tcPr>
            <w:tcW w:w="580" w:type="pct"/>
            <w:shd w:val="clear" w:color="auto" w:fill="auto"/>
            <w:vAlign w:val="bottom"/>
          </w:tcPr>
          <w:p w14:paraId="22CFBE72" w14:textId="77777777" w:rsidR="002661BA" w:rsidRDefault="002661BA">
            <w:pPr>
              <w:rPr>
                <w:rFonts w:ascii="宋体"/>
              </w:rPr>
            </w:pPr>
          </w:p>
        </w:tc>
        <w:tc>
          <w:tcPr>
            <w:tcW w:w="5" w:type="pct"/>
            <w:shd w:val="clear" w:color="auto" w:fill="auto"/>
            <w:vAlign w:val="bottom"/>
          </w:tcPr>
          <w:p w14:paraId="22CFBE73" w14:textId="77777777" w:rsidR="002661BA" w:rsidRDefault="002661BA">
            <w:pPr>
              <w:rPr>
                <w:rFonts w:ascii="宋体"/>
              </w:rPr>
            </w:pPr>
          </w:p>
        </w:tc>
        <w:tc>
          <w:tcPr>
            <w:tcW w:w="5" w:type="pct"/>
            <w:shd w:val="clear" w:color="auto" w:fill="auto"/>
            <w:vAlign w:val="bottom"/>
          </w:tcPr>
          <w:p w14:paraId="22CFBE74" w14:textId="77777777" w:rsidR="002661BA" w:rsidRDefault="002661BA">
            <w:pPr>
              <w:rPr>
                <w:rFonts w:ascii="宋体"/>
              </w:rPr>
            </w:pPr>
          </w:p>
        </w:tc>
        <w:tc>
          <w:tcPr>
            <w:tcW w:w="19" w:type="pct"/>
            <w:shd w:val="clear" w:color="auto" w:fill="auto"/>
            <w:vAlign w:val="bottom"/>
          </w:tcPr>
          <w:p w14:paraId="22CFBE75" w14:textId="77777777" w:rsidR="002661BA" w:rsidRDefault="002661BA">
            <w:pPr>
              <w:rPr>
                <w:rFonts w:ascii="宋体"/>
              </w:rPr>
            </w:pPr>
          </w:p>
        </w:tc>
        <w:tc>
          <w:tcPr>
            <w:tcW w:w="5" w:type="pct"/>
            <w:shd w:val="clear" w:color="auto" w:fill="auto"/>
            <w:vAlign w:val="bottom"/>
          </w:tcPr>
          <w:p w14:paraId="22CFBE76" w14:textId="77777777" w:rsidR="002661BA" w:rsidRDefault="002661BA">
            <w:pPr>
              <w:rPr>
                <w:rFonts w:ascii="宋体"/>
              </w:rPr>
            </w:pPr>
          </w:p>
        </w:tc>
        <w:tc>
          <w:tcPr>
            <w:tcW w:w="50" w:type="pct"/>
            <w:shd w:val="clear" w:color="auto" w:fill="auto"/>
            <w:vAlign w:val="bottom"/>
          </w:tcPr>
          <w:p w14:paraId="22CFBE77" w14:textId="77777777" w:rsidR="002661BA" w:rsidRDefault="002661BA">
            <w:pPr>
              <w:rPr>
                <w:rFonts w:ascii="宋体"/>
              </w:rPr>
            </w:pPr>
          </w:p>
        </w:tc>
        <w:tc>
          <w:tcPr>
            <w:tcW w:w="434" w:type="pct"/>
            <w:shd w:val="clear" w:color="auto" w:fill="auto"/>
            <w:vAlign w:val="bottom"/>
          </w:tcPr>
          <w:p w14:paraId="22CFBE78" w14:textId="77777777" w:rsidR="002661BA" w:rsidRDefault="002661BA">
            <w:pPr>
              <w:rPr>
                <w:rFonts w:ascii="宋体"/>
              </w:rPr>
            </w:pPr>
          </w:p>
        </w:tc>
        <w:tc>
          <w:tcPr>
            <w:tcW w:w="5" w:type="pct"/>
            <w:shd w:val="clear" w:color="auto" w:fill="auto"/>
            <w:vAlign w:val="bottom"/>
          </w:tcPr>
          <w:p w14:paraId="22CFBE79" w14:textId="77777777" w:rsidR="002661BA" w:rsidRDefault="002661BA">
            <w:pPr>
              <w:rPr>
                <w:rFonts w:ascii="宋体"/>
              </w:rPr>
            </w:pPr>
          </w:p>
        </w:tc>
        <w:tc>
          <w:tcPr>
            <w:tcW w:w="5" w:type="pct"/>
            <w:shd w:val="clear" w:color="auto" w:fill="auto"/>
            <w:vAlign w:val="bottom"/>
          </w:tcPr>
          <w:p w14:paraId="22CFBE7A" w14:textId="77777777" w:rsidR="002661BA" w:rsidRDefault="002661BA">
            <w:pPr>
              <w:rPr>
                <w:rFonts w:ascii="宋体"/>
              </w:rPr>
            </w:pPr>
          </w:p>
        </w:tc>
        <w:tc>
          <w:tcPr>
            <w:tcW w:w="19" w:type="pct"/>
            <w:shd w:val="clear" w:color="auto" w:fill="auto"/>
            <w:vAlign w:val="bottom"/>
          </w:tcPr>
          <w:p w14:paraId="22CFBE7B" w14:textId="77777777" w:rsidR="002661BA" w:rsidRDefault="002661BA">
            <w:pPr>
              <w:rPr>
                <w:rFonts w:ascii="宋体"/>
              </w:rPr>
            </w:pPr>
          </w:p>
        </w:tc>
        <w:tc>
          <w:tcPr>
            <w:tcW w:w="5" w:type="pct"/>
            <w:shd w:val="clear" w:color="auto" w:fill="auto"/>
            <w:vAlign w:val="bottom"/>
          </w:tcPr>
          <w:p w14:paraId="22CFBE7C" w14:textId="77777777" w:rsidR="002661BA" w:rsidRDefault="002661BA">
            <w:pPr>
              <w:rPr>
                <w:rFonts w:ascii="宋体"/>
              </w:rPr>
            </w:pPr>
          </w:p>
        </w:tc>
        <w:tc>
          <w:tcPr>
            <w:tcW w:w="50" w:type="pct"/>
            <w:shd w:val="clear" w:color="auto" w:fill="auto"/>
            <w:vAlign w:val="bottom"/>
          </w:tcPr>
          <w:p w14:paraId="22CFBE7D" w14:textId="77777777" w:rsidR="002661BA" w:rsidRDefault="002661BA">
            <w:pPr>
              <w:rPr>
                <w:rFonts w:ascii="宋体"/>
              </w:rPr>
            </w:pPr>
          </w:p>
        </w:tc>
        <w:tc>
          <w:tcPr>
            <w:tcW w:w="529" w:type="pct"/>
            <w:shd w:val="clear" w:color="auto" w:fill="auto"/>
            <w:vAlign w:val="bottom"/>
          </w:tcPr>
          <w:p w14:paraId="22CFBE7E" w14:textId="77777777" w:rsidR="002661BA" w:rsidRDefault="002661BA">
            <w:pPr>
              <w:rPr>
                <w:rFonts w:ascii="宋体"/>
              </w:rPr>
            </w:pPr>
          </w:p>
        </w:tc>
        <w:tc>
          <w:tcPr>
            <w:tcW w:w="5" w:type="pct"/>
            <w:shd w:val="clear" w:color="auto" w:fill="auto"/>
            <w:vAlign w:val="bottom"/>
          </w:tcPr>
          <w:p w14:paraId="22CFBE7F" w14:textId="77777777" w:rsidR="002661BA" w:rsidRDefault="002661BA">
            <w:pPr>
              <w:rPr>
                <w:rFonts w:ascii="宋体"/>
              </w:rPr>
            </w:pPr>
          </w:p>
        </w:tc>
        <w:tc>
          <w:tcPr>
            <w:tcW w:w="5" w:type="pct"/>
            <w:shd w:val="clear" w:color="auto" w:fill="auto"/>
            <w:vAlign w:val="bottom"/>
          </w:tcPr>
          <w:p w14:paraId="22CFBE80" w14:textId="77777777" w:rsidR="002661BA" w:rsidRDefault="002661BA">
            <w:pPr>
              <w:rPr>
                <w:rFonts w:ascii="宋体"/>
              </w:rPr>
            </w:pPr>
          </w:p>
        </w:tc>
        <w:tc>
          <w:tcPr>
            <w:tcW w:w="19" w:type="pct"/>
            <w:shd w:val="clear" w:color="auto" w:fill="auto"/>
            <w:vAlign w:val="bottom"/>
          </w:tcPr>
          <w:p w14:paraId="22CFBE81" w14:textId="77777777" w:rsidR="002661BA" w:rsidRDefault="002661BA">
            <w:pPr>
              <w:rPr>
                <w:rFonts w:ascii="宋体"/>
              </w:rPr>
            </w:pPr>
          </w:p>
        </w:tc>
        <w:tc>
          <w:tcPr>
            <w:tcW w:w="5" w:type="pct"/>
            <w:shd w:val="clear" w:color="auto" w:fill="auto"/>
            <w:vAlign w:val="bottom"/>
          </w:tcPr>
          <w:p w14:paraId="22CFBE82" w14:textId="77777777" w:rsidR="002661BA" w:rsidRDefault="002661BA">
            <w:pPr>
              <w:rPr>
                <w:rFonts w:ascii="宋体"/>
              </w:rPr>
            </w:pPr>
          </w:p>
        </w:tc>
        <w:tc>
          <w:tcPr>
            <w:tcW w:w="50" w:type="pct"/>
            <w:shd w:val="clear" w:color="auto" w:fill="auto"/>
            <w:vAlign w:val="bottom"/>
          </w:tcPr>
          <w:p w14:paraId="22CFBE83" w14:textId="77777777" w:rsidR="002661BA" w:rsidRDefault="002661BA">
            <w:pPr>
              <w:rPr>
                <w:rFonts w:ascii="宋体"/>
              </w:rPr>
            </w:pPr>
          </w:p>
        </w:tc>
        <w:tc>
          <w:tcPr>
            <w:tcW w:w="580" w:type="pct"/>
            <w:shd w:val="clear" w:color="auto" w:fill="auto"/>
            <w:vAlign w:val="bottom"/>
          </w:tcPr>
          <w:p w14:paraId="22CFBE84" w14:textId="77777777" w:rsidR="002661BA" w:rsidRDefault="002661BA">
            <w:pPr>
              <w:rPr>
                <w:rFonts w:ascii="宋体"/>
              </w:rPr>
            </w:pPr>
          </w:p>
        </w:tc>
        <w:tc>
          <w:tcPr>
            <w:tcW w:w="5" w:type="pct"/>
            <w:shd w:val="clear" w:color="auto" w:fill="auto"/>
            <w:vAlign w:val="bottom"/>
          </w:tcPr>
          <w:p w14:paraId="22CFBE85" w14:textId="77777777" w:rsidR="002661BA" w:rsidRDefault="002661BA">
            <w:pPr>
              <w:rPr>
                <w:rFonts w:ascii="宋体"/>
              </w:rPr>
            </w:pPr>
          </w:p>
        </w:tc>
        <w:tc>
          <w:tcPr>
            <w:tcW w:w="5" w:type="pct"/>
            <w:shd w:val="clear" w:color="auto" w:fill="auto"/>
            <w:vAlign w:val="bottom"/>
          </w:tcPr>
          <w:p w14:paraId="22CFBE86" w14:textId="77777777" w:rsidR="002661BA" w:rsidRDefault="002661BA">
            <w:pPr>
              <w:rPr>
                <w:rFonts w:ascii="宋体"/>
              </w:rPr>
            </w:pPr>
          </w:p>
        </w:tc>
        <w:tc>
          <w:tcPr>
            <w:tcW w:w="19" w:type="pct"/>
            <w:shd w:val="clear" w:color="auto" w:fill="auto"/>
            <w:vAlign w:val="bottom"/>
          </w:tcPr>
          <w:p w14:paraId="22CFBE87" w14:textId="77777777" w:rsidR="002661BA" w:rsidRDefault="002661BA">
            <w:pPr>
              <w:rPr>
                <w:rFonts w:ascii="宋体"/>
              </w:rPr>
            </w:pPr>
          </w:p>
        </w:tc>
        <w:tc>
          <w:tcPr>
            <w:tcW w:w="5" w:type="pct"/>
            <w:shd w:val="clear" w:color="auto" w:fill="auto"/>
            <w:vAlign w:val="bottom"/>
          </w:tcPr>
          <w:p w14:paraId="22CFBE88" w14:textId="77777777" w:rsidR="002661BA" w:rsidRDefault="002661BA">
            <w:pPr>
              <w:rPr>
                <w:rFonts w:ascii="宋体"/>
              </w:rPr>
            </w:pPr>
          </w:p>
        </w:tc>
        <w:tc>
          <w:tcPr>
            <w:tcW w:w="50" w:type="pct"/>
            <w:shd w:val="clear" w:color="auto" w:fill="auto"/>
            <w:vAlign w:val="bottom"/>
          </w:tcPr>
          <w:p w14:paraId="22CFBE89" w14:textId="77777777" w:rsidR="002661BA" w:rsidRDefault="002661BA">
            <w:pPr>
              <w:rPr>
                <w:rFonts w:ascii="宋体"/>
              </w:rPr>
            </w:pPr>
          </w:p>
        </w:tc>
        <w:tc>
          <w:tcPr>
            <w:tcW w:w="434" w:type="pct"/>
            <w:shd w:val="clear" w:color="auto" w:fill="auto"/>
            <w:vAlign w:val="bottom"/>
          </w:tcPr>
          <w:p w14:paraId="22CFBE8A" w14:textId="77777777" w:rsidR="002661BA" w:rsidRDefault="002661BA">
            <w:pPr>
              <w:rPr>
                <w:rFonts w:ascii="宋体"/>
              </w:rPr>
            </w:pPr>
          </w:p>
        </w:tc>
        <w:tc>
          <w:tcPr>
            <w:tcW w:w="5" w:type="pct"/>
            <w:shd w:val="clear" w:color="auto" w:fill="auto"/>
            <w:vAlign w:val="bottom"/>
          </w:tcPr>
          <w:p w14:paraId="22CFBE8B" w14:textId="77777777" w:rsidR="002661BA" w:rsidRDefault="002661BA">
            <w:pPr>
              <w:rPr>
                <w:rFonts w:ascii="宋体"/>
              </w:rPr>
            </w:pPr>
          </w:p>
        </w:tc>
        <w:tc>
          <w:tcPr>
            <w:tcW w:w="5" w:type="pct"/>
            <w:shd w:val="clear" w:color="auto" w:fill="auto"/>
            <w:vAlign w:val="bottom"/>
          </w:tcPr>
          <w:p w14:paraId="22CFBE8C" w14:textId="77777777" w:rsidR="002661BA" w:rsidRDefault="002661BA">
            <w:pPr>
              <w:rPr>
                <w:rFonts w:ascii="宋体"/>
              </w:rPr>
            </w:pPr>
          </w:p>
        </w:tc>
        <w:tc>
          <w:tcPr>
            <w:tcW w:w="19" w:type="pct"/>
            <w:shd w:val="clear" w:color="auto" w:fill="auto"/>
            <w:vAlign w:val="bottom"/>
          </w:tcPr>
          <w:p w14:paraId="22CFBE8D" w14:textId="77777777" w:rsidR="002661BA" w:rsidRDefault="002661BA">
            <w:pPr>
              <w:rPr>
                <w:rFonts w:ascii="宋体"/>
              </w:rPr>
            </w:pPr>
          </w:p>
        </w:tc>
        <w:tc>
          <w:tcPr>
            <w:tcW w:w="5" w:type="pct"/>
            <w:shd w:val="clear" w:color="auto" w:fill="auto"/>
            <w:vAlign w:val="bottom"/>
          </w:tcPr>
          <w:p w14:paraId="22CFBE8E" w14:textId="77777777" w:rsidR="002661BA" w:rsidRDefault="002661BA">
            <w:pPr>
              <w:rPr>
                <w:rFonts w:ascii="宋体"/>
              </w:rPr>
            </w:pPr>
          </w:p>
        </w:tc>
        <w:tc>
          <w:tcPr>
            <w:tcW w:w="50" w:type="pct"/>
            <w:shd w:val="clear" w:color="auto" w:fill="auto"/>
            <w:vAlign w:val="bottom"/>
          </w:tcPr>
          <w:p w14:paraId="22CFBE8F" w14:textId="77777777" w:rsidR="002661BA" w:rsidRDefault="002661BA">
            <w:pPr>
              <w:rPr>
                <w:rFonts w:ascii="宋体"/>
              </w:rPr>
            </w:pPr>
          </w:p>
        </w:tc>
        <w:tc>
          <w:tcPr>
            <w:tcW w:w="529" w:type="pct"/>
            <w:shd w:val="clear" w:color="auto" w:fill="auto"/>
            <w:vAlign w:val="bottom"/>
          </w:tcPr>
          <w:p w14:paraId="22CFBE90" w14:textId="77777777" w:rsidR="002661BA" w:rsidRDefault="002661BA">
            <w:pPr>
              <w:rPr>
                <w:rFonts w:ascii="宋体"/>
              </w:rPr>
            </w:pPr>
          </w:p>
        </w:tc>
        <w:tc>
          <w:tcPr>
            <w:tcW w:w="5" w:type="pct"/>
            <w:shd w:val="clear" w:color="auto" w:fill="auto"/>
            <w:vAlign w:val="bottom"/>
          </w:tcPr>
          <w:p w14:paraId="22CFBE91" w14:textId="77777777" w:rsidR="002661BA" w:rsidRDefault="002661BA">
            <w:pPr>
              <w:rPr>
                <w:rFonts w:ascii="宋体"/>
              </w:rPr>
            </w:pPr>
          </w:p>
        </w:tc>
        <w:tc>
          <w:tcPr>
            <w:tcW w:w="5" w:type="pct"/>
            <w:shd w:val="clear" w:color="auto" w:fill="auto"/>
            <w:vAlign w:val="bottom"/>
          </w:tcPr>
          <w:p w14:paraId="22CFBE92" w14:textId="77777777" w:rsidR="002661BA" w:rsidRDefault="002661BA">
            <w:pPr>
              <w:rPr>
                <w:rFonts w:ascii="宋体"/>
              </w:rPr>
            </w:pPr>
          </w:p>
        </w:tc>
        <w:tc>
          <w:tcPr>
            <w:tcW w:w="19" w:type="pct"/>
            <w:shd w:val="clear" w:color="auto" w:fill="auto"/>
            <w:vAlign w:val="bottom"/>
          </w:tcPr>
          <w:p w14:paraId="22CFBE93" w14:textId="77777777" w:rsidR="002661BA" w:rsidRDefault="002661BA">
            <w:pPr>
              <w:rPr>
                <w:rFonts w:ascii="宋体"/>
              </w:rPr>
            </w:pPr>
          </w:p>
        </w:tc>
        <w:tc>
          <w:tcPr>
            <w:tcW w:w="5" w:type="pct"/>
            <w:shd w:val="clear" w:color="auto" w:fill="auto"/>
            <w:vAlign w:val="bottom"/>
          </w:tcPr>
          <w:p w14:paraId="22CFBE94" w14:textId="77777777" w:rsidR="002661BA" w:rsidRDefault="002661BA">
            <w:pPr>
              <w:rPr>
                <w:rFonts w:ascii="宋体"/>
              </w:rPr>
            </w:pPr>
          </w:p>
        </w:tc>
        <w:tc>
          <w:tcPr>
            <w:tcW w:w="50" w:type="pct"/>
            <w:shd w:val="clear" w:color="auto" w:fill="auto"/>
            <w:vAlign w:val="bottom"/>
          </w:tcPr>
          <w:p w14:paraId="22CFBE95" w14:textId="77777777" w:rsidR="002661BA" w:rsidRDefault="002661BA">
            <w:pPr>
              <w:rPr>
                <w:rFonts w:ascii="宋体"/>
              </w:rPr>
            </w:pPr>
          </w:p>
        </w:tc>
        <w:tc>
          <w:tcPr>
            <w:tcW w:w="552" w:type="pct"/>
            <w:shd w:val="clear" w:color="auto" w:fill="auto"/>
            <w:vAlign w:val="bottom"/>
          </w:tcPr>
          <w:p w14:paraId="22CFBE96" w14:textId="77777777" w:rsidR="002661BA" w:rsidRDefault="002661BA">
            <w:pPr>
              <w:rPr>
                <w:rFonts w:ascii="宋体"/>
              </w:rPr>
            </w:pPr>
          </w:p>
        </w:tc>
        <w:tc>
          <w:tcPr>
            <w:tcW w:w="5" w:type="pct"/>
            <w:shd w:val="clear" w:color="auto" w:fill="auto"/>
            <w:vAlign w:val="bottom"/>
          </w:tcPr>
          <w:p w14:paraId="22CFBE97" w14:textId="77777777" w:rsidR="002661BA" w:rsidRDefault="002661BA">
            <w:pPr>
              <w:rPr>
                <w:rFonts w:ascii="宋体"/>
              </w:rPr>
            </w:pPr>
          </w:p>
        </w:tc>
      </w:tr>
      <w:tr w:rsidR="002661BA" w14:paraId="22CFBEA7" w14:textId="77777777">
        <w:tc>
          <w:tcPr>
            <w:tcW w:w="0" w:type="auto"/>
            <w:gridSpan w:val="3"/>
            <w:shd w:val="clear" w:color="auto" w:fill="auto"/>
            <w:tcMar>
              <w:top w:w="40" w:type="dxa"/>
              <w:left w:w="20" w:type="dxa"/>
              <w:bottom w:w="40" w:type="dxa"/>
              <w:right w:w="20" w:type="dxa"/>
            </w:tcMar>
            <w:vAlign w:val="bottom"/>
          </w:tcPr>
          <w:p w14:paraId="22CFBE99" w14:textId="77777777" w:rsidR="002661BA" w:rsidRDefault="00D972BC">
            <w:pPr>
              <w:jc w:val="center"/>
              <w:textAlignment w:val="bottom"/>
            </w:pPr>
            <w:r>
              <w:rPr>
                <w:rFonts w:ascii="Arial" w:eastAsia="宋体" w:hAnsi="Arial" w:cs="Arial"/>
                <w:color w:val="000000"/>
                <w:sz w:val="17"/>
                <w:szCs w:val="17"/>
              </w:rPr>
              <w:t> </w:t>
            </w:r>
          </w:p>
        </w:tc>
        <w:tc>
          <w:tcPr>
            <w:tcW w:w="0" w:type="auto"/>
            <w:gridSpan w:val="3"/>
            <w:shd w:val="clear" w:color="auto" w:fill="auto"/>
            <w:tcMar>
              <w:top w:w="40" w:type="dxa"/>
              <w:left w:w="20" w:type="dxa"/>
              <w:bottom w:w="40" w:type="dxa"/>
              <w:right w:w="20" w:type="dxa"/>
            </w:tcMar>
            <w:vAlign w:val="bottom"/>
          </w:tcPr>
          <w:p w14:paraId="22CFBE9A" w14:textId="77777777" w:rsidR="002661BA" w:rsidRDefault="00D972BC">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2019</w:t>
            </w:r>
          </w:p>
        </w:tc>
        <w:tc>
          <w:tcPr>
            <w:tcW w:w="0" w:type="auto"/>
            <w:gridSpan w:val="3"/>
            <w:shd w:val="clear" w:color="auto" w:fill="auto"/>
            <w:tcMar>
              <w:top w:w="0" w:type="dxa"/>
              <w:left w:w="20" w:type="dxa"/>
              <w:bottom w:w="0" w:type="dxa"/>
              <w:right w:w="20" w:type="dxa"/>
            </w:tcMar>
            <w:vAlign w:val="bottom"/>
          </w:tcPr>
          <w:p w14:paraId="22CFBE9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BE9C" w14:textId="77777777" w:rsidR="002661BA" w:rsidRDefault="00D972BC">
            <w:pPr>
              <w:jc w:val="center"/>
              <w:textAlignment w:val="bottom"/>
            </w:pPr>
            <w:r>
              <w:rPr>
                <w:rFonts w:ascii="Arial" w:eastAsia="宋体" w:hAnsi="Arial" w:cs="Arial"/>
                <w:b/>
                <w:bCs/>
                <w:color w:val="000000"/>
                <w:sz w:val="17"/>
                <w:szCs w:val="17"/>
              </w:rPr>
              <w:t>Goodwill</w:t>
            </w:r>
            <w:r>
              <w:rPr>
                <w:rFonts w:ascii="Arial" w:eastAsia="宋体" w:hAnsi="Arial" w:cs="Arial"/>
                <w:b/>
                <w:bCs/>
                <w:color w:val="000000"/>
                <w:sz w:val="17"/>
                <w:szCs w:val="17"/>
              </w:rPr>
              <w:br/>
              <w:t>Acquired</w:t>
            </w:r>
          </w:p>
        </w:tc>
        <w:tc>
          <w:tcPr>
            <w:tcW w:w="0" w:type="auto"/>
            <w:gridSpan w:val="3"/>
            <w:shd w:val="clear" w:color="auto" w:fill="auto"/>
            <w:tcMar>
              <w:top w:w="40" w:type="dxa"/>
              <w:left w:w="20" w:type="dxa"/>
              <w:bottom w:w="40" w:type="dxa"/>
              <w:right w:w="20" w:type="dxa"/>
            </w:tcMar>
            <w:vAlign w:val="bottom"/>
          </w:tcPr>
          <w:p w14:paraId="22CFBE9D" w14:textId="77777777" w:rsidR="002661BA" w:rsidRDefault="00D972BC">
            <w:pPr>
              <w:jc w:val="center"/>
              <w:textAlignment w:val="bottom"/>
            </w:pPr>
            <w:r>
              <w:rPr>
                <w:rFonts w:ascii="Arial" w:eastAsia="宋体" w:hAnsi="Arial" w:cs="Arial"/>
                <w:b/>
                <w:bCs/>
                <w:color w:val="000000"/>
                <w:sz w:val="17"/>
                <w:szCs w:val="17"/>
              </w:rPr>
              <w:t> </w:t>
            </w:r>
          </w:p>
        </w:tc>
        <w:tc>
          <w:tcPr>
            <w:tcW w:w="0" w:type="auto"/>
            <w:gridSpan w:val="3"/>
            <w:shd w:val="clear" w:color="auto" w:fill="auto"/>
            <w:tcMar>
              <w:top w:w="40" w:type="dxa"/>
              <w:left w:w="20" w:type="dxa"/>
              <w:bottom w:w="40" w:type="dxa"/>
              <w:right w:w="20" w:type="dxa"/>
            </w:tcMar>
            <w:vAlign w:val="bottom"/>
          </w:tcPr>
          <w:p w14:paraId="22CFBE9E" w14:textId="77777777" w:rsidR="002661BA" w:rsidRDefault="00D972BC">
            <w:pPr>
              <w:jc w:val="center"/>
              <w:textAlignment w:val="bottom"/>
            </w:pPr>
            <w:r>
              <w:rPr>
                <w:rFonts w:ascii="Arial" w:eastAsia="宋体" w:hAnsi="Arial" w:cs="Arial"/>
                <w:b/>
                <w:bCs/>
                <w:color w:val="000000"/>
                <w:sz w:val="17"/>
                <w:szCs w:val="17"/>
              </w:rPr>
              <w:t>Adjustments</w:t>
            </w:r>
          </w:p>
        </w:tc>
        <w:tc>
          <w:tcPr>
            <w:tcW w:w="0" w:type="auto"/>
            <w:gridSpan w:val="3"/>
            <w:shd w:val="clear" w:color="auto" w:fill="auto"/>
            <w:tcMar>
              <w:top w:w="40" w:type="dxa"/>
              <w:left w:w="20" w:type="dxa"/>
              <w:bottom w:w="40" w:type="dxa"/>
              <w:right w:w="20" w:type="dxa"/>
            </w:tcMar>
            <w:vAlign w:val="bottom"/>
          </w:tcPr>
          <w:p w14:paraId="22CFBE9F" w14:textId="77777777" w:rsidR="002661BA" w:rsidRDefault="00D972BC">
            <w:pPr>
              <w:jc w:val="center"/>
              <w:textAlignment w:val="bottom"/>
            </w:pPr>
            <w:r>
              <w:rPr>
                <w:rFonts w:ascii="Arial" w:eastAsia="宋体" w:hAnsi="Arial" w:cs="Arial"/>
                <w:b/>
                <w:bCs/>
                <w:color w:val="000000"/>
                <w:sz w:val="17"/>
                <w:szCs w:val="17"/>
              </w:rPr>
              <w:t> </w:t>
            </w:r>
          </w:p>
        </w:tc>
        <w:tc>
          <w:tcPr>
            <w:tcW w:w="0" w:type="auto"/>
            <w:gridSpan w:val="3"/>
            <w:shd w:val="clear" w:color="auto" w:fill="auto"/>
            <w:tcMar>
              <w:top w:w="40" w:type="dxa"/>
              <w:left w:w="20" w:type="dxa"/>
              <w:bottom w:w="40" w:type="dxa"/>
              <w:right w:w="20" w:type="dxa"/>
            </w:tcMar>
            <w:vAlign w:val="bottom"/>
          </w:tcPr>
          <w:p w14:paraId="22CFBEA0" w14:textId="77777777" w:rsidR="002661BA" w:rsidRDefault="00D972BC">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2020</w:t>
            </w:r>
          </w:p>
        </w:tc>
        <w:tc>
          <w:tcPr>
            <w:tcW w:w="0" w:type="auto"/>
            <w:gridSpan w:val="3"/>
            <w:shd w:val="clear" w:color="auto" w:fill="auto"/>
            <w:tcMar>
              <w:top w:w="0" w:type="dxa"/>
              <w:left w:w="20" w:type="dxa"/>
              <w:bottom w:w="0" w:type="dxa"/>
              <w:right w:w="20" w:type="dxa"/>
            </w:tcMar>
            <w:vAlign w:val="bottom"/>
          </w:tcPr>
          <w:p w14:paraId="22CFBEA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BEA2" w14:textId="77777777" w:rsidR="002661BA" w:rsidRDefault="00D972BC">
            <w:pPr>
              <w:jc w:val="center"/>
              <w:textAlignment w:val="bottom"/>
            </w:pPr>
            <w:r>
              <w:rPr>
                <w:rFonts w:ascii="Arial" w:eastAsia="宋体" w:hAnsi="Arial" w:cs="Arial"/>
                <w:b/>
                <w:bCs/>
                <w:color w:val="000000"/>
                <w:sz w:val="17"/>
                <w:szCs w:val="17"/>
              </w:rPr>
              <w:t>Goodwill</w:t>
            </w:r>
            <w:r>
              <w:rPr>
                <w:rFonts w:ascii="Arial" w:eastAsia="宋体" w:hAnsi="Arial" w:cs="Arial"/>
                <w:b/>
                <w:bCs/>
                <w:color w:val="000000"/>
                <w:sz w:val="17"/>
                <w:szCs w:val="17"/>
              </w:rPr>
              <w:br/>
              <w:t>Acquired</w:t>
            </w:r>
          </w:p>
        </w:tc>
        <w:tc>
          <w:tcPr>
            <w:tcW w:w="0" w:type="auto"/>
            <w:gridSpan w:val="3"/>
            <w:shd w:val="clear" w:color="auto" w:fill="auto"/>
            <w:tcMar>
              <w:top w:w="40" w:type="dxa"/>
              <w:left w:w="20" w:type="dxa"/>
              <w:bottom w:w="40" w:type="dxa"/>
              <w:right w:w="20" w:type="dxa"/>
            </w:tcMar>
            <w:vAlign w:val="bottom"/>
          </w:tcPr>
          <w:p w14:paraId="22CFBEA3" w14:textId="77777777" w:rsidR="002661BA" w:rsidRDefault="00D972BC">
            <w:pPr>
              <w:jc w:val="center"/>
              <w:textAlignment w:val="bottom"/>
            </w:pPr>
            <w:r>
              <w:rPr>
                <w:rFonts w:ascii="Arial" w:eastAsia="宋体" w:hAnsi="Arial" w:cs="Arial"/>
                <w:b/>
                <w:bCs/>
                <w:color w:val="000000"/>
                <w:sz w:val="17"/>
                <w:szCs w:val="17"/>
              </w:rPr>
              <w:t> </w:t>
            </w:r>
          </w:p>
        </w:tc>
        <w:tc>
          <w:tcPr>
            <w:tcW w:w="0" w:type="auto"/>
            <w:gridSpan w:val="3"/>
            <w:shd w:val="clear" w:color="auto" w:fill="auto"/>
            <w:tcMar>
              <w:top w:w="40" w:type="dxa"/>
              <w:left w:w="20" w:type="dxa"/>
              <w:bottom w:w="40" w:type="dxa"/>
              <w:right w:w="20" w:type="dxa"/>
            </w:tcMar>
            <w:vAlign w:val="bottom"/>
          </w:tcPr>
          <w:p w14:paraId="22CFBEA4" w14:textId="77777777" w:rsidR="002661BA" w:rsidRDefault="00D972BC">
            <w:pPr>
              <w:jc w:val="center"/>
              <w:textAlignment w:val="bottom"/>
            </w:pPr>
            <w:r>
              <w:rPr>
                <w:rFonts w:ascii="Arial" w:eastAsia="宋体" w:hAnsi="Arial" w:cs="Arial"/>
                <w:b/>
                <w:bCs/>
                <w:color w:val="000000"/>
                <w:sz w:val="17"/>
                <w:szCs w:val="17"/>
              </w:rPr>
              <w:t>Adjustments</w:t>
            </w:r>
          </w:p>
        </w:tc>
        <w:tc>
          <w:tcPr>
            <w:tcW w:w="0" w:type="auto"/>
            <w:gridSpan w:val="3"/>
            <w:shd w:val="clear" w:color="auto" w:fill="auto"/>
            <w:tcMar>
              <w:top w:w="40" w:type="dxa"/>
              <w:left w:w="20" w:type="dxa"/>
              <w:bottom w:w="40" w:type="dxa"/>
              <w:right w:w="20" w:type="dxa"/>
            </w:tcMar>
            <w:vAlign w:val="bottom"/>
          </w:tcPr>
          <w:p w14:paraId="22CFBEA5" w14:textId="77777777" w:rsidR="002661BA" w:rsidRDefault="00D972BC">
            <w:pPr>
              <w:jc w:val="center"/>
              <w:textAlignment w:val="bottom"/>
            </w:pPr>
            <w:r>
              <w:rPr>
                <w:rFonts w:ascii="Arial" w:eastAsia="宋体" w:hAnsi="Arial" w:cs="Arial"/>
                <w:b/>
                <w:bCs/>
                <w:color w:val="000000"/>
                <w:sz w:val="17"/>
                <w:szCs w:val="17"/>
              </w:rPr>
              <w:t> </w:t>
            </w:r>
          </w:p>
        </w:tc>
        <w:tc>
          <w:tcPr>
            <w:tcW w:w="0" w:type="auto"/>
            <w:gridSpan w:val="3"/>
            <w:shd w:val="clear" w:color="auto" w:fill="auto"/>
            <w:tcMar>
              <w:top w:w="40" w:type="dxa"/>
              <w:left w:w="20" w:type="dxa"/>
              <w:bottom w:w="40" w:type="dxa"/>
              <w:right w:w="20" w:type="dxa"/>
            </w:tcMar>
            <w:vAlign w:val="bottom"/>
          </w:tcPr>
          <w:p w14:paraId="22CFBEA6" w14:textId="77777777" w:rsidR="002661BA" w:rsidRDefault="00D972BC">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2021</w:t>
            </w:r>
          </w:p>
        </w:tc>
      </w:tr>
      <w:tr w:rsidR="002661BA" w14:paraId="22CFBEC4" w14:textId="77777777">
        <w:tc>
          <w:tcPr>
            <w:tcW w:w="0" w:type="auto"/>
            <w:gridSpan w:val="3"/>
            <w:shd w:val="clear" w:color="auto" w:fill="E2E2E2"/>
            <w:tcMar>
              <w:top w:w="40" w:type="dxa"/>
              <w:left w:w="20" w:type="dxa"/>
              <w:bottom w:w="40" w:type="dxa"/>
              <w:right w:w="20" w:type="dxa"/>
            </w:tcMar>
            <w:vAlign w:val="bottom"/>
          </w:tcPr>
          <w:p w14:paraId="22CFBEA8" w14:textId="77777777" w:rsidR="002661BA" w:rsidRDefault="00D972BC">
            <w:pPr>
              <w:textAlignment w:val="bottom"/>
            </w:pPr>
            <w:r>
              <w:rPr>
                <w:rFonts w:ascii="Arial" w:eastAsia="宋体" w:hAnsi="Arial" w:cs="Arial"/>
                <w:color w:val="000000"/>
                <w:sz w:val="18"/>
                <w:szCs w:val="18"/>
              </w:rPr>
              <w:t>Goodwill</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BEA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BEAA" w14:textId="77777777" w:rsidR="002661BA" w:rsidRDefault="00D972BC">
            <w:pPr>
              <w:jc w:val="right"/>
              <w:textAlignment w:val="bottom"/>
            </w:pPr>
            <w:r>
              <w:rPr>
                <w:rFonts w:ascii="Arial" w:eastAsia="宋体" w:hAnsi="Arial" w:cs="Arial"/>
                <w:color w:val="000000"/>
                <w:sz w:val="18"/>
                <w:szCs w:val="18"/>
              </w:rPr>
              <w:t>4,155 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BEA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EAC"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BEA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BEAE"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BEA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EB0"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BEB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BEB2" w14:textId="77777777" w:rsidR="002661BA" w:rsidRDefault="00D972BC">
            <w:pPr>
              <w:jc w:val="right"/>
              <w:textAlignment w:val="bottom"/>
            </w:pPr>
            <w:r>
              <w:rPr>
                <w:rFonts w:ascii="Arial" w:eastAsia="宋体" w:hAnsi="Arial" w:cs="Arial"/>
                <w:color w:val="000000"/>
                <w:sz w:val="18"/>
                <w:szCs w:val="18"/>
              </w:rPr>
              <w:t>130 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BEB3"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EB4"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BEB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BEB6" w14:textId="77777777" w:rsidR="002661BA" w:rsidRDefault="00D972BC">
            <w:pPr>
              <w:jc w:val="right"/>
              <w:textAlignment w:val="bottom"/>
            </w:pPr>
            <w:r>
              <w:rPr>
                <w:rFonts w:ascii="Arial" w:eastAsia="宋体" w:hAnsi="Arial" w:cs="Arial"/>
                <w:color w:val="000000"/>
                <w:sz w:val="18"/>
                <w:szCs w:val="18"/>
              </w:rPr>
              <w:t>4,285 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BEB7"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EB8"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BEB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BEBA" w14:textId="77777777" w:rsidR="002661BA" w:rsidRDefault="00D972BC">
            <w:pPr>
              <w:jc w:val="right"/>
              <w:textAlignment w:val="bottom"/>
            </w:pPr>
            <w:r>
              <w:rPr>
                <w:rFonts w:ascii="Arial" w:eastAsia="宋体" w:hAnsi="Arial" w:cs="Arial"/>
                <w:color w:val="000000"/>
                <w:sz w:val="18"/>
                <w:szCs w:val="18"/>
              </w:rPr>
              <w:t>22 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BEB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EBC"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BEB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BEBE" w14:textId="77777777" w:rsidR="002661BA" w:rsidRDefault="00D972BC">
            <w:pPr>
              <w:jc w:val="right"/>
              <w:textAlignment w:val="bottom"/>
            </w:pPr>
            <w:r>
              <w:rPr>
                <w:rFonts w:ascii="Arial" w:eastAsia="宋体" w:hAnsi="Arial" w:cs="Arial"/>
                <w:color w:val="000000"/>
                <w:sz w:val="18"/>
                <w:szCs w:val="18"/>
              </w:rPr>
              <w:t>(129)</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BEB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EC0"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BEC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BEC2" w14:textId="77777777" w:rsidR="002661BA" w:rsidRDefault="00D972BC">
            <w:pPr>
              <w:jc w:val="right"/>
              <w:textAlignment w:val="bottom"/>
            </w:pPr>
            <w:r>
              <w:rPr>
                <w:rFonts w:ascii="Arial" w:eastAsia="宋体" w:hAnsi="Arial" w:cs="Arial"/>
                <w:color w:val="000000"/>
                <w:sz w:val="18"/>
                <w:szCs w:val="18"/>
              </w:rPr>
              <w:t>4,178 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BEC3" w14:textId="77777777" w:rsidR="002661BA" w:rsidRDefault="002661BA">
            <w:pPr>
              <w:jc w:val="right"/>
              <w:rPr>
                <w:rFonts w:ascii="宋体"/>
              </w:rPr>
            </w:pPr>
          </w:p>
        </w:tc>
      </w:tr>
      <w:tr w:rsidR="002661BA" w14:paraId="22CFBED3" w14:textId="77777777">
        <w:trPr>
          <w:hidden/>
        </w:trPr>
        <w:tc>
          <w:tcPr>
            <w:tcW w:w="0" w:type="auto"/>
            <w:gridSpan w:val="3"/>
            <w:shd w:val="clear" w:color="auto" w:fill="auto"/>
            <w:vAlign w:val="bottom"/>
          </w:tcPr>
          <w:p w14:paraId="22CFBEC5" w14:textId="77777777" w:rsidR="002661BA" w:rsidRDefault="002661BA">
            <w:pPr>
              <w:rPr>
                <w:rFonts w:ascii="宋体"/>
                <w:vanish/>
              </w:rPr>
            </w:pPr>
          </w:p>
        </w:tc>
        <w:tc>
          <w:tcPr>
            <w:tcW w:w="0" w:type="auto"/>
            <w:gridSpan w:val="3"/>
            <w:shd w:val="clear" w:color="auto" w:fill="auto"/>
            <w:vAlign w:val="bottom"/>
          </w:tcPr>
          <w:p w14:paraId="22CFBEC6" w14:textId="77777777" w:rsidR="002661BA" w:rsidRDefault="002661BA">
            <w:pPr>
              <w:rPr>
                <w:rFonts w:ascii="宋体"/>
                <w:vanish/>
              </w:rPr>
            </w:pPr>
          </w:p>
        </w:tc>
        <w:tc>
          <w:tcPr>
            <w:tcW w:w="0" w:type="auto"/>
            <w:gridSpan w:val="3"/>
            <w:shd w:val="clear" w:color="auto" w:fill="auto"/>
            <w:vAlign w:val="bottom"/>
          </w:tcPr>
          <w:p w14:paraId="22CFBEC7" w14:textId="77777777" w:rsidR="002661BA" w:rsidRDefault="002661BA">
            <w:pPr>
              <w:rPr>
                <w:rFonts w:ascii="宋体"/>
                <w:vanish/>
              </w:rPr>
            </w:pPr>
          </w:p>
        </w:tc>
        <w:tc>
          <w:tcPr>
            <w:tcW w:w="0" w:type="auto"/>
            <w:gridSpan w:val="3"/>
            <w:shd w:val="clear" w:color="auto" w:fill="auto"/>
            <w:vAlign w:val="bottom"/>
          </w:tcPr>
          <w:p w14:paraId="22CFBEC8" w14:textId="77777777" w:rsidR="002661BA" w:rsidRDefault="002661BA">
            <w:pPr>
              <w:rPr>
                <w:rFonts w:ascii="宋体"/>
                <w:vanish/>
              </w:rPr>
            </w:pPr>
          </w:p>
        </w:tc>
        <w:tc>
          <w:tcPr>
            <w:tcW w:w="0" w:type="auto"/>
            <w:gridSpan w:val="3"/>
            <w:shd w:val="clear" w:color="auto" w:fill="auto"/>
            <w:vAlign w:val="bottom"/>
          </w:tcPr>
          <w:p w14:paraId="22CFBEC9" w14:textId="77777777" w:rsidR="002661BA" w:rsidRDefault="002661BA">
            <w:pPr>
              <w:rPr>
                <w:rFonts w:ascii="宋体"/>
                <w:vanish/>
              </w:rPr>
            </w:pPr>
          </w:p>
        </w:tc>
        <w:tc>
          <w:tcPr>
            <w:tcW w:w="0" w:type="auto"/>
            <w:gridSpan w:val="3"/>
            <w:shd w:val="clear" w:color="auto" w:fill="auto"/>
            <w:vAlign w:val="bottom"/>
          </w:tcPr>
          <w:p w14:paraId="22CFBECA" w14:textId="77777777" w:rsidR="002661BA" w:rsidRDefault="002661BA">
            <w:pPr>
              <w:rPr>
                <w:rFonts w:ascii="宋体"/>
                <w:vanish/>
              </w:rPr>
            </w:pPr>
          </w:p>
        </w:tc>
        <w:tc>
          <w:tcPr>
            <w:tcW w:w="0" w:type="auto"/>
            <w:gridSpan w:val="3"/>
            <w:shd w:val="clear" w:color="auto" w:fill="auto"/>
            <w:vAlign w:val="bottom"/>
          </w:tcPr>
          <w:p w14:paraId="22CFBECB" w14:textId="77777777" w:rsidR="002661BA" w:rsidRDefault="002661BA">
            <w:pPr>
              <w:rPr>
                <w:rFonts w:ascii="宋体"/>
                <w:vanish/>
              </w:rPr>
            </w:pPr>
          </w:p>
        </w:tc>
        <w:tc>
          <w:tcPr>
            <w:tcW w:w="0" w:type="auto"/>
            <w:gridSpan w:val="3"/>
            <w:shd w:val="clear" w:color="auto" w:fill="auto"/>
            <w:vAlign w:val="bottom"/>
          </w:tcPr>
          <w:p w14:paraId="22CFBECC" w14:textId="77777777" w:rsidR="002661BA" w:rsidRDefault="002661BA">
            <w:pPr>
              <w:rPr>
                <w:rFonts w:ascii="宋体"/>
                <w:vanish/>
              </w:rPr>
            </w:pPr>
          </w:p>
        </w:tc>
        <w:tc>
          <w:tcPr>
            <w:tcW w:w="0" w:type="auto"/>
            <w:gridSpan w:val="3"/>
            <w:shd w:val="clear" w:color="auto" w:fill="auto"/>
            <w:vAlign w:val="bottom"/>
          </w:tcPr>
          <w:p w14:paraId="22CFBECD" w14:textId="77777777" w:rsidR="002661BA" w:rsidRDefault="002661BA">
            <w:pPr>
              <w:rPr>
                <w:rFonts w:ascii="宋体"/>
                <w:vanish/>
              </w:rPr>
            </w:pPr>
          </w:p>
        </w:tc>
        <w:tc>
          <w:tcPr>
            <w:tcW w:w="0" w:type="auto"/>
            <w:gridSpan w:val="3"/>
            <w:shd w:val="clear" w:color="auto" w:fill="auto"/>
            <w:vAlign w:val="bottom"/>
          </w:tcPr>
          <w:p w14:paraId="22CFBECE" w14:textId="77777777" w:rsidR="002661BA" w:rsidRDefault="002661BA">
            <w:pPr>
              <w:rPr>
                <w:rFonts w:ascii="宋体"/>
                <w:vanish/>
              </w:rPr>
            </w:pPr>
          </w:p>
        </w:tc>
        <w:tc>
          <w:tcPr>
            <w:tcW w:w="0" w:type="auto"/>
            <w:gridSpan w:val="3"/>
            <w:shd w:val="clear" w:color="auto" w:fill="auto"/>
            <w:vAlign w:val="bottom"/>
          </w:tcPr>
          <w:p w14:paraId="22CFBECF" w14:textId="77777777" w:rsidR="002661BA" w:rsidRDefault="002661BA">
            <w:pPr>
              <w:rPr>
                <w:rFonts w:ascii="宋体"/>
                <w:vanish/>
              </w:rPr>
            </w:pPr>
          </w:p>
        </w:tc>
        <w:tc>
          <w:tcPr>
            <w:tcW w:w="0" w:type="auto"/>
            <w:gridSpan w:val="3"/>
            <w:shd w:val="clear" w:color="auto" w:fill="auto"/>
            <w:vAlign w:val="bottom"/>
          </w:tcPr>
          <w:p w14:paraId="22CFBED0" w14:textId="77777777" w:rsidR="002661BA" w:rsidRDefault="002661BA">
            <w:pPr>
              <w:rPr>
                <w:rFonts w:ascii="宋体"/>
                <w:vanish/>
              </w:rPr>
            </w:pPr>
          </w:p>
        </w:tc>
        <w:tc>
          <w:tcPr>
            <w:tcW w:w="0" w:type="auto"/>
            <w:gridSpan w:val="3"/>
            <w:shd w:val="clear" w:color="auto" w:fill="auto"/>
            <w:vAlign w:val="bottom"/>
          </w:tcPr>
          <w:p w14:paraId="22CFBED1" w14:textId="77777777" w:rsidR="002661BA" w:rsidRDefault="002661BA">
            <w:pPr>
              <w:rPr>
                <w:rFonts w:ascii="宋体"/>
                <w:vanish/>
              </w:rPr>
            </w:pPr>
          </w:p>
        </w:tc>
        <w:tc>
          <w:tcPr>
            <w:tcW w:w="0" w:type="auto"/>
            <w:gridSpan w:val="3"/>
            <w:shd w:val="clear" w:color="auto" w:fill="auto"/>
            <w:vAlign w:val="bottom"/>
          </w:tcPr>
          <w:p w14:paraId="22CFBED2" w14:textId="77777777" w:rsidR="002661BA" w:rsidRDefault="002661BA">
            <w:pPr>
              <w:rPr>
                <w:rFonts w:ascii="宋体"/>
                <w:vanish/>
              </w:rPr>
            </w:pPr>
          </w:p>
        </w:tc>
      </w:tr>
      <w:tr w:rsidR="002661BA" w14:paraId="22CFBEE2" w14:textId="77777777">
        <w:trPr>
          <w:hidden/>
        </w:trPr>
        <w:tc>
          <w:tcPr>
            <w:tcW w:w="0" w:type="auto"/>
            <w:gridSpan w:val="3"/>
            <w:shd w:val="clear" w:color="auto" w:fill="auto"/>
            <w:vAlign w:val="bottom"/>
          </w:tcPr>
          <w:p w14:paraId="22CFBED4" w14:textId="77777777" w:rsidR="002661BA" w:rsidRDefault="002661BA">
            <w:pPr>
              <w:rPr>
                <w:rFonts w:ascii="宋体"/>
                <w:vanish/>
              </w:rPr>
            </w:pPr>
          </w:p>
        </w:tc>
        <w:tc>
          <w:tcPr>
            <w:tcW w:w="0" w:type="auto"/>
            <w:gridSpan w:val="3"/>
            <w:shd w:val="clear" w:color="auto" w:fill="auto"/>
            <w:vAlign w:val="bottom"/>
          </w:tcPr>
          <w:p w14:paraId="22CFBED5" w14:textId="77777777" w:rsidR="002661BA" w:rsidRDefault="002661BA">
            <w:pPr>
              <w:rPr>
                <w:rFonts w:ascii="宋体"/>
                <w:vanish/>
              </w:rPr>
            </w:pPr>
          </w:p>
        </w:tc>
        <w:tc>
          <w:tcPr>
            <w:tcW w:w="0" w:type="auto"/>
            <w:gridSpan w:val="3"/>
            <w:shd w:val="clear" w:color="auto" w:fill="auto"/>
            <w:vAlign w:val="bottom"/>
          </w:tcPr>
          <w:p w14:paraId="22CFBED6" w14:textId="77777777" w:rsidR="002661BA" w:rsidRDefault="002661BA">
            <w:pPr>
              <w:rPr>
                <w:rFonts w:ascii="宋体"/>
                <w:vanish/>
              </w:rPr>
            </w:pPr>
          </w:p>
        </w:tc>
        <w:tc>
          <w:tcPr>
            <w:tcW w:w="0" w:type="auto"/>
            <w:gridSpan w:val="3"/>
            <w:shd w:val="clear" w:color="auto" w:fill="auto"/>
            <w:vAlign w:val="bottom"/>
          </w:tcPr>
          <w:p w14:paraId="22CFBED7" w14:textId="77777777" w:rsidR="002661BA" w:rsidRDefault="002661BA">
            <w:pPr>
              <w:rPr>
                <w:rFonts w:ascii="宋体"/>
                <w:vanish/>
              </w:rPr>
            </w:pPr>
          </w:p>
        </w:tc>
        <w:tc>
          <w:tcPr>
            <w:tcW w:w="0" w:type="auto"/>
            <w:gridSpan w:val="3"/>
            <w:shd w:val="clear" w:color="auto" w:fill="auto"/>
            <w:vAlign w:val="bottom"/>
          </w:tcPr>
          <w:p w14:paraId="22CFBED8" w14:textId="77777777" w:rsidR="002661BA" w:rsidRDefault="002661BA">
            <w:pPr>
              <w:rPr>
                <w:rFonts w:ascii="宋体"/>
                <w:vanish/>
              </w:rPr>
            </w:pPr>
          </w:p>
        </w:tc>
        <w:tc>
          <w:tcPr>
            <w:tcW w:w="0" w:type="auto"/>
            <w:gridSpan w:val="3"/>
            <w:shd w:val="clear" w:color="auto" w:fill="auto"/>
            <w:vAlign w:val="bottom"/>
          </w:tcPr>
          <w:p w14:paraId="22CFBED9" w14:textId="77777777" w:rsidR="002661BA" w:rsidRDefault="002661BA">
            <w:pPr>
              <w:rPr>
                <w:rFonts w:ascii="宋体"/>
                <w:vanish/>
              </w:rPr>
            </w:pPr>
          </w:p>
        </w:tc>
        <w:tc>
          <w:tcPr>
            <w:tcW w:w="0" w:type="auto"/>
            <w:gridSpan w:val="3"/>
            <w:shd w:val="clear" w:color="auto" w:fill="auto"/>
            <w:vAlign w:val="bottom"/>
          </w:tcPr>
          <w:p w14:paraId="22CFBEDA" w14:textId="77777777" w:rsidR="002661BA" w:rsidRDefault="002661BA">
            <w:pPr>
              <w:rPr>
                <w:rFonts w:ascii="宋体"/>
                <w:vanish/>
              </w:rPr>
            </w:pPr>
          </w:p>
        </w:tc>
        <w:tc>
          <w:tcPr>
            <w:tcW w:w="0" w:type="auto"/>
            <w:gridSpan w:val="3"/>
            <w:shd w:val="clear" w:color="auto" w:fill="auto"/>
            <w:vAlign w:val="bottom"/>
          </w:tcPr>
          <w:p w14:paraId="22CFBEDB" w14:textId="77777777" w:rsidR="002661BA" w:rsidRDefault="002661BA">
            <w:pPr>
              <w:rPr>
                <w:rFonts w:ascii="宋体"/>
                <w:vanish/>
              </w:rPr>
            </w:pPr>
          </w:p>
        </w:tc>
        <w:tc>
          <w:tcPr>
            <w:tcW w:w="0" w:type="auto"/>
            <w:gridSpan w:val="3"/>
            <w:shd w:val="clear" w:color="auto" w:fill="auto"/>
            <w:vAlign w:val="bottom"/>
          </w:tcPr>
          <w:p w14:paraId="22CFBEDC" w14:textId="77777777" w:rsidR="002661BA" w:rsidRDefault="002661BA">
            <w:pPr>
              <w:rPr>
                <w:rFonts w:ascii="宋体"/>
                <w:vanish/>
              </w:rPr>
            </w:pPr>
          </w:p>
        </w:tc>
        <w:tc>
          <w:tcPr>
            <w:tcW w:w="0" w:type="auto"/>
            <w:gridSpan w:val="3"/>
            <w:shd w:val="clear" w:color="auto" w:fill="auto"/>
            <w:vAlign w:val="bottom"/>
          </w:tcPr>
          <w:p w14:paraId="22CFBEDD" w14:textId="77777777" w:rsidR="002661BA" w:rsidRDefault="002661BA">
            <w:pPr>
              <w:rPr>
                <w:rFonts w:ascii="宋体"/>
                <w:vanish/>
              </w:rPr>
            </w:pPr>
          </w:p>
        </w:tc>
        <w:tc>
          <w:tcPr>
            <w:tcW w:w="0" w:type="auto"/>
            <w:gridSpan w:val="3"/>
            <w:shd w:val="clear" w:color="auto" w:fill="auto"/>
            <w:vAlign w:val="bottom"/>
          </w:tcPr>
          <w:p w14:paraId="22CFBEDE" w14:textId="77777777" w:rsidR="002661BA" w:rsidRDefault="002661BA">
            <w:pPr>
              <w:rPr>
                <w:rFonts w:ascii="宋体"/>
                <w:vanish/>
              </w:rPr>
            </w:pPr>
          </w:p>
        </w:tc>
        <w:tc>
          <w:tcPr>
            <w:tcW w:w="0" w:type="auto"/>
            <w:gridSpan w:val="3"/>
            <w:shd w:val="clear" w:color="auto" w:fill="auto"/>
            <w:vAlign w:val="bottom"/>
          </w:tcPr>
          <w:p w14:paraId="22CFBEDF" w14:textId="77777777" w:rsidR="002661BA" w:rsidRDefault="002661BA">
            <w:pPr>
              <w:rPr>
                <w:rFonts w:ascii="宋体"/>
                <w:vanish/>
              </w:rPr>
            </w:pPr>
          </w:p>
        </w:tc>
        <w:tc>
          <w:tcPr>
            <w:tcW w:w="0" w:type="auto"/>
            <w:gridSpan w:val="3"/>
            <w:shd w:val="clear" w:color="auto" w:fill="auto"/>
            <w:vAlign w:val="bottom"/>
          </w:tcPr>
          <w:p w14:paraId="22CFBEE0" w14:textId="77777777" w:rsidR="002661BA" w:rsidRDefault="002661BA">
            <w:pPr>
              <w:rPr>
                <w:rFonts w:ascii="宋体"/>
                <w:vanish/>
              </w:rPr>
            </w:pPr>
          </w:p>
        </w:tc>
        <w:tc>
          <w:tcPr>
            <w:tcW w:w="0" w:type="auto"/>
            <w:gridSpan w:val="3"/>
            <w:shd w:val="clear" w:color="auto" w:fill="auto"/>
            <w:vAlign w:val="bottom"/>
          </w:tcPr>
          <w:p w14:paraId="22CFBEE1" w14:textId="77777777" w:rsidR="002661BA" w:rsidRDefault="002661BA">
            <w:pPr>
              <w:rPr>
                <w:rFonts w:ascii="宋体"/>
                <w:vanish/>
              </w:rPr>
            </w:pPr>
          </w:p>
        </w:tc>
      </w:tr>
      <w:tr w:rsidR="002661BA" w14:paraId="22CFBEF1" w14:textId="77777777">
        <w:trPr>
          <w:hidden/>
        </w:trPr>
        <w:tc>
          <w:tcPr>
            <w:tcW w:w="0" w:type="auto"/>
            <w:gridSpan w:val="3"/>
            <w:shd w:val="clear" w:color="auto" w:fill="auto"/>
            <w:vAlign w:val="bottom"/>
          </w:tcPr>
          <w:p w14:paraId="22CFBEE3" w14:textId="77777777" w:rsidR="002661BA" w:rsidRDefault="002661BA">
            <w:pPr>
              <w:rPr>
                <w:rFonts w:ascii="宋体"/>
                <w:vanish/>
              </w:rPr>
            </w:pPr>
          </w:p>
        </w:tc>
        <w:tc>
          <w:tcPr>
            <w:tcW w:w="0" w:type="auto"/>
            <w:gridSpan w:val="3"/>
            <w:shd w:val="clear" w:color="auto" w:fill="auto"/>
            <w:vAlign w:val="bottom"/>
          </w:tcPr>
          <w:p w14:paraId="22CFBEE4" w14:textId="77777777" w:rsidR="002661BA" w:rsidRDefault="002661BA">
            <w:pPr>
              <w:rPr>
                <w:rFonts w:ascii="宋体"/>
                <w:vanish/>
              </w:rPr>
            </w:pPr>
          </w:p>
        </w:tc>
        <w:tc>
          <w:tcPr>
            <w:tcW w:w="0" w:type="auto"/>
            <w:gridSpan w:val="3"/>
            <w:shd w:val="clear" w:color="auto" w:fill="auto"/>
            <w:vAlign w:val="bottom"/>
          </w:tcPr>
          <w:p w14:paraId="22CFBEE5" w14:textId="77777777" w:rsidR="002661BA" w:rsidRDefault="002661BA">
            <w:pPr>
              <w:rPr>
                <w:rFonts w:ascii="宋体"/>
                <w:vanish/>
              </w:rPr>
            </w:pPr>
          </w:p>
        </w:tc>
        <w:tc>
          <w:tcPr>
            <w:tcW w:w="0" w:type="auto"/>
            <w:gridSpan w:val="3"/>
            <w:shd w:val="clear" w:color="auto" w:fill="auto"/>
            <w:vAlign w:val="bottom"/>
          </w:tcPr>
          <w:p w14:paraId="22CFBEE6" w14:textId="77777777" w:rsidR="002661BA" w:rsidRDefault="002661BA">
            <w:pPr>
              <w:rPr>
                <w:rFonts w:ascii="宋体"/>
                <w:vanish/>
              </w:rPr>
            </w:pPr>
          </w:p>
        </w:tc>
        <w:tc>
          <w:tcPr>
            <w:tcW w:w="0" w:type="auto"/>
            <w:gridSpan w:val="3"/>
            <w:shd w:val="clear" w:color="auto" w:fill="auto"/>
            <w:vAlign w:val="bottom"/>
          </w:tcPr>
          <w:p w14:paraId="22CFBEE7" w14:textId="77777777" w:rsidR="002661BA" w:rsidRDefault="002661BA">
            <w:pPr>
              <w:rPr>
                <w:rFonts w:ascii="宋体"/>
                <w:vanish/>
              </w:rPr>
            </w:pPr>
          </w:p>
        </w:tc>
        <w:tc>
          <w:tcPr>
            <w:tcW w:w="0" w:type="auto"/>
            <w:gridSpan w:val="3"/>
            <w:shd w:val="clear" w:color="auto" w:fill="auto"/>
            <w:vAlign w:val="bottom"/>
          </w:tcPr>
          <w:p w14:paraId="22CFBEE8" w14:textId="77777777" w:rsidR="002661BA" w:rsidRDefault="002661BA">
            <w:pPr>
              <w:rPr>
                <w:rFonts w:ascii="宋体"/>
                <w:vanish/>
              </w:rPr>
            </w:pPr>
          </w:p>
        </w:tc>
        <w:tc>
          <w:tcPr>
            <w:tcW w:w="0" w:type="auto"/>
            <w:gridSpan w:val="3"/>
            <w:shd w:val="clear" w:color="auto" w:fill="auto"/>
            <w:vAlign w:val="bottom"/>
          </w:tcPr>
          <w:p w14:paraId="22CFBEE9" w14:textId="77777777" w:rsidR="002661BA" w:rsidRDefault="002661BA">
            <w:pPr>
              <w:rPr>
                <w:rFonts w:ascii="宋体"/>
                <w:vanish/>
              </w:rPr>
            </w:pPr>
          </w:p>
        </w:tc>
        <w:tc>
          <w:tcPr>
            <w:tcW w:w="0" w:type="auto"/>
            <w:gridSpan w:val="3"/>
            <w:shd w:val="clear" w:color="auto" w:fill="auto"/>
            <w:vAlign w:val="bottom"/>
          </w:tcPr>
          <w:p w14:paraId="22CFBEEA" w14:textId="77777777" w:rsidR="002661BA" w:rsidRDefault="002661BA">
            <w:pPr>
              <w:rPr>
                <w:rFonts w:ascii="宋体"/>
                <w:vanish/>
              </w:rPr>
            </w:pPr>
          </w:p>
        </w:tc>
        <w:tc>
          <w:tcPr>
            <w:tcW w:w="0" w:type="auto"/>
            <w:gridSpan w:val="3"/>
            <w:shd w:val="clear" w:color="auto" w:fill="auto"/>
            <w:vAlign w:val="bottom"/>
          </w:tcPr>
          <w:p w14:paraId="22CFBEEB" w14:textId="77777777" w:rsidR="002661BA" w:rsidRDefault="002661BA">
            <w:pPr>
              <w:rPr>
                <w:rFonts w:ascii="宋体"/>
                <w:vanish/>
              </w:rPr>
            </w:pPr>
          </w:p>
        </w:tc>
        <w:tc>
          <w:tcPr>
            <w:tcW w:w="0" w:type="auto"/>
            <w:gridSpan w:val="3"/>
            <w:shd w:val="clear" w:color="auto" w:fill="auto"/>
            <w:vAlign w:val="bottom"/>
          </w:tcPr>
          <w:p w14:paraId="22CFBEEC" w14:textId="77777777" w:rsidR="002661BA" w:rsidRDefault="002661BA">
            <w:pPr>
              <w:rPr>
                <w:rFonts w:ascii="宋体"/>
                <w:vanish/>
              </w:rPr>
            </w:pPr>
          </w:p>
        </w:tc>
        <w:tc>
          <w:tcPr>
            <w:tcW w:w="0" w:type="auto"/>
            <w:gridSpan w:val="3"/>
            <w:shd w:val="clear" w:color="auto" w:fill="auto"/>
            <w:vAlign w:val="bottom"/>
          </w:tcPr>
          <w:p w14:paraId="22CFBEED" w14:textId="77777777" w:rsidR="002661BA" w:rsidRDefault="002661BA">
            <w:pPr>
              <w:rPr>
                <w:rFonts w:ascii="宋体"/>
                <w:vanish/>
              </w:rPr>
            </w:pPr>
          </w:p>
        </w:tc>
        <w:tc>
          <w:tcPr>
            <w:tcW w:w="0" w:type="auto"/>
            <w:gridSpan w:val="3"/>
            <w:shd w:val="clear" w:color="auto" w:fill="auto"/>
            <w:vAlign w:val="bottom"/>
          </w:tcPr>
          <w:p w14:paraId="22CFBEEE" w14:textId="77777777" w:rsidR="002661BA" w:rsidRDefault="002661BA">
            <w:pPr>
              <w:rPr>
                <w:rFonts w:ascii="宋体"/>
                <w:vanish/>
              </w:rPr>
            </w:pPr>
          </w:p>
        </w:tc>
        <w:tc>
          <w:tcPr>
            <w:tcW w:w="0" w:type="auto"/>
            <w:gridSpan w:val="3"/>
            <w:shd w:val="clear" w:color="auto" w:fill="auto"/>
            <w:vAlign w:val="bottom"/>
          </w:tcPr>
          <w:p w14:paraId="22CFBEEF" w14:textId="77777777" w:rsidR="002661BA" w:rsidRDefault="002661BA">
            <w:pPr>
              <w:rPr>
                <w:rFonts w:ascii="宋体"/>
                <w:vanish/>
              </w:rPr>
            </w:pPr>
          </w:p>
        </w:tc>
        <w:tc>
          <w:tcPr>
            <w:tcW w:w="0" w:type="auto"/>
            <w:gridSpan w:val="3"/>
            <w:shd w:val="clear" w:color="auto" w:fill="auto"/>
            <w:vAlign w:val="bottom"/>
          </w:tcPr>
          <w:p w14:paraId="22CFBEF0" w14:textId="77777777" w:rsidR="002661BA" w:rsidRDefault="002661BA">
            <w:pPr>
              <w:rPr>
                <w:rFonts w:ascii="宋体"/>
                <w:vanish/>
              </w:rPr>
            </w:pPr>
          </w:p>
        </w:tc>
      </w:tr>
    </w:tbl>
    <w:p w14:paraId="22CFBEF2" w14:textId="77777777" w:rsidR="002661BA" w:rsidRDefault="002661BA">
      <w:pPr>
        <w:ind w:hanging="270"/>
        <w:jc w:val="both"/>
      </w:pPr>
    </w:p>
    <w:p w14:paraId="22CFBEF3" w14:textId="77777777" w:rsidR="002661BA" w:rsidRDefault="00D972BC">
      <w:pPr>
        <w:ind w:firstLine="540"/>
        <w:jc w:val="both"/>
      </w:pPr>
      <w:r>
        <w:rPr>
          <w:rFonts w:ascii="Arial" w:eastAsia="宋体" w:hAnsi="Arial" w:cs="Arial"/>
          <w:color w:val="000000"/>
          <w:sz w:val="20"/>
          <w:szCs w:val="20"/>
        </w:rPr>
        <w:t xml:space="preserve">The adjustments to goodwill during the </w:t>
      </w:r>
      <w:r>
        <w:rPr>
          <w:rFonts w:ascii="Arial" w:eastAsia="宋体" w:hAnsi="Arial" w:cs="Arial"/>
          <w:color w:val="000000"/>
          <w:sz w:val="20"/>
          <w:szCs w:val="20"/>
        </w:rPr>
        <w:t>years ended December 31, 2021 and 2020 were primarily due to foreign currency translation. There were no impairments to goodwill in 2021 and 2020.</w:t>
      </w:r>
    </w:p>
    <w:p w14:paraId="22CFBEF4" w14:textId="77777777" w:rsidR="002661BA" w:rsidRDefault="00D972BC">
      <w:pPr>
        <w:jc w:val="both"/>
      </w:pPr>
      <w:r>
        <w:rPr>
          <w:rFonts w:ascii="Arial" w:eastAsia="宋体" w:hAnsi="Arial" w:cs="Arial"/>
          <w:color w:val="000000"/>
          <w:sz w:val="20"/>
          <w:szCs w:val="20"/>
        </w:rPr>
        <w:t> </w:t>
      </w:r>
    </w:p>
    <w:p w14:paraId="22CFBEF5" w14:textId="77777777" w:rsidR="002661BA" w:rsidRDefault="00D972BC">
      <w:pPr>
        <w:ind w:firstLine="540"/>
        <w:jc w:val="both"/>
      </w:pPr>
      <w:r>
        <w:rPr>
          <w:rFonts w:ascii="Arial" w:eastAsia="宋体" w:hAnsi="Arial" w:cs="Arial"/>
          <w:color w:val="000000"/>
          <w:sz w:val="20"/>
          <w:szCs w:val="20"/>
        </w:rPr>
        <w:t xml:space="preserve">Amortization expense for intangible assets was $9 million, $28 million and $35 million for the years ended </w:t>
      </w:r>
      <w:r>
        <w:rPr>
          <w:rFonts w:ascii="Arial" w:eastAsia="宋体" w:hAnsi="Arial" w:cs="Arial"/>
          <w:color w:val="000000"/>
          <w:sz w:val="20"/>
          <w:szCs w:val="20"/>
        </w:rPr>
        <w:t>December 31, 2021, 2020 and 2019, respectively. Intangible asset balances were immaterial as of December 31, 2021 and 2020.</w:t>
      </w:r>
    </w:p>
    <w:p w14:paraId="22CFBEF6" w14:textId="77777777" w:rsidR="002661BA" w:rsidRDefault="002661BA">
      <w:pPr>
        <w:jc w:val="both"/>
      </w:pPr>
    </w:p>
    <w:p w14:paraId="22CFBEF7" w14:textId="77777777" w:rsidR="002661BA" w:rsidRDefault="00D972BC">
      <w:pPr>
        <w:jc w:val="center"/>
      </w:pPr>
      <w:r>
        <w:rPr>
          <w:rFonts w:ascii="Arial" w:eastAsia="宋体" w:hAnsi="Arial" w:cs="Arial"/>
          <w:color w:val="000000"/>
          <w:sz w:val="18"/>
          <w:szCs w:val="18"/>
        </w:rPr>
        <w:t>78</w:t>
      </w:r>
    </w:p>
    <w:p w14:paraId="22CFBEF8" w14:textId="77777777" w:rsidR="002661BA" w:rsidRDefault="00D972BC">
      <w:r>
        <w:pict w14:anchorId="22CFE4FF">
          <v:rect id="_x0000_i1102" style="width:415.3pt;height:1.5pt" o:hralign="center" o:hrstd="t" o:hr="t" fillcolor="#a0a0a0" stroked="f"/>
        </w:pict>
      </w:r>
    </w:p>
    <w:p w14:paraId="22CFBEF9" w14:textId="77777777" w:rsidR="002661BA" w:rsidRDefault="00D972BC">
      <w:hyperlink r:id="rId113" w:anchor="id0d7a71b05ce452ea9fdb54f3cb359c7_7" w:history="1">
        <w:r>
          <w:rPr>
            <w:rStyle w:val="a5"/>
            <w:rFonts w:ascii="Arial" w:eastAsia="宋体" w:hAnsi="Arial" w:cs="Arial"/>
            <w:sz w:val="18"/>
            <w:szCs w:val="18"/>
          </w:rPr>
          <w:t>Table of Contents</w:t>
        </w:r>
      </w:hyperlink>
    </w:p>
    <w:p w14:paraId="22CFBEFA" w14:textId="77777777" w:rsidR="002661BA" w:rsidRDefault="00D972BC">
      <w:pPr>
        <w:jc w:val="center"/>
      </w:pPr>
      <w:r>
        <w:rPr>
          <w:rFonts w:ascii="Arial" w:eastAsia="宋体" w:hAnsi="Arial" w:cs="Arial"/>
          <w:b/>
          <w:bCs/>
          <w:color w:val="000000"/>
          <w:sz w:val="20"/>
          <w:szCs w:val="20"/>
        </w:rPr>
        <w:t>eBay Inc.</w:t>
      </w:r>
    </w:p>
    <w:p w14:paraId="22CFBEFB"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BEFC" w14:textId="77777777" w:rsidR="002661BA" w:rsidRDefault="00D972BC">
      <w:pPr>
        <w:jc w:val="both"/>
      </w:pPr>
      <w:r>
        <w:rPr>
          <w:rFonts w:ascii="Arial" w:eastAsia="宋体" w:hAnsi="Arial" w:cs="Arial"/>
          <w:b/>
          <w:bCs/>
          <w:color w:val="000000"/>
          <w:sz w:val="20"/>
          <w:szCs w:val="20"/>
        </w:rPr>
        <w:t>Note 5 — Segments</w:t>
      </w:r>
    </w:p>
    <w:p w14:paraId="22CFBEFD" w14:textId="77777777" w:rsidR="002661BA" w:rsidRDefault="002661BA">
      <w:pPr>
        <w:jc w:val="both"/>
      </w:pPr>
    </w:p>
    <w:p w14:paraId="22CFBEFE" w14:textId="77777777" w:rsidR="002661BA" w:rsidRDefault="00D972BC">
      <w:pPr>
        <w:ind w:firstLine="540"/>
        <w:jc w:val="both"/>
      </w:pPr>
      <w:r>
        <w:rPr>
          <w:rFonts w:ascii="Arial" w:eastAsia="宋体" w:hAnsi="Arial" w:cs="Arial"/>
          <w:color w:val="000000"/>
          <w:sz w:val="20"/>
          <w:szCs w:val="20"/>
        </w:rPr>
        <w:t>W</w:t>
      </w:r>
      <w:r>
        <w:rPr>
          <w:rFonts w:ascii="Arial" w:eastAsia="宋体" w:hAnsi="Arial" w:cs="Arial"/>
          <w:color w:val="000000"/>
          <w:sz w:val="20"/>
          <w:szCs w:val="20"/>
        </w:rPr>
        <w:t>e have one operating and reportable segment. Our reportable segment is Marketplace, which includes our online marketplace located at www.ebay.com, its localized counterparts and the eBay suite of mobile apps. Our management and our CODM review financial in</w:t>
      </w:r>
      <w:r>
        <w:rPr>
          <w:rFonts w:ascii="Arial" w:eastAsia="宋体" w:hAnsi="Arial" w:cs="Arial"/>
          <w:color w:val="000000"/>
          <w:sz w:val="20"/>
          <w:szCs w:val="20"/>
        </w:rPr>
        <w:t>formation presented on a consolidated basis for purposes of allocating resources and evaluating performance and do not evaluate using asset information.</w:t>
      </w:r>
    </w:p>
    <w:p w14:paraId="22CFBEFF" w14:textId="77777777" w:rsidR="002661BA" w:rsidRDefault="002661BA">
      <w:pPr>
        <w:ind w:firstLine="540"/>
        <w:jc w:val="both"/>
      </w:pPr>
    </w:p>
    <w:p w14:paraId="22CFBF00" w14:textId="77777777" w:rsidR="002661BA" w:rsidRDefault="00D972BC">
      <w:pPr>
        <w:ind w:firstLine="540"/>
        <w:jc w:val="both"/>
      </w:pPr>
      <w:r>
        <w:rPr>
          <w:rFonts w:ascii="Arial" w:eastAsia="宋体" w:hAnsi="Arial" w:cs="Arial"/>
          <w:color w:val="000000"/>
          <w:sz w:val="20"/>
          <w:szCs w:val="20"/>
        </w:rPr>
        <w:t>During the first quarter of 2020, we classified the results of our previous StubHub segment as discont</w:t>
      </w:r>
      <w:r>
        <w:rPr>
          <w:rFonts w:ascii="Arial" w:eastAsia="宋体" w:hAnsi="Arial" w:cs="Arial"/>
          <w:color w:val="000000"/>
          <w:sz w:val="20"/>
          <w:szCs w:val="20"/>
        </w:rPr>
        <w:t>inued operations in our consolidated statement of income for all periods presented. In addition, during the third quarter of 2020, we classified the results of our Classifieds segment as discontinued operations in our consolidated statement of income for t</w:t>
      </w:r>
      <w:r>
        <w:rPr>
          <w:rFonts w:ascii="Arial" w:eastAsia="宋体" w:hAnsi="Arial" w:cs="Arial"/>
          <w:color w:val="000000"/>
          <w:sz w:val="20"/>
          <w:szCs w:val="20"/>
        </w:rPr>
        <w:t xml:space="preserve">he periods presented. During the second quarter of 2021, we classified the results of our eBay Korea business which was part of our Marketplace segment as discontinued operations in our consolidated statement of income for the periods presented. See “Note </w:t>
      </w:r>
      <w:r>
        <w:rPr>
          <w:rFonts w:ascii="Arial" w:eastAsia="宋体" w:hAnsi="Arial" w:cs="Arial"/>
          <w:color w:val="000000"/>
          <w:sz w:val="20"/>
          <w:szCs w:val="20"/>
        </w:rPr>
        <w:t xml:space="preserve">3 — Discontinued Operations” for additional information. </w:t>
      </w:r>
    </w:p>
    <w:p w14:paraId="22CFBF01" w14:textId="77777777" w:rsidR="002661BA" w:rsidRDefault="002661BA">
      <w:pPr>
        <w:ind w:firstLine="540"/>
        <w:jc w:val="both"/>
      </w:pPr>
    </w:p>
    <w:p w14:paraId="22CFBF02" w14:textId="77777777" w:rsidR="002661BA" w:rsidRDefault="00D972BC">
      <w:pPr>
        <w:ind w:firstLine="540"/>
        <w:jc w:val="both"/>
      </w:pPr>
      <w:r>
        <w:rPr>
          <w:rFonts w:ascii="Arial" w:eastAsia="宋体" w:hAnsi="Arial" w:cs="Arial"/>
          <w:color w:val="000000"/>
          <w:sz w:val="20"/>
          <w:szCs w:val="20"/>
        </w:rPr>
        <w:t>The accounting policies of our segment are the same as those described in “Note 1 — The Company and Summary of Significant Accounting Policies.”</w:t>
      </w:r>
    </w:p>
    <w:p w14:paraId="22CFBF03" w14:textId="77777777" w:rsidR="002661BA" w:rsidRDefault="002661BA">
      <w:pPr>
        <w:ind w:firstLine="540"/>
        <w:jc w:val="both"/>
      </w:pPr>
    </w:p>
    <w:p w14:paraId="22CFBF04" w14:textId="77777777" w:rsidR="002661BA" w:rsidRDefault="00D972BC">
      <w:pPr>
        <w:spacing w:after="120"/>
        <w:ind w:firstLine="540"/>
        <w:jc w:val="both"/>
      </w:pPr>
      <w:r>
        <w:rPr>
          <w:rFonts w:ascii="Arial" w:eastAsia="宋体" w:hAnsi="Arial" w:cs="Arial"/>
          <w:color w:val="000000"/>
          <w:sz w:val="20"/>
          <w:szCs w:val="20"/>
        </w:rPr>
        <w:t>The following table summarizes net revenues by type</w:t>
      </w:r>
      <w:r>
        <w:rPr>
          <w:rFonts w:ascii="Arial" w:eastAsia="宋体" w:hAnsi="Arial" w:cs="Arial"/>
          <w:color w:val="000000"/>
          <w:sz w:val="20"/>
          <w:szCs w:val="20"/>
        </w:rPr>
        <w:t xml:space="preserve"> for the 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40"/>
        <w:gridCol w:w="4873"/>
        <w:gridCol w:w="38"/>
        <w:gridCol w:w="121"/>
        <w:gridCol w:w="898"/>
        <w:gridCol w:w="36"/>
        <w:gridCol w:w="36"/>
        <w:gridCol w:w="36"/>
        <w:gridCol w:w="36"/>
        <w:gridCol w:w="121"/>
        <w:gridCol w:w="899"/>
        <w:gridCol w:w="36"/>
        <w:gridCol w:w="36"/>
        <w:gridCol w:w="36"/>
        <w:gridCol w:w="36"/>
        <w:gridCol w:w="121"/>
        <w:gridCol w:w="901"/>
        <w:gridCol w:w="36"/>
      </w:tblGrid>
      <w:tr w:rsidR="002661BA" w14:paraId="22CFBF17" w14:textId="77777777">
        <w:tc>
          <w:tcPr>
            <w:tcW w:w="50" w:type="pct"/>
            <w:shd w:val="clear" w:color="auto" w:fill="auto"/>
            <w:vAlign w:val="bottom"/>
          </w:tcPr>
          <w:p w14:paraId="22CFBF05" w14:textId="77777777" w:rsidR="002661BA" w:rsidRDefault="002661BA">
            <w:pPr>
              <w:rPr>
                <w:rFonts w:ascii="宋体"/>
              </w:rPr>
            </w:pPr>
          </w:p>
        </w:tc>
        <w:tc>
          <w:tcPr>
            <w:tcW w:w="2978" w:type="pct"/>
            <w:shd w:val="clear" w:color="auto" w:fill="auto"/>
            <w:vAlign w:val="bottom"/>
          </w:tcPr>
          <w:p w14:paraId="22CFBF06" w14:textId="77777777" w:rsidR="002661BA" w:rsidRDefault="002661BA">
            <w:pPr>
              <w:rPr>
                <w:rFonts w:ascii="宋体"/>
              </w:rPr>
            </w:pPr>
          </w:p>
        </w:tc>
        <w:tc>
          <w:tcPr>
            <w:tcW w:w="5" w:type="pct"/>
            <w:shd w:val="clear" w:color="auto" w:fill="auto"/>
            <w:vAlign w:val="bottom"/>
          </w:tcPr>
          <w:p w14:paraId="22CFBF07" w14:textId="77777777" w:rsidR="002661BA" w:rsidRDefault="002661BA">
            <w:pPr>
              <w:rPr>
                <w:rFonts w:ascii="宋体"/>
              </w:rPr>
            </w:pPr>
          </w:p>
        </w:tc>
        <w:tc>
          <w:tcPr>
            <w:tcW w:w="50" w:type="pct"/>
            <w:shd w:val="clear" w:color="auto" w:fill="auto"/>
            <w:vAlign w:val="bottom"/>
          </w:tcPr>
          <w:p w14:paraId="22CFBF08" w14:textId="77777777" w:rsidR="002661BA" w:rsidRDefault="002661BA">
            <w:pPr>
              <w:rPr>
                <w:rFonts w:ascii="宋体"/>
              </w:rPr>
            </w:pPr>
          </w:p>
        </w:tc>
        <w:tc>
          <w:tcPr>
            <w:tcW w:w="580" w:type="pct"/>
            <w:shd w:val="clear" w:color="auto" w:fill="auto"/>
            <w:vAlign w:val="bottom"/>
          </w:tcPr>
          <w:p w14:paraId="22CFBF09" w14:textId="77777777" w:rsidR="002661BA" w:rsidRDefault="002661BA">
            <w:pPr>
              <w:rPr>
                <w:rFonts w:ascii="宋体"/>
              </w:rPr>
            </w:pPr>
          </w:p>
        </w:tc>
        <w:tc>
          <w:tcPr>
            <w:tcW w:w="5" w:type="pct"/>
            <w:shd w:val="clear" w:color="auto" w:fill="auto"/>
            <w:vAlign w:val="bottom"/>
          </w:tcPr>
          <w:p w14:paraId="22CFBF0A" w14:textId="77777777" w:rsidR="002661BA" w:rsidRDefault="002661BA">
            <w:pPr>
              <w:rPr>
                <w:rFonts w:ascii="宋体"/>
              </w:rPr>
            </w:pPr>
          </w:p>
        </w:tc>
        <w:tc>
          <w:tcPr>
            <w:tcW w:w="5" w:type="pct"/>
            <w:shd w:val="clear" w:color="auto" w:fill="auto"/>
            <w:vAlign w:val="bottom"/>
          </w:tcPr>
          <w:p w14:paraId="22CFBF0B" w14:textId="77777777" w:rsidR="002661BA" w:rsidRDefault="002661BA">
            <w:pPr>
              <w:rPr>
                <w:rFonts w:ascii="宋体"/>
              </w:rPr>
            </w:pPr>
          </w:p>
        </w:tc>
        <w:tc>
          <w:tcPr>
            <w:tcW w:w="19" w:type="pct"/>
            <w:shd w:val="clear" w:color="auto" w:fill="auto"/>
            <w:vAlign w:val="bottom"/>
          </w:tcPr>
          <w:p w14:paraId="22CFBF0C" w14:textId="77777777" w:rsidR="002661BA" w:rsidRDefault="002661BA">
            <w:pPr>
              <w:rPr>
                <w:rFonts w:ascii="宋体"/>
              </w:rPr>
            </w:pPr>
          </w:p>
        </w:tc>
        <w:tc>
          <w:tcPr>
            <w:tcW w:w="5" w:type="pct"/>
            <w:shd w:val="clear" w:color="auto" w:fill="auto"/>
            <w:vAlign w:val="bottom"/>
          </w:tcPr>
          <w:p w14:paraId="22CFBF0D" w14:textId="77777777" w:rsidR="002661BA" w:rsidRDefault="002661BA">
            <w:pPr>
              <w:rPr>
                <w:rFonts w:ascii="宋体"/>
              </w:rPr>
            </w:pPr>
          </w:p>
        </w:tc>
        <w:tc>
          <w:tcPr>
            <w:tcW w:w="50" w:type="pct"/>
            <w:shd w:val="clear" w:color="auto" w:fill="auto"/>
            <w:vAlign w:val="bottom"/>
          </w:tcPr>
          <w:p w14:paraId="22CFBF0E" w14:textId="77777777" w:rsidR="002661BA" w:rsidRDefault="002661BA">
            <w:pPr>
              <w:rPr>
                <w:rFonts w:ascii="宋体"/>
              </w:rPr>
            </w:pPr>
          </w:p>
        </w:tc>
        <w:tc>
          <w:tcPr>
            <w:tcW w:w="580" w:type="pct"/>
            <w:shd w:val="clear" w:color="auto" w:fill="auto"/>
            <w:vAlign w:val="bottom"/>
          </w:tcPr>
          <w:p w14:paraId="22CFBF0F" w14:textId="77777777" w:rsidR="002661BA" w:rsidRDefault="002661BA">
            <w:pPr>
              <w:rPr>
                <w:rFonts w:ascii="宋体"/>
              </w:rPr>
            </w:pPr>
          </w:p>
        </w:tc>
        <w:tc>
          <w:tcPr>
            <w:tcW w:w="5" w:type="pct"/>
            <w:shd w:val="clear" w:color="auto" w:fill="auto"/>
            <w:vAlign w:val="bottom"/>
          </w:tcPr>
          <w:p w14:paraId="22CFBF10" w14:textId="77777777" w:rsidR="002661BA" w:rsidRDefault="002661BA">
            <w:pPr>
              <w:rPr>
                <w:rFonts w:ascii="宋体"/>
              </w:rPr>
            </w:pPr>
          </w:p>
        </w:tc>
        <w:tc>
          <w:tcPr>
            <w:tcW w:w="5" w:type="pct"/>
            <w:shd w:val="clear" w:color="auto" w:fill="auto"/>
            <w:vAlign w:val="bottom"/>
          </w:tcPr>
          <w:p w14:paraId="22CFBF11" w14:textId="77777777" w:rsidR="002661BA" w:rsidRDefault="002661BA">
            <w:pPr>
              <w:rPr>
                <w:rFonts w:ascii="宋体"/>
              </w:rPr>
            </w:pPr>
          </w:p>
        </w:tc>
        <w:tc>
          <w:tcPr>
            <w:tcW w:w="19" w:type="pct"/>
            <w:shd w:val="clear" w:color="auto" w:fill="auto"/>
            <w:vAlign w:val="bottom"/>
          </w:tcPr>
          <w:p w14:paraId="22CFBF12" w14:textId="77777777" w:rsidR="002661BA" w:rsidRDefault="002661BA">
            <w:pPr>
              <w:rPr>
                <w:rFonts w:ascii="宋体"/>
              </w:rPr>
            </w:pPr>
          </w:p>
        </w:tc>
        <w:tc>
          <w:tcPr>
            <w:tcW w:w="5" w:type="pct"/>
            <w:shd w:val="clear" w:color="auto" w:fill="auto"/>
            <w:vAlign w:val="bottom"/>
          </w:tcPr>
          <w:p w14:paraId="22CFBF13" w14:textId="77777777" w:rsidR="002661BA" w:rsidRDefault="002661BA">
            <w:pPr>
              <w:rPr>
                <w:rFonts w:ascii="宋体"/>
              </w:rPr>
            </w:pPr>
          </w:p>
        </w:tc>
        <w:tc>
          <w:tcPr>
            <w:tcW w:w="50" w:type="pct"/>
            <w:shd w:val="clear" w:color="auto" w:fill="auto"/>
            <w:vAlign w:val="bottom"/>
          </w:tcPr>
          <w:p w14:paraId="22CFBF14" w14:textId="77777777" w:rsidR="002661BA" w:rsidRDefault="002661BA">
            <w:pPr>
              <w:rPr>
                <w:rFonts w:ascii="宋体"/>
              </w:rPr>
            </w:pPr>
          </w:p>
        </w:tc>
        <w:tc>
          <w:tcPr>
            <w:tcW w:w="581" w:type="pct"/>
            <w:shd w:val="clear" w:color="auto" w:fill="auto"/>
            <w:vAlign w:val="bottom"/>
          </w:tcPr>
          <w:p w14:paraId="22CFBF15" w14:textId="77777777" w:rsidR="002661BA" w:rsidRDefault="002661BA">
            <w:pPr>
              <w:rPr>
                <w:rFonts w:ascii="宋体"/>
              </w:rPr>
            </w:pPr>
          </w:p>
        </w:tc>
        <w:tc>
          <w:tcPr>
            <w:tcW w:w="5" w:type="pct"/>
            <w:shd w:val="clear" w:color="auto" w:fill="auto"/>
            <w:vAlign w:val="bottom"/>
          </w:tcPr>
          <w:p w14:paraId="22CFBF16" w14:textId="77777777" w:rsidR="002661BA" w:rsidRDefault="002661BA">
            <w:pPr>
              <w:rPr>
                <w:rFonts w:ascii="宋体"/>
              </w:rPr>
            </w:pPr>
          </w:p>
        </w:tc>
      </w:tr>
      <w:tr w:rsidR="002661BA" w14:paraId="22CFBF1A" w14:textId="77777777">
        <w:tc>
          <w:tcPr>
            <w:tcW w:w="0" w:type="auto"/>
            <w:gridSpan w:val="3"/>
            <w:shd w:val="clear" w:color="auto" w:fill="auto"/>
            <w:tcMar>
              <w:top w:w="40" w:type="dxa"/>
              <w:left w:w="155" w:type="dxa"/>
              <w:bottom w:w="40" w:type="dxa"/>
              <w:right w:w="20" w:type="dxa"/>
            </w:tcMar>
            <w:vAlign w:val="bottom"/>
          </w:tcPr>
          <w:p w14:paraId="22CFBF18" w14:textId="77777777" w:rsidR="002661BA" w:rsidRDefault="00D972BC">
            <w:pPr>
              <w:textAlignment w:val="bottom"/>
            </w:pPr>
            <w:r>
              <w:rPr>
                <w:rFonts w:ascii="Arial" w:eastAsia="宋体" w:hAnsi="Arial" w:cs="Arial"/>
                <w:color w:val="000000"/>
                <w:sz w:val="16"/>
                <w:szCs w:val="16"/>
              </w:rPr>
              <w:t> </w:t>
            </w:r>
          </w:p>
        </w:tc>
        <w:tc>
          <w:tcPr>
            <w:tcW w:w="0" w:type="auto"/>
            <w:gridSpan w:val="15"/>
            <w:shd w:val="clear" w:color="auto" w:fill="auto"/>
            <w:tcMar>
              <w:top w:w="40" w:type="dxa"/>
              <w:left w:w="20" w:type="dxa"/>
              <w:bottom w:w="40" w:type="dxa"/>
              <w:right w:w="20" w:type="dxa"/>
            </w:tcMar>
            <w:vAlign w:val="bottom"/>
          </w:tcPr>
          <w:p w14:paraId="22CFBF19"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BF21" w14:textId="77777777">
        <w:tc>
          <w:tcPr>
            <w:tcW w:w="0" w:type="auto"/>
            <w:gridSpan w:val="3"/>
            <w:shd w:val="clear" w:color="auto" w:fill="auto"/>
            <w:tcMar>
              <w:top w:w="40" w:type="dxa"/>
              <w:left w:w="20" w:type="dxa"/>
              <w:bottom w:w="40" w:type="dxa"/>
              <w:right w:w="20" w:type="dxa"/>
            </w:tcMar>
            <w:vAlign w:val="bottom"/>
          </w:tcPr>
          <w:p w14:paraId="22CFBF1B" w14:textId="77777777" w:rsidR="002661BA" w:rsidRDefault="00D972BC">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F1C"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F1D"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F1E"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BF1F"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F20"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BF28" w14:textId="77777777">
        <w:tc>
          <w:tcPr>
            <w:tcW w:w="0" w:type="auto"/>
            <w:gridSpan w:val="3"/>
            <w:shd w:val="clear" w:color="auto" w:fill="E2E2E2"/>
            <w:tcMar>
              <w:top w:w="40" w:type="dxa"/>
              <w:left w:w="20" w:type="dxa"/>
              <w:bottom w:w="40" w:type="dxa"/>
              <w:right w:w="20" w:type="dxa"/>
            </w:tcMar>
            <w:vAlign w:val="bottom"/>
          </w:tcPr>
          <w:p w14:paraId="22CFBF22" w14:textId="77777777" w:rsidR="002661BA" w:rsidRDefault="00D972BC">
            <w:pPr>
              <w:textAlignment w:val="bottom"/>
            </w:pPr>
            <w:r>
              <w:rPr>
                <w:rFonts w:ascii="Arial" w:eastAsia="宋体" w:hAnsi="Arial" w:cs="Arial"/>
                <w:color w:val="000000"/>
                <w:sz w:val="18"/>
                <w:szCs w:val="18"/>
              </w:rPr>
              <w:t>Net revenues by type:</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BF23"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BF24"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BF25"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BF26"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BF27" w14:textId="77777777" w:rsidR="002661BA" w:rsidRDefault="002661BA">
            <w:pPr>
              <w:rPr>
                <w:rFonts w:ascii="宋体"/>
              </w:rPr>
            </w:pPr>
          </w:p>
        </w:tc>
      </w:tr>
      <w:tr w:rsidR="002661BA" w14:paraId="22CFBF2F" w14:textId="77777777">
        <w:trPr>
          <w:hidden/>
        </w:trPr>
        <w:tc>
          <w:tcPr>
            <w:tcW w:w="0" w:type="auto"/>
            <w:gridSpan w:val="3"/>
            <w:shd w:val="clear" w:color="auto" w:fill="auto"/>
            <w:vAlign w:val="bottom"/>
          </w:tcPr>
          <w:p w14:paraId="22CFBF29" w14:textId="77777777" w:rsidR="002661BA" w:rsidRDefault="002661BA">
            <w:pPr>
              <w:rPr>
                <w:rFonts w:ascii="宋体"/>
                <w:vanish/>
              </w:rPr>
            </w:pPr>
          </w:p>
        </w:tc>
        <w:tc>
          <w:tcPr>
            <w:tcW w:w="0" w:type="auto"/>
            <w:gridSpan w:val="3"/>
            <w:shd w:val="clear" w:color="auto" w:fill="auto"/>
            <w:vAlign w:val="bottom"/>
          </w:tcPr>
          <w:p w14:paraId="22CFBF2A" w14:textId="77777777" w:rsidR="002661BA" w:rsidRDefault="002661BA">
            <w:pPr>
              <w:rPr>
                <w:rFonts w:ascii="宋体"/>
                <w:vanish/>
              </w:rPr>
            </w:pPr>
          </w:p>
        </w:tc>
        <w:tc>
          <w:tcPr>
            <w:tcW w:w="0" w:type="auto"/>
            <w:gridSpan w:val="3"/>
            <w:shd w:val="clear" w:color="auto" w:fill="auto"/>
            <w:vAlign w:val="bottom"/>
          </w:tcPr>
          <w:p w14:paraId="22CFBF2B" w14:textId="77777777" w:rsidR="002661BA" w:rsidRDefault="002661BA">
            <w:pPr>
              <w:rPr>
                <w:rFonts w:ascii="宋体"/>
                <w:vanish/>
              </w:rPr>
            </w:pPr>
          </w:p>
        </w:tc>
        <w:tc>
          <w:tcPr>
            <w:tcW w:w="0" w:type="auto"/>
            <w:gridSpan w:val="3"/>
            <w:shd w:val="clear" w:color="auto" w:fill="auto"/>
            <w:vAlign w:val="bottom"/>
          </w:tcPr>
          <w:p w14:paraId="22CFBF2C" w14:textId="77777777" w:rsidR="002661BA" w:rsidRDefault="002661BA">
            <w:pPr>
              <w:rPr>
                <w:rFonts w:ascii="宋体"/>
                <w:vanish/>
              </w:rPr>
            </w:pPr>
          </w:p>
        </w:tc>
        <w:tc>
          <w:tcPr>
            <w:tcW w:w="0" w:type="auto"/>
            <w:gridSpan w:val="3"/>
            <w:shd w:val="clear" w:color="auto" w:fill="auto"/>
            <w:vAlign w:val="bottom"/>
          </w:tcPr>
          <w:p w14:paraId="22CFBF2D" w14:textId="77777777" w:rsidR="002661BA" w:rsidRDefault="002661BA">
            <w:pPr>
              <w:rPr>
                <w:rFonts w:ascii="宋体"/>
                <w:vanish/>
              </w:rPr>
            </w:pPr>
          </w:p>
        </w:tc>
        <w:tc>
          <w:tcPr>
            <w:tcW w:w="0" w:type="auto"/>
            <w:gridSpan w:val="3"/>
            <w:shd w:val="clear" w:color="auto" w:fill="auto"/>
            <w:vAlign w:val="bottom"/>
          </w:tcPr>
          <w:p w14:paraId="22CFBF2E" w14:textId="77777777" w:rsidR="002661BA" w:rsidRDefault="002661BA">
            <w:pPr>
              <w:rPr>
                <w:rFonts w:ascii="宋体"/>
                <w:vanish/>
              </w:rPr>
            </w:pPr>
          </w:p>
        </w:tc>
      </w:tr>
      <w:tr w:rsidR="002661BA" w14:paraId="22CFBF3C" w14:textId="77777777">
        <w:tc>
          <w:tcPr>
            <w:tcW w:w="0" w:type="auto"/>
            <w:gridSpan w:val="3"/>
            <w:shd w:val="clear" w:color="auto" w:fill="FFFFFF"/>
            <w:tcMar>
              <w:top w:w="40" w:type="dxa"/>
              <w:left w:w="155" w:type="dxa"/>
              <w:bottom w:w="40" w:type="dxa"/>
              <w:right w:w="20" w:type="dxa"/>
            </w:tcMar>
            <w:vAlign w:val="bottom"/>
          </w:tcPr>
          <w:p w14:paraId="22CFBF30" w14:textId="77777777" w:rsidR="002661BA" w:rsidRDefault="00D972BC">
            <w:pPr>
              <w:textAlignment w:val="bottom"/>
            </w:pPr>
            <w:r>
              <w:rPr>
                <w:rFonts w:ascii="Arial" w:eastAsia="宋体" w:hAnsi="Arial" w:cs="Arial"/>
                <w:color w:val="000000"/>
                <w:sz w:val="18"/>
                <w:szCs w:val="18"/>
              </w:rPr>
              <w:t>Net transaction revenues</w:t>
            </w:r>
          </w:p>
        </w:tc>
        <w:tc>
          <w:tcPr>
            <w:tcW w:w="0" w:type="auto"/>
            <w:shd w:val="clear" w:color="auto" w:fill="FFFFFF"/>
            <w:tcMar>
              <w:top w:w="40" w:type="dxa"/>
              <w:left w:w="20" w:type="dxa"/>
              <w:bottom w:w="40" w:type="dxa"/>
              <w:right w:w="0" w:type="dxa"/>
            </w:tcMar>
            <w:vAlign w:val="bottom"/>
          </w:tcPr>
          <w:p w14:paraId="22CFBF31"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F32" w14:textId="77777777" w:rsidR="002661BA" w:rsidRDefault="00D972BC">
            <w:pPr>
              <w:jc w:val="right"/>
              <w:textAlignment w:val="bottom"/>
            </w:pPr>
            <w:r>
              <w:rPr>
                <w:rFonts w:ascii="Arial" w:eastAsia="宋体" w:hAnsi="Arial" w:cs="Arial"/>
                <w:color w:val="000000"/>
                <w:sz w:val="18"/>
                <w:szCs w:val="18"/>
              </w:rPr>
              <w:t>9,772 </w:t>
            </w:r>
          </w:p>
        </w:tc>
        <w:tc>
          <w:tcPr>
            <w:tcW w:w="0" w:type="auto"/>
            <w:shd w:val="clear" w:color="auto" w:fill="FFFFFF"/>
            <w:tcMar>
              <w:top w:w="40" w:type="dxa"/>
              <w:left w:w="0" w:type="dxa"/>
              <w:bottom w:w="40" w:type="dxa"/>
              <w:right w:w="20" w:type="dxa"/>
            </w:tcMar>
            <w:vAlign w:val="bottom"/>
          </w:tcPr>
          <w:p w14:paraId="22CFBF3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F34"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BF35"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F36" w14:textId="77777777" w:rsidR="002661BA" w:rsidRDefault="00D972BC">
            <w:pPr>
              <w:jc w:val="right"/>
              <w:textAlignment w:val="bottom"/>
            </w:pPr>
            <w:r>
              <w:rPr>
                <w:rFonts w:ascii="Arial" w:eastAsia="宋体" w:hAnsi="Arial" w:cs="Arial"/>
                <w:color w:val="000000"/>
                <w:sz w:val="18"/>
                <w:szCs w:val="18"/>
              </w:rPr>
              <w:t>8,243 </w:t>
            </w:r>
          </w:p>
        </w:tc>
        <w:tc>
          <w:tcPr>
            <w:tcW w:w="0" w:type="auto"/>
            <w:shd w:val="clear" w:color="auto" w:fill="FFFFFF"/>
            <w:tcMar>
              <w:top w:w="40" w:type="dxa"/>
              <w:left w:w="0" w:type="dxa"/>
              <w:bottom w:w="40" w:type="dxa"/>
              <w:right w:w="20" w:type="dxa"/>
            </w:tcMar>
            <w:vAlign w:val="bottom"/>
          </w:tcPr>
          <w:p w14:paraId="22CFBF3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F38"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BF3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BF3A" w14:textId="77777777" w:rsidR="002661BA" w:rsidRDefault="00D972BC">
            <w:pPr>
              <w:jc w:val="right"/>
              <w:textAlignment w:val="bottom"/>
            </w:pPr>
            <w:r>
              <w:rPr>
                <w:rFonts w:ascii="Arial" w:eastAsia="宋体" w:hAnsi="Arial" w:cs="Arial"/>
                <w:color w:val="000000"/>
                <w:sz w:val="18"/>
                <w:szCs w:val="18"/>
              </w:rPr>
              <w:t>6,581 </w:t>
            </w:r>
          </w:p>
        </w:tc>
        <w:tc>
          <w:tcPr>
            <w:tcW w:w="0" w:type="auto"/>
            <w:shd w:val="clear" w:color="auto" w:fill="FFFFFF"/>
            <w:tcMar>
              <w:top w:w="40" w:type="dxa"/>
              <w:left w:w="0" w:type="dxa"/>
              <w:bottom w:w="40" w:type="dxa"/>
              <w:right w:w="20" w:type="dxa"/>
            </w:tcMar>
            <w:vAlign w:val="bottom"/>
          </w:tcPr>
          <w:p w14:paraId="22CFBF3B" w14:textId="77777777" w:rsidR="002661BA" w:rsidRDefault="002661BA">
            <w:pPr>
              <w:jc w:val="right"/>
              <w:rPr>
                <w:rFonts w:ascii="宋体"/>
              </w:rPr>
            </w:pPr>
          </w:p>
        </w:tc>
      </w:tr>
      <w:tr w:rsidR="002661BA" w14:paraId="22CFBF46" w14:textId="77777777">
        <w:tc>
          <w:tcPr>
            <w:tcW w:w="0" w:type="auto"/>
            <w:gridSpan w:val="3"/>
            <w:shd w:val="clear" w:color="auto" w:fill="E2E2E2"/>
            <w:tcMar>
              <w:top w:w="40" w:type="dxa"/>
              <w:left w:w="155" w:type="dxa"/>
              <w:bottom w:w="40" w:type="dxa"/>
              <w:right w:w="20" w:type="dxa"/>
            </w:tcMar>
            <w:vAlign w:val="bottom"/>
          </w:tcPr>
          <w:p w14:paraId="22CFBF3D" w14:textId="77777777" w:rsidR="002661BA" w:rsidRDefault="00D972BC">
            <w:pPr>
              <w:textAlignment w:val="bottom"/>
            </w:pPr>
            <w:r>
              <w:rPr>
                <w:rFonts w:ascii="Arial" w:eastAsia="宋体" w:hAnsi="Arial" w:cs="Arial"/>
                <w:color w:val="000000"/>
                <w:sz w:val="18"/>
                <w:szCs w:val="18"/>
              </w:rPr>
              <w:t>Marketing services and other revenues</w:t>
            </w:r>
          </w:p>
        </w:tc>
        <w:tc>
          <w:tcPr>
            <w:tcW w:w="0" w:type="auto"/>
            <w:gridSpan w:val="2"/>
            <w:shd w:val="clear" w:color="auto" w:fill="E2E2E2"/>
            <w:tcMar>
              <w:top w:w="40" w:type="dxa"/>
              <w:left w:w="20" w:type="dxa"/>
              <w:bottom w:w="40" w:type="dxa"/>
              <w:right w:w="0" w:type="dxa"/>
            </w:tcMar>
            <w:vAlign w:val="bottom"/>
          </w:tcPr>
          <w:p w14:paraId="22CFBF3E" w14:textId="77777777" w:rsidR="002661BA" w:rsidRDefault="00D972BC">
            <w:pPr>
              <w:jc w:val="right"/>
              <w:textAlignment w:val="bottom"/>
            </w:pPr>
            <w:r>
              <w:rPr>
                <w:rFonts w:ascii="Arial" w:eastAsia="宋体" w:hAnsi="Arial" w:cs="Arial"/>
                <w:color w:val="000000"/>
                <w:sz w:val="18"/>
                <w:szCs w:val="18"/>
              </w:rPr>
              <w:t>648 </w:t>
            </w:r>
          </w:p>
        </w:tc>
        <w:tc>
          <w:tcPr>
            <w:tcW w:w="0" w:type="auto"/>
            <w:shd w:val="clear" w:color="auto" w:fill="E2E2E2"/>
            <w:tcMar>
              <w:top w:w="40" w:type="dxa"/>
              <w:left w:w="0" w:type="dxa"/>
              <w:bottom w:w="40" w:type="dxa"/>
              <w:right w:w="20" w:type="dxa"/>
            </w:tcMar>
            <w:vAlign w:val="bottom"/>
          </w:tcPr>
          <w:p w14:paraId="22CFBF3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F40"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F41" w14:textId="77777777" w:rsidR="002661BA" w:rsidRDefault="00D972BC">
            <w:pPr>
              <w:jc w:val="right"/>
              <w:textAlignment w:val="bottom"/>
            </w:pPr>
            <w:r>
              <w:rPr>
                <w:rFonts w:ascii="Arial" w:eastAsia="宋体" w:hAnsi="Arial" w:cs="Arial"/>
                <w:color w:val="000000"/>
                <w:sz w:val="18"/>
                <w:szCs w:val="18"/>
              </w:rPr>
              <w:t>651 </w:t>
            </w:r>
          </w:p>
        </w:tc>
        <w:tc>
          <w:tcPr>
            <w:tcW w:w="0" w:type="auto"/>
            <w:shd w:val="clear" w:color="auto" w:fill="E2E2E2"/>
            <w:tcMar>
              <w:top w:w="40" w:type="dxa"/>
              <w:left w:w="0" w:type="dxa"/>
              <w:bottom w:w="40" w:type="dxa"/>
              <w:right w:w="20" w:type="dxa"/>
            </w:tcMar>
            <w:vAlign w:val="bottom"/>
          </w:tcPr>
          <w:p w14:paraId="22CFBF4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BF43"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BF44" w14:textId="77777777" w:rsidR="002661BA" w:rsidRDefault="00D972BC">
            <w:pPr>
              <w:jc w:val="right"/>
              <w:textAlignment w:val="bottom"/>
            </w:pPr>
            <w:r>
              <w:rPr>
                <w:rFonts w:ascii="Arial" w:eastAsia="宋体" w:hAnsi="Arial" w:cs="Arial"/>
                <w:color w:val="000000"/>
                <w:sz w:val="18"/>
                <w:szCs w:val="18"/>
              </w:rPr>
              <w:t>848 </w:t>
            </w:r>
          </w:p>
        </w:tc>
        <w:tc>
          <w:tcPr>
            <w:tcW w:w="0" w:type="auto"/>
            <w:shd w:val="clear" w:color="auto" w:fill="E2E2E2"/>
            <w:tcMar>
              <w:top w:w="40" w:type="dxa"/>
              <w:left w:w="0" w:type="dxa"/>
              <w:bottom w:w="40" w:type="dxa"/>
              <w:right w:w="20" w:type="dxa"/>
            </w:tcMar>
            <w:vAlign w:val="bottom"/>
          </w:tcPr>
          <w:p w14:paraId="22CFBF45" w14:textId="77777777" w:rsidR="002661BA" w:rsidRDefault="002661BA">
            <w:pPr>
              <w:jc w:val="right"/>
              <w:rPr>
                <w:rFonts w:ascii="宋体"/>
              </w:rPr>
            </w:pPr>
          </w:p>
        </w:tc>
      </w:tr>
      <w:tr w:rsidR="002661BA" w14:paraId="22CFBF53" w14:textId="77777777">
        <w:tc>
          <w:tcPr>
            <w:tcW w:w="0" w:type="auto"/>
            <w:gridSpan w:val="3"/>
            <w:shd w:val="clear" w:color="auto" w:fill="FFFFFF"/>
            <w:tcMar>
              <w:top w:w="40" w:type="dxa"/>
              <w:left w:w="605" w:type="dxa"/>
              <w:bottom w:w="40" w:type="dxa"/>
              <w:right w:w="20" w:type="dxa"/>
            </w:tcMar>
            <w:vAlign w:val="bottom"/>
          </w:tcPr>
          <w:p w14:paraId="22CFBF47" w14:textId="77777777" w:rsidR="002661BA" w:rsidRDefault="00D972BC">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BF4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BF49" w14:textId="77777777" w:rsidR="002661BA" w:rsidRDefault="00D972BC">
            <w:pPr>
              <w:jc w:val="right"/>
              <w:textAlignment w:val="bottom"/>
            </w:pPr>
            <w:r>
              <w:rPr>
                <w:rFonts w:ascii="Arial" w:eastAsia="宋体" w:hAnsi="Arial" w:cs="Arial"/>
                <w:color w:val="000000"/>
                <w:sz w:val="18"/>
                <w:szCs w:val="18"/>
              </w:rPr>
              <w:t>10,420 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BF4A"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F4B"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BF4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BF4D" w14:textId="77777777" w:rsidR="002661BA" w:rsidRDefault="00D972BC">
            <w:pPr>
              <w:jc w:val="right"/>
              <w:textAlignment w:val="bottom"/>
            </w:pPr>
            <w:r>
              <w:rPr>
                <w:rFonts w:ascii="Arial" w:eastAsia="宋体" w:hAnsi="Arial" w:cs="Arial"/>
                <w:color w:val="000000"/>
                <w:sz w:val="18"/>
                <w:szCs w:val="18"/>
              </w:rPr>
              <w:t>8,894 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BF4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BF4F"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BF5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BF51" w14:textId="77777777" w:rsidR="002661BA" w:rsidRDefault="00D972BC">
            <w:pPr>
              <w:jc w:val="right"/>
              <w:textAlignment w:val="bottom"/>
            </w:pPr>
            <w:r>
              <w:rPr>
                <w:rFonts w:ascii="Arial" w:eastAsia="宋体" w:hAnsi="Arial" w:cs="Arial"/>
                <w:color w:val="000000"/>
                <w:sz w:val="18"/>
                <w:szCs w:val="18"/>
              </w:rPr>
              <w:t>7,429 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BF52" w14:textId="77777777" w:rsidR="002661BA" w:rsidRDefault="002661BA">
            <w:pPr>
              <w:jc w:val="right"/>
              <w:rPr>
                <w:rFonts w:ascii="宋体"/>
              </w:rPr>
            </w:pPr>
          </w:p>
        </w:tc>
      </w:tr>
      <w:tr w:rsidR="002661BA" w14:paraId="22CFBF5A" w14:textId="77777777">
        <w:trPr>
          <w:hidden/>
        </w:trPr>
        <w:tc>
          <w:tcPr>
            <w:tcW w:w="0" w:type="auto"/>
            <w:gridSpan w:val="3"/>
            <w:shd w:val="clear" w:color="auto" w:fill="auto"/>
            <w:vAlign w:val="bottom"/>
          </w:tcPr>
          <w:p w14:paraId="22CFBF54" w14:textId="77777777" w:rsidR="002661BA" w:rsidRDefault="002661BA">
            <w:pPr>
              <w:rPr>
                <w:rFonts w:ascii="宋体"/>
                <w:vanish/>
              </w:rPr>
            </w:pPr>
          </w:p>
        </w:tc>
        <w:tc>
          <w:tcPr>
            <w:tcW w:w="0" w:type="auto"/>
            <w:gridSpan w:val="3"/>
            <w:shd w:val="clear" w:color="auto" w:fill="auto"/>
            <w:vAlign w:val="bottom"/>
          </w:tcPr>
          <w:p w14:paraId="22CFBF55" w14:textId="77777777" w:rsidR="002661BA" w:rsidRDefault="002661BA">
            <w:pPr>
              <w:rPr>
                <w:rFonts w:ascii="宋体"/>
                <w:vanish/>
              </w:rPr>
            </w:pPr>
          </w:p>
        </w:tc>
        <w:tc>
          <w:tcPr>
            <w:tcW w:w="0" w:type="auto"/>
            <w:gridSpan w:val="3"/>
            <w:shd w:val="clear" w:color="auto" w:fill="auto"/>
            <w:vAlign w:val="bottom"/>
          </w:tcPr>
          <w:p w14:paraId="22CFBF56" w14:textId="77777777" w:rsidR="002661BA" w:rsidRDefault="002661BA">
            <w:pPr>
              <w:rPr>
                <w:rFonts w:ascii="宋体"/>
                <w:vanish/>
              </w:rPr>
            </w:pPr>
          </w:p>
        </w:tc>
        <w:tc>
          <w:tcPr>
            <w:tcW w:w="0" w:type="auto"/>
            <w:gridSpan w:val="3"/>
            <w:shd w:val="clear" w:color="auto" w:fill="auto"/>
            <w:vAlign w:val="bottom"/>
          </w:tcPr>
          <w:p w14:paraId="22CFBF57" w14:textId="77777777" w:rsidR="002661BA" w:rsidRDefault="002661BA">
            <w:pPr>
              <w:rPr>
                <w:rFonts w:ascii="宋体"/>
                <w:vanish/>
              </w:rPr>
            </w:pPr>
          </w:p>
        </w:tc>
        <w:tc>
          <w:tcPr>
            <w:tcW w:w="0" w:type="auto"/>
            <w:gridSpan w:val="3"/>
            <w:shd w:val="clear" w:color="auto" w:fill="auto"/>
            <w:vAlign w:val="bottom"/>
          </w:tcPr>
          <w:p w14:paraId="22CFBF58" w14:textId="77777777" w:rsidR="002661BA" w:rsidRDefault="002661BA">
            <w:pPr>
              <w:rPr>
                <w:rFonts w:ascii="宋体"/>
                <w:vanish/>
              </w:rPr>
            </w:pPr>
          </w:p>
        </w:tc>
        <w:tc>
          <w:tcPr>
            <w:tcW w:w="0" w:type="auto"/>
            <w:gridSpan w:val="3"/>
            <w:shd w:val="clear" w:color="auto" w:fill="auto"/>
            <w:vAlign w:val="bottom"/>
          </w:tcPr>
          <w:p w14:paraId="22CFBF59" w14:textId="77777777" w:rsidR="002661BA" w:rsidRDefault="002661BA">
            <w:pPr>
              <w:rPr>
                <w:rFonts w:ascii="宋体"/>
                <w:vanish/>
              </w:rPr>
            </w:pPr>
          </w:p>
        </w:tc>
      </w:tr>
      <w:tr w:rsidR="002661BA" w14:paraId="22CFBF61" w14:textId="77777777">
        <w:trPr>
          <w:hidden/>
        </w:trPr>
        <w:tc>
          <w:tcPr>
            <w:tcW w:w="0" w:type="auto"/>
            <w:gridSpan w:val="3"/>
            <w:shd w:val="clear" w:color="auto" w:fill="auto"/>
            <w:vAlign w:val="bottom"/>
          </w:tcPr>
          <w:p w14:paraId="22CFBF5B" w14:textId="77777777" w:rsidR="002661BA" w:rsidRDefault="002661BA">
            <w:pPr>
              <w:rPr>
                <w:rFonts w:ascii="宋体"/>
                <w:vanish/>
              </w:rPr>
            </w:pPr>
          </w:p>
        </w:tc>
        <w:tc>
          <w:tcPr>
            <w:tcW w:w="0" w:type="auto"/>
            <w:gridSpan w:val="3"/>
            <w:shd w:val="clear" w:color="auto" w:fill="auto"/>
            <w:vAlign w:val="bottom"/>
          </w:tcPr>
          <w:p w14:paraId="22CFBF5C" w14:textId="77777777" w:rsidR="002661BA" w:rsidRDefault="002661BA">
            <w:pPr>
              <w:rPr>
                <w:rFonts w:ascii="宋体"/>
                <w:vanish/>
              </w:rPr>
            </w:pPr>
          </w:p>
        </w:tc>
        <w:tc>
          <w:tcPr>
            <w:tcW w:w="0" w:type="auto"/>
            <w:gridSpan w:val="3"/>
            <w:shd w:val="clear" w:color="auto" w:fill="auto"/>
            <w:vAlign w:val="bottom"/>
          </w:tcPr>
          <w:p w14:paraId="22CFBF5D" w14:textId="77777777" w:rsidR="002661BA" w:rsidRDefault="002661BA">
            <w:pPr>
              <w:rPr>
                <w:rFonts w:ascii="宋体"/>
                <w:vanish/>
              </w:rPr>
            </w:pPr>
          </w:p>
        </w:tc>
        <w:tc>
          <w:tcPr>
            <w:tcW w:w="0" w:type="auto"/>
            <w:gridSpan w:val="3"/>
            <w:shd w:val="clear" w:color="auto" w:fill="auto"/>
            <w:vAlign w:val="bottom"/>
          </w:tcPr>
          <w:p w14:paraId="22CFBF5E" w14:textId="77777777" w:rsidR="002661BA" w:rsidRDefault="002661BA">
            <w:pPr>
              <w:rPr>
                <w:rFonts w:ascii="宋体"/>
                <w:vanish/>
              </w:rPr>
            </w:pPr>
          </w:p>
        </w:tc>
        <w:tc>
          <w:tcPr>
            <w:tcW w:w="0" w:type="auto"/>
            <w:gridSpan w:val="3"/>
            <w:shd w:val="clear" w:color="auto" w:fill="auto"/>
            <w:vAlign w:val="bottom"/>
          </w:tcPr>
          <w:p w14:paraId="22CFBF5F" w14:textId="77777777" w:rsidR="002661BA" w:rsidRDefault="002661BA">
            <w:pPr>
              <w:rPr>
                <w:rFonts w:ascii="宋体"/>
                <w:vanish/>
              </w:rPr>
            </w:pPr>
          </w:p>
        </w:tc>
        <w:tc>
          <w:tcPr>
            <w:tcW w:w="0" w:type="auto"/>
            <w:gridSpan w:val="3"/>
            <w:shd w:val="clear" w:color="auto" w:fill="auto"/>
            <w:vAlign w:val="bottom"/>
          </w:tcPr>
          <w:p w14:paraId="22CFBF60" w14:textId="77777777" w:rsidR="002661BA" w:rsidRDefault="002661BA">
            <w:pPr>
              <w:rPr>
                <w:rFonts w:ascii="宋体"/>
                <w:vanish/>
              </w:rPr>
            </w:pPr>
          </w:p>
        </w:tc>
      </w:tr>
      <w:tr w:rsidR="002661BA" w14:paraId="22CFBF68" w14:textId="77777777">
        <w:trPr>
          <w:hidden/>
        </w:trPr>
        <w:tc>
          <w:tcPr>
            <w:tcW w:w="0" w:type="auto"/>
            <w:gridSpan w:val="3"/>
            <w:shd w:val="clear" w:color="auto" w:fill="auto"/>
            <w:vAlign w:val="bottom"/>
          </w:tcPr>
          <w:p w14:paraId="22CFBF62" w14:textId="77777777" w:rsidR="002661BA" w:rsidRDefault="002661BA">
            <w:pPr>
              <w:rPr>
                <w:rFonts w:ascii="宋体"/>
                <w:vanish/>
              </w:rPr>
            </w:pPr>
          </w:p>
        </w:tc>
        <w:tc>
          <w:tcPr>
            <w:tcW w:w="0" w:type="auto"/>
            <w:gridSpan w:val="3"/>
            <w:shd w:val="clear" w:color="auto" w:fill="auto"/>
            <w:vAlign w:val="bottom"/>
          </w:tcPr>
          <w:p w14:paraId="22CFBF63" w14:textId="77777777" w:rsidR="002661BA" w:rsidRDefault="002661BA">
            <w:pPr>
              <w:rPr>
                <w:rFonts w:ascii="宋体"/>
                <w:vanish/>
              </w:rPr>
            </w:pPr>
          </w:p>
        </w:tc>
        <w:tc>
          <w:tcPr>
            <w:tcW w:w="0" w:type="auto"/>
            <w:gridSpan w:val="3"/>
            <w:shd w:val="clear" w:color="auto" w:fill="auto"/>
            <w:vAlign w:val="bottom"/>
          </w:tcPr>
          <w:p w14:paraId="22CFBF64" w14:textId="77777777" w:rsidR="002661BA" w:rsidRDefault="002661BA">
            <w:pPr>
              <w:rPr>
                <w:rFonts w:ascii="宋体"/>
                <w:vanish/>
              </w:rPr>
            </w:pPr>
          </w:p>
        </w:tc>
        <w:tc>
          <w:tcPr>
            <w:tcW w:w="0" w:type="auto"/>
            <w:gridSpan w:val="3"/>
            <w:shd w:val="clear" w:color="auto" w:fill="auto"/>
            <w:vAlign w:val="bottom"/>
          </w:tcPr>
          <w:p w14:paraId="22CFBF65" w14:textId="77777777" w:rsidR="002661BA" w:rsidRDefault="002661BA">
            <w:pPr>
              <w:rPr>
                <w:rFonts w:ascii="宋体"/>
                <w:vanish/>
              </w:rPr>
            </w:pPr>
          </w:p>
        </w:tc>
        <w:tc>
          <w:tcPr>
            <w:tcW w:w="0" w:type="auto"/>
            <w:gridSpan w:val="3"/>
            <w:shd w:val="clear" w:color="auto" w:fill="auto"/>
            <w:vAlign w:val="bottom"/>
          </w:tcPr>
          <w:p w14:paraId="22CFBF66" w14:textId="77777777" w:rsidR="002661BA" w:rsidRDefault="002661BA">
            <w:pPr>
              <w:rPr>
                <w:rFonts w:ascii="宋体"/>
                <w:vanish/>
              </w:rPr>
            </w:pPr>
          </w:p>
        </w:tc>
        <w:tc>
          <w:tcPr>
            <w:tcW w:w="0" w:type="auto"/>
            <w:gridSpan w:val="3"/>
            <w:shd w:val="clear" w:color="auto" w:fill="auto"/>
            <w:vAlign w:val="bottom"/>
          </w:tcPr>
          <w:p w14:paraId="22CFBF67" w14:textId="77777777" w:rsidR="002661BA" w:rsidRDefault="002661BA">
            <w:pPr>
              <w:rPr>
                <w:rFonts w:ascii="宋体"/>
                <w:vanish/>
              </w:rPr>
            </w:pPr>
          </w:p>
        </w:tc>
      </w:tr>
      <w:tr w:rsidR="002661BA" w14:paraId="22CFBF6F" w14:textId="77777777">
        <w:trPr>
          <w:hidden/>
        </w:trPr>
        <w:tc>
          <w:tcPr>
            <w:tcW w:w="0" w:type="auto"/>
            <w:gridSpan w:val="3"/>
            <w:shd w:val="clear" w:color="auto" w:fill="auto"/>
            <w:vAlign w:val="bottom"/>
          </w:tcPr>
          <w:p w14:paraId="22CFBF69" w14:textId="77777777" w:rsidR="002661BA" w:rsidRDefault="002661BA">
            <w:pPr>
              <w:rPr>
                <w:rFonts w:ascii="宋体"/>
                <w:vanish/>
              </w:rPr>
            </w:pPr>
          </w:p>
        </w:tc>
        <w:tc>
          <w:tcPr>
            <w:tcW w:w="0" w:type="auto"/>
            <w:gridSpan w:val="3"/>
            <w:shd w:val="clear" w:color="auto" w:fill="auto"/>
            <w:vAlign w:val="bottom"/>
          </w:tcPr>
          <w:p w14:paraId="22CFBF6A" w14:textId="77777777" w:rsidR="002661BA" w:rsidRDefault="002661BA">
            <w:pPr>
              <w:rPr>
                <w:rFonts w:ascii="宋体"/>
                <w:vanish/>
              </w:rPr>
            </w:pPr>
          </w:p>
        </w:tc>
        <w:tc>
          <w:tcPr>
            <w:tcW w:w="0" w:type="auto"/>
            <w:gridSpan w:val="3"/>
            <w:shd w:val="clear" w:color="auto" w:fill="auto"/>
            <w:vAlign w:val="bottom"/>
          </w:tcPr>
          <w:p w14:paraId="22CFBF6B" w14:textId="77777777" w:rsidR="002661BA" w:rsidRDefault="002661BA">
            <w:pPr>
              <w:rPr>
                <w:rFonts w:ascii="宋体"/>
                <w:vanish/>
              </w:rPr>
            </w:pPr>
          </w:p>
        </w:tc>
        <w:tc>
          <w:tcPr>
            <w:tcW w:w="0" w:type="auto"/>
            <w:gridSpan w:val="3"/>
            <w:shd w:val="clear" w:color="auto" w:fill="auto"/>
            <w:vAlign w:val="bottom"/>
          </w:tcPr>
          <w:p w14:paraId="22CFBF6C" w14:textId="77777777" w:rsidR="002661BA" w:rsidRDefault="002661BA">
            <w:pPr>
              <w:rPr>
                <w:rFonts w:ascii="宋体"/>
                <w:vanish/>
              </w:rPr>
            </w:pPr>
          </w:p>
        </w:tc>
        <w:tc>
          <w:tcPr>
            <w:tcW w:w="0" w:type="auto"/>
            <w:gridSpan w:val="3"/>
            <w:shd w:val="clear" w:color="auto" w:fill="auto"/>
            <w:vAlign w:val="bottom"/>
          </w:tcPr>
          <w:p w14:paraId="22CFBF6D" w14:textId="77777777" w:rsidR="002661BA" w:rsidRDefault="002661BA">
            <w:pPr>
              <w:rPr>
                <w:rFonts w:ascii="宋体"/>
                <w:vanish/>
              </w:rPr>
            </w:pPr>
          </w:p>
        </w:tc>
        <w:tc>
          <w:tcPr>
            <w:tcW w:w="0" w:type="auto"/>
            <w:gridSpan w:val="3"/>
            <w:shd w:val="clear" w:color="auto" w:fill="auto"/>
            <w:vAlign w:val="bottom"/>
          </w:tcPr>
          <w:p w14:paraId="22CFBF6E" w14:textId="77777777" w:rsidR="002661BA" w:rsidRDefault="002661BA">
            <w:pPr>
              <w:rPr>
                <w:rFonts w:ascii="宋体"/>
                <w:vanish/>
              </w:rPr>
            </w:pPr>
          </w:p>
        </w:tc>
      </w:tr>
      <w:tr w:rsidR="002661BA" w14:paraId="22CFBF76" w14:textId="77777777">
        <w:trPr>
          <w:hidden/>
        </w:trPr>
        <w:tc>
          <w:tcPr>
            <w:tcW w:w="0" w:type="auto"/>
            <w:gridSpan w:val="3"/>
            <w:shd w:val="clear" w:color="auto" w:fill="auto"/>
            <w:vAlign w:val="bottom"/>
          </w:tcPr>
          <w:p w14:paraId="22CFBF70" w14:textId="77777777" w:rsidR="002661BA" w:rsidRDefault="002661BA">
            <w:pPr>
              <w:rPr>
                <w:rFonts w:ascii="宋体"/>
                <w:vanish/>
              </w:rPr>
            </w:pPr>
          </w:p>
        </w:tc>
        <w:tc>
          <w:tcPr>
            <w:tcW w:w="0" w:type="auto"/>
            <w:gridSpan w:val="3"/>
            <w:shd w:val="clear" w:color="auto" w:fill="auto"/>
            <w:vAlign w:val="bottom"/>
          </w:tcPr>
          <w:p w14:paraId="22CFBF71" w14:textId="77777777" w:rsidR="002661BA" w:rsidRDefault="002661BA">
            <w:pPr>
              <w:rPr>
                <w:rFonts w:ascii="宋体"/>
                <w:vanish/>
              </w:rPr>
            </w:pPr>
          </w:p>
        </w:tc>
        <w:tc>
          <w:tcPr>
            <w:tcW w:w="0" w:type="auto"/>
            <w:gridSpan w:val="3"/>
            <w:shd w:val="clear" w:color="auto" w:fill="auto"/>
            <w:vAlign w:val="bottom"/>
          </w:tcPr>
          <w:p w14:paraId="22CFBF72" w14:textId="77777777" w:rsidR="002661BA" w:rsidRDefault="002661BA">
            <w:pPr>
              <w:rPr>
                <w:rFonts w:ascii="宋体"/>
                <w:vanish/>
              </w:rPr>
            </w:pPr>
          </w:p>
        </w:tc>
        <w:tc>
          <w:tcPr>
            <w:tcW w:w="0" w:type="auto"/>
            <w:gridSpan w:val="3"/>
            <w:shd w:val="clear" w:color="auto" w:fill="auto"/>
            <w:vAlign w:val="bottom"/>
          </w:tcPr>
          <w:p w14:paraId="22CFBF73" w14:textId="77777777" w:rsidR="002661BA" w:rsidRDefault="002661BA">
            <w:pPr>
              <w:rPr>
                <w:rFonts w:ascii="宋体"/>
                <w:vanish/>
              </w:rPr>
            </w:pPr>
          </w:p>
        </w:tc>
        <w:tc>
          <w:tcPr>
            <w:tcW w:w="0" w:type="auto"/>
            <w:gridSpan w:val="3"/>
            <w:shd w:val="clear" w:color="auto" w:fill="auto"/>
            <w:vAlign w:val="bottom"/>
          </w:tcPr>
          <w:p w14:paraId="22CFBF74" w14:textId="77777777" w:rsidR="002661BA" w:rsidRDefault="002661BA">
            <w:pPr>
              <w:rPr>
                <w:rFonts w:ascii="宋体"/>
                <w:vanish/>
              </w:rPr>
            </w:pPr>
          </w:p>
        </w:tc>
        <w:tc>
          <w:tcPr>
            <w:tcW w:w="0" w:type="auto"/>
            <w:gridSpan w:val="3"/>
            <w:shd w:val="clear" w:color="auto" w:fill="auto"/>
            <w:vAlign w:val="bottom"/>
          </w:tcPr>
          <w:p w14:paraId="22CFBF75" w14:textId="77777777" w:rsidR="002661BA" w:rsidRDefault="002661BA">
            <w:pPr>
              <w:rPr>
                <w:rFonts w:ascii="宋体"/>
                <w:vanish/>
              </w:rPr>
            </w:pPr>
          </w:p>
        </w:tc>
      </w:tr>
      <w:tr w:rsidR="002661BA" w14:paraId="22CFBF7D" w14:textId="77777777">
        <w:trPr>
          <w:hidden/>
        </w:trPr>
        <w:tc>
          <w:tcPr>
            <w:tcW w:w="0" w:type="auto"/>
            <w:gridSpan w:val="3"/>
            <w:shd w:val="clear" w:color="auto" w:fill="auto"/>
            <w:vAlign w:val="bottom"/>
          </w:tcPr>
          <w:p w14:paraId="22CFBF77" w14:textId="77777777" w:rsidR="002661BA" w:rsidRDefault="002661BA">
            <w:pPr>
              <w:rPr>
                <w:rFonts w:ascii="宋体"/>
                <w:vanish/>
              </w:rPr>
            </w:pPr>
          </w:p>
        </w:tc>
        <w:tc>
          <w:tcPr>
            <w:tcW w:w="0" w:type="auto"/>
            <w:gridSpan w:val="3"/>
            <w:shd w:val="clear" w:color="auto" w:fill="auto"/>
            <w:vAlign w:val="bottom"/>
          </w:tcPr>
          <w:p w14:paraId="22CFBF78" w14:textId="77777777" w:rsidR="002661BA" w:rsidRDefault="002661BA">
            <w:pPr>
              <w:rPr>
                <w:rFonts w:ascii="宋体"/>
                <w:vanish/>
              </w:rPr>
            </w:pPr>
          </w:p>
        </w:tc>
        <w:tc>
          <w:tcPr>
            <w:tcW w:w="0" w:type="auto"/>
            <w:gridSpan w:val="3"/>
            <w:shd w:val="clear" w:color="auto" w:fill="auto"/>
            <w:vAlign w:val="bottom"/>
          </w:tcPr>
          <w:p w14:paraId="22CFBF79" w14:textId="77777777" w:rsidR="002661BA" w:rsidRDefault="002661BA">
            <w:pPr>
              <w:rPr>
                <w:rFonts w:ascii="宋体"/>
                <w:vanish/>
              </w:rPr>
            </w:pPr>
          </w:p>
        </w:tc>
        <w:tc>
          <w:tcPr>
            <w:tcW w:w="0" w:type="auto"/>
            <w:gridSpan w:val="3"/>
            <w:shd w:val="clear" w:color="auto" w:fill="auto"/>
            <w:vAlign w:val="bottom"/>
          </w:tcPr>
          <w:p w14:paraId="22CFBF7A" w14:textId="77777777" w:rsidR="002661BA" w:rsidRDefault="002661BA">
            <w:pPr>
              <w:rPr>
                <w:rFonts w:ascii="宋体"/>
                <w:vanish/>
              </w:rPr>
            </w:pPr>
          </w:p>
        </w:tc>
        <w:tc>
          <w:tcPr>
            <w:tcW w:w="0" w:type="auto"/>
            <w:gridSpan w:val="3"/>
            <w:shd w:val="clear" w:color="auto" w:fill="auto"/>
            <w:vAlign w:val="bottom"/>
          </w:tcPr>
          <w:p w14:paraId="22CFBF7B" w14:textId="77777777" w:rsidR="002661BA" w:rsidRDefault="002661BA">
            <w:pPr>
              <w:rPr>
                <w:rFonts w:ascii="宋体"/>
                <w:vanish/>
              </w:rPr>
            </w:pPr>
          </w:p>
        </w:tc>
        <w:tc>
          <w:tcPr>
            <w:tcW w:w="0" w:type="auto"/>
            <w:gridSpan w:val="3"/>
            <w:shd w:val="clear" w:color="auto" w:fill="auto"/>
            <w:vAlign w:val="bottom"/>
          </w:tcPr>
          <w:p w14:paraId="22CFBF7C" w14:textId="77777777" w:rsidR="002661BA" w:rsidRDefault="002661BA">
            <w:pPr>
              <w:rPr>
                <w:rFonts w:ascii="宋体"/>
                <w:vanish/>
              </w:rPr>
            </w:pPr>
          </w:p>
        </w:tc>
      </w:tr>
      <w:tr w:rsidR="002661BA" w14:paraId="22CFBF84" w14:textId="77777777">
        <w:trPr>
          <w:hidden/>
        </w:trPr>
        <w:tc>
          <w:tcPr>
            <w:tcW w:w="0" w:type="auto"/>
            <w:gridSpan w:val="3"/>
            <w:shd w:val="clear" w:color="auto" w:fill="auto"/>
            <w:vAlign w:val="bottom"/>
          </w:tcPr>
          <w:p w14:paraId="22CFBF7E" w14:textId="77777777" w:rsidR="002661BA" w:rsidRDefault="002661BA">
            <w:pPr>
              <w:rPr>
                <w:rFonts w:ascii="宋体"/>
                <w:vanish/>
              </w:rPr>
            </w:pPr>
          </w:p>
        </w:tc>
        <w:tc>
          <w:tcPr>
            <w:tcW w:w="0" w:type="auto"/>
            <w:gridSpan w:val="3"/>
            <w:shd w:val="clear" w:color="auto" w:fill="auto"/>
            <w:vAlign w:val="bottom"/>
          </w:tcPr>
          <w:p w14:paraId="22CFBF7F" w14:textId="77777777" w:rsidR="002661BA" w:rsidRDefault="002661BA">
            <w:pPr>
              <w:rPr>
                <w:rFonts w:ascii="宋体"/>
                <w:vanish/>
              </w:rPr>
            </w:pPr>
          </w:p>
        </w:tc>
        <w:tc>
          <w:tcPr>
            <w:tcW w:w="0" w:type="auto"/>
            <w:gridSpan w:val="3"/>
            <w:shd w:val="clear" w:color="auto" w:fill="auto"/>
            <w:vAlign w:val="bottom"/>
          </w:tcPr>
          <w:p w14:paraId="22CFBF80" w14:textId="77777777" w:rsidR="002661BA" w:rsidRDefault="002661BA">
            <w:pPr>
              <w:rPr>
                <w:rFonts w:ascii="宋体"/>
                <w:vanish/>
              </w:rPr>
            </w:pPr>
          </w:p>
        </w:tc>
        <w:tc>
          <w:tcPr>
            <w:tcW w:w="0" w:type="auto"/>
            <w:gridSpan w:val="3"/>
            <w:shd w:val="clear" w:color="auto" w:fill="auto"/>
            <w:vAlign w:val="bottom"/>
          </w:tcPr>
          <w:p w14:paraId="22CFBF81" w14:textId="77777777" w:rsidR="002661BA" w:rsidRDefault="002661BA">
            <w:pPr>
              <w:rPr>
                <w:rFonts w:ascii="宋体"/>
                <w:vanish/>
              </w:rPr>
            </w:pPr>
          </w:p>
        </w:tc>
        <w:tc>
          <w:tcPr>
            <w:tcW w:w="0" w:type="auto"/>
            <w:gridSpan w:val="3"/>
            <w:shd w:val="clear" w:color="auto" w:fill="auto"/>
            <w:vAlign w:val="bottom"/>
          </w:tcPr>
          <w:p w14:paraId="22CFBF82" w14:textId="77777777" w:rsidR="002661BA" w:rsidRDefault="002661BA">
            <w:pPr>
              <w:rPr>
                <w:rFonts w:ascii="宋体"/>
                <w:vanish/>
              </w:rPr>
            </w:pPr>
          </w:p>
        </w:tc>
        <w:tc>
          <w:tcPr>
            <w:tcW w:w="0" w:type="auto"/>
            <w:gridSpan w:val="3"/>
            <w:shd w:val="clear" w:color="auto" w:fill="auto"/>
            <w:vAlign w:val="bottom"/>
          </w:tcPr>
          <w:p w14:paraId="22CFBF83" w14:textId="77777777" w:rsidR="002661BA" w:rsidRDefault="002661BA">
            <w:pPr>
              <w:rPr>
                <w:rFonts w:ascii="宋体"/>
                <w:vanish/>
              </w:rPr>
            </w:pPr>
          </w:p>
        </w:tc>
      </w:tr>
      <w:tr w:rsidR="002661BA" w14:paraId="22CFBF8B" w14:textId="77777777">
        <w:trPr>
          <w:hidden/>
        </w:trPr>
        <w:tc>
          <w:tcPr>
            <w:tcW w:w="0" w:type="auto"/>
            <w:gridSpan w:val="3"/>
            <w:shd w:val="clear" w:color="auto" w:fill="auto"/>
            <w:vAlign w:val="bottom"/>
          </w:tcPr>
          <w:p w14:paraId="22CFBF85" w14:textId="77777777" w:rsidR="002661BA" w:rsidRDefault="002661BA">
            <w:pPr>
              <w:rPr>
                <w:rFonts w:ascii="宋体"/>
                <w:vanish/>
              </w:rPr>
            </w:pPr>
          </w:p>
        </w:tc>
        <w:tc>
          <w:tcPr>
            <w:tcW w:w="0" w:type="auto"/>
            <w:gridSpan w:val="3"/>
            <w:shd w:val="clear" w:color="auto" w:fill="auto"/>
            <w:vAlign w:val="bottom"/>
          </w:tcPr>
          <w:p w14:paraId="22CFBF86" w14:textId="77777777" w:rsidR="002661BA" w:rsidRDefault="002661BA">
            <w:pPr>
              <w:rPr>
                <w:rFonts w:ascii="宋体"/>
                <w:vanish/>
              </w:rPr>
            </w:pPr>
          </w:p>
        </w:tc>
        <w:tc>
          <w:tcPr>
            <w:tcW w:w="0" w:type="auto"/>
            <w:gridSpan w:val="3"/>
            <w:shd w:val="clear" w:color="auto" w:fill="auto"/>
            <w:vAlign w:val="bottom"/>
          </w:tcPr>
          <w:p w14:paraId="22CFBF87" w14:textId="77777777" w:rsidR="002661BA" w:rsidRDefault="002661BA">
            <w:pPr>
              <w:rPr>
                <w:rFonts w:ascii="宋体"/>
                <w:vanish/>
              </w:rPr>
            </w:pPr>
          </w:p>
        </w:tc>
        <w:tc>
          <w:tcPr>
            <w:tcW w:w="0" w:type="auto"/>
            <w:gridSpan w:val="3"/>
            <w:shd w:val="clear" w:color="auto" w:fill="auto"/>
            <w:vAlign w:val="bottom"/>
          </w:tcPr>
          <w:p w14:paraId="22CFBF88" w14:textId="77777777" w:rsidR="002661BA" w:rsidRDefault="002661BA">
            <w:pPr>
              <w:rPr>
                <w:rFonts w:ascii="宋体"/>
                <w:vanish/>
              </w:rPr>
            </w:pPr>
          </w:p>
        </w:tc>
        <w:tc>
          <w:tcPr>
            <w:tcW w:w="0" w:type="auto"/>
            <w:gridSpan w:val="3"/>
            <w:shd w:val="clear" w:color="auto" w:fill="auto"/>
            <w:vAlign w:val="bottom"/>
          </w:tcPr>
          <w:p w14:paraId="22CFBF89" w14:textId="77777777" w:rsidR="002661BA" w:rsidRDefault="002661BA">
            <w:pPr>
              <w:rPr>
                <w:rFonts w:ascii="宋体"/>
                <w:vanish/>
              </w:rPr>
            </w:pPr>
          </w:p>
        </w:tc>
        <w:tc>
          <w:tcPr>
            <w:tcW w:w="0" w:type="auto"/>
            <w:gridSpan w:val="3"/>
            <w:shd w:val="clear" w:color="auto" w:fill="auto"/>
            <w:vAlign w:val="bottom"/>
          </w:tcPr>
          <w:p w14:paraId="22CFBF8A" w14:textId="77777777" w:rsidR="002661BA" w:rsidRDefault="002661BA">
            <w:pPr>
              <w:rPr>
                <w:rFonts w:ascii="宋体"/>
                <w:vanish/>
              </w:rPr>
            </w:pPr>
          </w:p>
        </w:tc>
      </w:tr>
      <w:tr w:rsidR="002661BA" w14:paraId="22CFBF92" w14:textId="77777777">
        <w:trPr>
          <w:hidden/>
        </w:trPr>
        <w:tc>
          <w:tcPr>
            <w:tcW w:w="0" w:type="auto"/>
            <w:gridSpan w:val="3"/>
            <w:shd w:val="clear" w:color="auto" w:fill="auto"/>
            <w:vAlign w:val="bottom"/>
          </w:tcPr>
          <w:p w14:paraId="22CFBF8C" w14:textId="77777777" w:rsidR="002661BA" w:rsidRDefault="002661BA">
            <w:pPr>
              <w:rPr>
                <w:rFonts w:ascii="宋体"/>
                <w:vanish/>
              </w:rPr>
            </w:pPr>
          </w:p>
        </w:tc>
        <w:tc>
          <w:tcPr>
            <w:tcW w:w="0" w:type="auto"/>
            <w:gridSpan w:val="3"/>
            <w:shd w:val="clear" w:color="auto" w:fill="auto"/>
            <w:vAlign w:val="bottom"/>
          </w:tcPr>
          <w:p w14:paraId="22CFBF8D" w14:textId="77777777" w:rsidR="002661BA" w:rsidRDefault="002661BA">
            <w:pPr>
              <w:rPr>
                <w:rFonts w:ascii="宋体"/>
                <w:vanish/>
              </w:rPr>
            </w:pPr>
          </w:p>
        </w:tc>
        <w:tc>
          <w:tcPr>
            <w:tcW w:w="0" w:type="auto"/>
            <w:gridSpan w:val="3"/>
            <w:shd w:val="clear" w:color="auto" w:fill="auto"/>
            <w:vAlign w:val="bottom"/>
          </w:tcPr>
          <w:p w14:paraId="22CFBF8E" w14:textId="77777777" w:rsidR="002661BA" w:rsidRDefault="002661BA">
            <w:pPr>
              <w:rPr>
                <w:rFonts w:ascii="宋体"/>
                <w:vanish/>
              </w:rPr>
            </w:pPr>
          </w:p>
        </w:tc>
        <w:tc>
          <w:tcPr>
            <w:tcW w:w="0" w:type="auto"/>
            <w:gridSpan w:val="3"/>
            <w:shd w:val="clear" w:color="auto" w:fill="auto"/>
            <w:vAlign w:val="bottom"/>
          </w:tcPr>
          <w:p w14:paraId="22CFBF8F" w14:textId="77777777" w:rsidR="002661BA" w:rsidRDefault="002661BA">
            <w:pPr>
              <w:rPr>
                <w:rFonts w:ascii="宋体"/>
                <w:vanish/>
              </w:rPr>
            </w:pPr>
          </w:p>
        </w:tc>
        <w:tc>
          <w:tcPr>
            <w:tcW w:w="0" w:type="auto"/>
            <w:gridSpan w:val="3"/>
            <w:shd w:val="clear" w:color="auto" w:fill="auto"/>
            <w:vAlign w:val="bottom"/>
          </w:tcPr>
          <w:p w14:paraId="22CFBF90" w14:textId="77777777" w:rsidR="002661BA" w:rsidRDefault="002661BA">
            <w:pPr>
              <w:rPr>
                <w:rFonts w:ascii="宋体"/>
                <w:vanish/>
              </w:rPr>
            </w:pPr>
          </w:p>
        </w:tc>
        <w:tc>
          <w:tcPr>
            <w:tcW w:w="0" w:type="auto"/>
            <w:gridSpan w:val="3"/>
            <w:shd w:val="clear" w:color="auto" w:fill="auto"/>
            <w:vAlign w:val="bottom"/>
          </w:tcPr>
          <w:p w14:paraId="22CFBF91" w14:textId="77777777" w:rsidR="002661BA" w:rsidRDefault="002661BA">
            <w:pPr>
              <w:rPr>
                <w:rFonts w:ascii="宋体"/>
                <w:vanish/>
              </w:rPr>
            </w:pPr>
          </w:p>
        </w:tc>
      </w:tr>
      <w:tr w:rsidR="002661BA" w14:paraId="22CFBF99" w14:textId="77777777">
        <w:trPr>
          <w:hidden/>
        </w:trPr>
        <w:tc>
          <w:tcPr>
            <w:tcW w:w="0" w:type="auto"/>
            <w:gridSpan w:val="3"/>
            <w:shd w:val="clear" w:color="auto" w:fill="auto"/>
            <w:vAlign w:val="bottom"/>
          </w:tcPr>
          <w:p w14:paraId="22CFBF93" w14:textId="77777777" w:rsidR="002661BA" w:rsidRDefault="002661BA">
            <w:pPr>
              <w:rPr>
                <w:rFonts w:ascii="宋体"/>
                <w:vanish/>
              </w:rPr>
            </w:pPr>
          </w:p>
        </w:tc>
        <w:tc>
          <w:tcPr>
            <w:tcW w:w="0" w:type="auto"/>
            <w:gridSpan w:val="3"/>
            <w:shd w:val="clear" w:color="auto" w:fill="auto"/>
            <w:vAlign w:val="bottom"/>
          </w:tcPr>
          <w:p w14:paraId="22CFBF94" w14:textId="77777777" w:rsidR="002661BA" w:rsidRDefault="002661BA">
            <w:pPr>
              <w:rPr>
                <w:rFonts w:ascii="宋体"/>
                <w:vanish/>
              </w:rPr>
            </w:pPr>
          </w:p>
        </w:tc>
        <w:tc>
          <w:tcPr>
            <w:tcW w:w="0" w:type="auto"/>
            <w:gridSpan w:val="3"/>
            <w:shd w:val="clear" w:color="auto" w:fill="auto"/>
            <w:vAlign w:val="bottom"/>
          </w:tcPr>
          <w:p w14:paraId="22CFBF95" w14:textId="77777777" w:rsidR="002661BA" w:rsidRDefault="002661BA">
            <w:pPr>
              <w:rPr>
                <w:rFonts w:ascii="宋体"/>
                <w:vanish/>
              </w:rPr>
            </w:pPr>
          </w:p>
        </w:tc>
        <w:tc>
          <w:tcPr>
            <w:tcW w:w="0" w:type="auto"/>
            <w:gridSpan w:val="3"/>
            <w:shd w:val="clear" w:color="auto" w:fill="auto"/>
            <w:vAlign w:val="bottom"/>
          </w:tcPr>
          <w:p w14:paraId="22CFBF96" w14:textId="77777777" w:rsidR="002661BA" w:rsidRDefault="002661BA">
            <w:pPr>
              <w:rPr>
                <w:rFonts w:ascii="宋体"/>
                <w:vanish/>
              </w:rPr>
            </w:pPr>
          </w:p>
        </w:tc>
        <w:tc>
          <w:tcPr>
            <w:tcW w:w="0" w:type="auto"/>
            <w:gridSpan w:val="3"/>
            <w:shd w:val="clear" w:color="auto" w:fill="auto"/>
            <w:vAlign w:val="bottom"/>
          </w:tcPr>
          <w:p w14:paraId="22CFBF97" w14:textId="77777777" w:rsidR="002661BA" w:rsidRDefault="002661BA">
            <w:pPr>
              <w:rPr>
                <w:rFonts w:ascii="宋体"/>
                <w:vanish/>
              </w:rPr>
            </w:pPr>
          </w:p>
        </w:tc>
        <w:tc>
          <w:tcPr>
            <w:tcW w:w="0" w:type="auto"/>
            <w:gridSpan w:val="3"/>
            <w:shd w:val="clear" w:color="auto" w:fill="auto"/>
            <w:vAlign w:val="bottom"/>
          </w:tcPr>
          <w:p w14:paraId="22CFBF98" w14:textId="77777777" w:rsidR="002661BA" w:rsidRDefault="002661BA">
            <w:pPr>
              <w:rPr>
                <w:rFonts w:ascii="宋体"/>
                <w:vanish/>
              </w:rPr>
            </w:pPr>
          </w:p>
        </w:tc>
      </w:tr>
      <w:tr w:rsidR="002661BA" w14:paraId="22CFBFA0" w14:textId="77777777">
        <w:trPr>
          <w:hidden/>
        </w:trPr>
        <w:tc>
          <w:tcPr>
            <w:tcW w:w="0" w:type="auto"/>
            <w:gridSpan w:val="3"/>
            <w:shd w:val="clear" w:color="auto" w:fill="auto"/>
            <w:vAlign w:val="bottom"/>
          </w:tcPr>
          <w:p w14:paraId="22CFBF9A" w14:textId="77777777" w:rsidR="002661BA" w:rsidRDefault="002661BA">
            <w:pPr>
              <w:rPr>
                <w:rFonts w:ascii="宋体"/>
                <w:vanish/>
              </w:rPr>
            </w:pPr>
          </w:p>
        </w:tc>
        <w:tc>
          <w:tcPr>
            <w:tcW w:w="0" w:type="auto"/>
            <w:gridSpan w:val="3"/>
            <w:shd w:val="clear" w:color="auto" w:fill="auto"/>
            <w:vAlign w:val="bottom"/>
          </w:tcPr>
          <w:p w14:paraId="22CFBF9B" w14:textId="77777777" w:rsidR="002661BA" w:rsidRDefault="002661BA">
            <w:pPr>
              <w:rPr>
                <w:rFonts w:ascii="宋体"/>
                <w:vanish/>
              </w:rPr>
            </w:pPr>
          </w:p>
        </w:tc>
        <w:tc>
          <w:tcPr>
            <w:tcW w:w="0" w:type="auto"/>
            <w:gridSpan w:val="3"/>
            <w:shd w:val="clear" w:color="auto" w:fill="auto"/>
            <w:vAlign w:val="bottom"/>
          </w:tcPr>
          <w:p w14:paraId="22CFBF9C" w14:textId="77777777" w:rsidR="002661BA" w:rsidRDefault="002661BA">
            <w:pPr>
              <w:rPr>
                <w:rFonts w:ascii="宋体"/>
                <w:vanish/>
              </w:rPr>
            </w:pPr>
          </w:p>
        </w:tc>
        <w:tc>
          <w:tcPr>
            <w:tcW w:w="0" w:type="auto"/>
            <w:gridSpan w:val="3"/>
            <w:shd w:val="clear" w:color="auto" w:fill="auto"/>
            <w:vAlign w:val="bottom"/>
          </w:tcPr>
          <w:p w14:paraId="22CFBF9D" w14:textId="77777777" w:rsidR="002661BA" w:rsidRDefault="002661BA">
            <w:pPr>
              <w:rPr>
                <w:rFonts w:ascii="宋体"/>
                <w:vanish/>
              </w:rPr>
            </w:pPr>
          </w:p>
        </w:tc>
        <w:tc>
          <w:tcPr>
            <w:tcW w:w="0" w:type="auto"/>
            <w:gridSpan w:val="3"/>
            <w:shd w:val="clear" w:color="auto" w:fill="auto"/>
            <w:vAlign w:val="bottom"/>
          </w:tcPr>
          <w:p w14:paraId="22CFBF9E" w14:textId="77777777" w:rsidR="002661BA" w:rsidRDefault="002661BA">
            <w:pPr>
              <w:rPr>
                <w:rFonts w:ascii="宋体"/>
                <w:vanish/>
              </w:rPr>
            </w:pPr>
          </w:p>
        </w:tc>
        <w:tc>
          <w:tcPr>
            <w:tcW w:w="0" w:type="auto"/>
            <w:gridSpan w:val="3"/>
            <w:shd w:val="clear" w:color="auto" w:fill="auto"/>
            <w:vAlign w:val="bottom"/>
          </w:tcPr>
          <w:p w14:paraId="22CFBF9F" w14:textId="77777777" w:rsidR="002661BA" w:rsidRDefault="002661BA">
            <w:pPr>
              <w:rPr>
                <w:rFonts w:ascii="宋体"/>
                <w:vanish/>
              </w:rPr>
            </w:pPr>
          </w:p>
        </w:tc>
      </w:tr>
      <w:tr w:rsidR="002661BA" w14:paraId="22CFBFA7" w14:textId="77777777">
        <w:trPr>
          <w:hidden/>
        </w:trPr>
        <w:tc>
          <w:tcPr>
            <w:tcW w:w="0" w:type="auto"/>
            <w:gridSpan w:val="3"/>
            <w:shd w:val="clear" w:color="auto" w:fill="auto"/>
            <w:vAlign w:val="bottom"/>
          </w:tcPr>
          <w:p w14:paraId="22CFBFA1" w14:textId="77777777" w:rsidR="002661BA" w:rsidRDefault="002661BA">
            <w:pPr>
              <w:rPr>
                <w:rFonts w:ascii="宋体"/>
                <w:vanish/>
              </w:rPr>
            </w:pPr>
          </w:p>
        </w:tc>
        <w:tc>
          <w:tcPr>
            <w:tcW w:w="0" w:type="auto"/>
            <w:gridSpan w:val="3"/>
            <w:shd w:val="clear" w:color="auto" w:fill="auto"/>
            <w:vAlign w:val="bottom"/>
          </w:tcPr>
          <w:p w14:paraId="22CFBFA2" w14:textId="77777777" w:rsidR="002661BA" w:rsidRDefault="002661BA">
            <w:pPr>
              <w:rPr>
                <w:rFonts w:ascii="宋体"/>
                <w:vanish/>
              </w:rPr>
            </w:pPr>
          </w:p>
        </w:tc>
        <w:tc>
          <w:tcPr>
            <w:tcW w:w="0" w:type="auto"/>
            <w:gridSpan w:val="3"/>
            <w:shd w:val="clear" w:color="auto" w:fill="auto"/>
            <w:vAlign w:val="bottom"/>
          </w:tcPr>
          <w:p w14:paraId="22CFBFA3" w14:textId="77777777" w:rsidR="002661BA" w:rsidRDefault="002661BA">
            <w:pPr>
              <w:rPr>
                <w:rFonts w:ascii="宋体"/>
                <w:vanish/>
              </w:rPr>
            </w:pPr>
          </w:p>
        </w:tc>
        <w:tc>
          <w:tcPr>
            <w:tcW w:w="0" w:type="auto"/>
            <w:gridSpan w:val="3"/>
            <w:shd w:val="clear" w:color="auto" w:fill="auto"/>
            <w:vAlign w:val="bottom"/>
          </w:tcPr>
          <w:p w14:paraId="22CFBFA4" w14:textId="77777777" w:rsidR="002661BA" w:rsidRDefault="002661BA">
            <w:pPr>
              <w:rPr>
                <w:rFonts w:ascii="宋体"/>
                <w:vanish/>
              </w:rPr>
            </w:pPr>
          </w:p>
        </w:tc>
        <w:tc>
          <w:tcPr>
            <w:tcW w:w="0" w:type="auto"/>
            <w:gridSpan w:val="3"/>
            <w:shd w:val="clear" w:color="auto" w:fill="auto"/>
            <w:vAlign w:val="bottom"/>
          </w:tcPr>
          <w:p w14:paraId="22CFBFA5" w14:textId="77777777" w:rsidR="002661BA" w:rsidRDefault="002661BA">
            <w:pPr>
              <w:rPr>
                <w:rFonts w:ascii="宋体"/>
                <w:vanish/>
              </w:rPr>
            </w:pPr>
          </w:p>
        </w:tc>
        <w:tc>
          <w:tcPr>
            <w:tcW w:w="0" w:type="auto"/>
            <w:gridSpan w:val="3"/>
            <w:shd w:val="clear" w:color="auto" w:fill="auto"/>
            <w:vAlign w:val="bottom"/>
          </w:tcPr>
          <w:p w14:paraId="22CFBFA6" w14:textId="77777777" w:rsidR="002661BA" w:rsidRDefault="002661BA">
            <w:pPr>
              <w:rPr>
                <w:rFonts w:ascii="宋体"/>
                <w:vanish/>
              </w:rPr>
            </w:pPr>
          </w:p>
        </w:tc>
      </w:tr>
      <w:tr w:rsidR="002661BA" w14:paraId="22CFBFAE" w14:textId="77777777">
        <w:trPr>
          <w:hidden/>
        </w:trPr>
        <w:tc>
          <w:tcPr>
            <w:tcW w:w="0" w:type="auto"/>
            <w:gridSpan w:val="3"/>
            <w:shd w:val="clear" w:color="auto" w:fill="auto"/>
            <w:vAlign w:val="bottom"/>
          </w:tcPr>
          <w:p w14:paraId="22CFBFA8" w14:textId="77777777" w:rsidR="002661BA" w:rsidRDefault="002661BA">
            <w:pPr>
              <w:rPr>
                <w:rFonts w:ascii="宋体"/>
                <w:vanish/>
              </w:rPr>
            </w:pPr>
          </w:p>
        </w:tc>
        <w:tc>
          <w:tcPr>
            <w:tcW w:w="0" w:type="auto"/>
            <w:gridSpan w:val="3"/>
            <w:shd w:val="clear" w:color="auto" w:fill="auto"/>
            <w:vAlign w:val="bottom"/>
          </w:tcPr>
          <w:p w14:paraId="22CFBFA9" w14:textId="77777777" w:rsidR="002661BA" w:rsidRDefault="002661BA">
            <w:pPr>
              <w:rPr>
                <w:rFonts w:ascii="宋体"/>
                <w:vanish/>
              </w:rPr>
            </w:pPr>
          </w:p>
        </w:tc>
        <w:tc>
          <w:tcPr>
            <w:tcW w:w="0" w:type="auto"/>
            <w:gridSpan w:val="3"/>
            <w:shd w:val="clear" w:color="auto" w:fill="auto"/>
            <w:vAlign w:val="bottom"/>
          </w:tcPr>
          <w:p w14:paraId="22CFBFAA" w14:textId="77777777" w:rsidR="002661BA" w:rsidRDefault="002661BA">
            <w:pPr>
              <w:rPr>
                <w:rFonts w:ascii="宋体"/>
                <w:vanish/>
              </w:rPr>
            </w:pPr>
          </w:p>
        </w:tc>
        <w:tc>
          <w:tcPr>
            <w:tcW w:w="0" w:type="auto"/>
            <w:gridSpan w:val="3"/>
            <w:shd w:val="clear" w:color="auto" w:fill="auto"/>
            <w:vAlign w:val="bottom"/>
          </w:tcPr>
          <w:p w14:paraId="22CFBFAB" w14:textId="77777777" w:rsidR="002661BA" w:rsidRDefault="002661BA">
            <w:pPr>
              <w:rPr>
                <w:rFonts w:ascii="宋体"/>
                <w:vanish/>
              </w:rPr>
            </w:pPr>
          </w:p>
        </w:tc>
        <w:tc>
          <w:tcPr>
            <w:tcW w:w="0" w:type="auto"/>
            <w:gridSpan w:val="3"/>
            <w:shd w:val="clear" w:color="auto" w:fill="auto"/>
            <w:vAlign w:val="bottom"/>
          </w:tcPr>
          <w:p w14:paraId="22CFBFAC" w14:textId="77777777" w:rsidR="002661BA" w:rsidRDefault="002661BA">
            <w:pPr>
              <w:rPr>
                <w:rFonts w:ascii="宋体"/>
                <w:vanish/>
              </w:rPr>
            </w:pPr>
          </w:p>
        </w:tc>
        <w:tc>
          <w:tcPr>
            <w:tcW w:w="0" w:type="auto"/>
            <w:gridSpan w:val="3"/>
            <w:shd w:val="clear" w:color="auto" w:fill="auto"/>
            <w:vAlign w:val="bottom"/>
          </w:tcPr>
          <w:p w14:paraId="22CFBFAD" w14:textId="77777777" w:rsidR="002661BA" w:rsidRDefault="002661BA">
            <w:pPr>
              <w:rPr>
                <w:rFonts w:ascii="宋体"/>
                <w:vanish/>
              </w:rPr>
            </w:pPr>
          </w:p>
        </w:tc>
      </w:tr>
      <w:tr w:rsidR="002661BA" w14:paraId="22CFBFB5" w14:textId="77777777">
        <w:trPr>
          <w:hidden/>
        </w:trPr>
        <w:tc>
          <w:tcPr>
            <w:tcW w:w="0" w:type="auto"/>
            <w:gridSpan w:val="3"/>
            <w:shd w:val="clear" w:color="auto" w:fill="auto"/>
            <w:vAlign w:val="bottom"/>
          </w:tcPr>
          <w:p w14:paraId="22CFBFAF" w14:textId="77777777" w:rsidR="002661BA" w:rsidRDefault="002661BA">
            <w:pPr>
              <w:rPr>
                <w:rFonts w:ascii="宋体"/>
                <w:vanish/>
              </w:rPr>
            </w:pPr>
          </w:p>
        </w:tc>
        <w:tc>
          <w:tcPr>
            <w:tcW w:w="0" w:type="auto"/>
            <w:gridSpan w:val="3"/>
            <w:shd w:val="clear" w:color="auto" w:fill="auto"/>
            <w:vAlign w:val="bottom"/>
          </w:tcPr>
          <w:p w14:paraId="22CFBFB0" w14:textId="77777777" w:rsidR="002661BA" w:rsidRDefault="002661BA">
            <w:pPr>
              <w:rPr>
                <w:rFonts w:ascii="宋体"/>
                <w:vanish/>
              </w:rPr>
            </w:pPr>
          </w:p>
        </w:tc>
        <w:tc>
          <w:tcPr>
            <w:tcW w:w="0" w:type="auto"/>
            <w:gridSpan w:val="3"/>
            <w:shd w:val="clear" w:color="auto" w:fill="auto"/>
            <w:vAlign w:val="bottom"/>
          </w:tcPr>
          <w:p w14:paraId="22CFBFB1" w14:textId="77777777" w:rsidR="002661BA" w:rsidRDefault="002661BA">
            <w:pPr>
              <w:rPr>
                <w:rFonts w:ascii="宋体"/>
                <w:vanish/>
              </w:rPr>
            </w:pPr>
          </w:p>
        </w:tc>
        <w:tc>
          <w:tcPr>
            <w:tcW w:w="0" w:type="auto"/>
            <w:gridSpan w:val="3"/>
            <w:shd w:val="clear" w:color="auto" w:fill="auto"/>
            <w:vAlign w:val="bottom"/>
          </w:tcPr>
          <w:p w14:paraId="22CFBFB2" w14:textId="77777777" w:rsidR="002661BA" w:rsidRDefault="002661BA">
            <w:pPr>
              <w:rPr>
                <w:rFonts w:ascii="宋体"/>
                <w:vanish/>
              </w:rPr>
            </w:pPr>
          </w:p>
        </w:tc>
        <w:tc>
          <w:tcPr>
            <w:tcW w:w="0" w:type="auto"/>
            <w:gridSpan w:val="3"/>
            <w:shd w:val="clear" w:color="auto" w:fill="auto"/>
            <w:vAlign w:val="bottom"/>
          </w:tcPr>
          <w:p w14:paraId="22CFBFB3" w14:textId="77777777" w:rsidR="002661BA" w:rsidRDefault="002661BA">
            <w:pPr>
              <w:rPr>
                <w:rFonts w:ascii="宋体"/>
                <w:vanish/>
              </w:rPr>
            </w:pPr>
          </w:p>
        </w:tc>
        <w:tc>
          <w:tcPr>
            <w:tcW w:w="0" w:type="auto"/>
            <w:gridSpan w:val="3"/>
            <w:shd w:val="clear" w:color="auto" w:fill="auto"/>
            <w:vAlign w:val="bottom"/>
          </w:tcPr>
          <w:p w14:paraId="22CFBFB4" w14:textId="77777777" w:rsidR="002661BA" w:rsidRDefault="002661BA">
            <w:pPr>
              <w:rPr>
                <w:rFonts w:ascii="宋体"/>
                <w:vanish/>
              </w:rPr>
            </w:pPr>
          </w:p>
        </w:tc>
      </w:tr>
      <w:tr w:rsidR="002661BA" w14:paraId="22CFBFBC" w14:textId="77777777">
        <w:trPr>
          <w:hidden/>
        </w:trPr>
        <w:tc>
          <w:tcPr>
            <w:tcW w:w="0" w:type="auto"/>
            <w:gridSpan w:val="3"/>
            <w:shd w:val="clear" w:color="auto" w:fill="auto"/>
            <w:vAlign w:val="bottom"/>
          </w:tcPr>
          <w:p w14:paraId="22CFBFB6" w14:textId="77777777" w:rsidR="002661BA" w:rsidRDefault="002661BA">
            <w:pPr>
              <w:rPr>
                <w:rFonts w:ascii="宋体"/>
                <w:vanish/>
              </w:rPr>
            </w:pPr>
          </w:p>
        </w:tc>
        <w:tc>
          <w:tcPr>
            <w:tcW w:w="0" w:type="auto"/>
            <w:gridSpan w:val="3"/>
            <w:shd w:val="clear" w:color="auto" w:fill="auto"/>
            <w:vAlign w:val="bottom"/>
          </w:tcPr>
          <w:p w14:paraId="22CFBFB7" w14:textId="77777777" w:rsidR="002661BA" w:rsidRDefault="002661BA">
            <w:pPr>
              <w:rPr>
                <w:rFonts w:ascii="宋体"/>
                <w:vanish/>
              </w:rPr>
            </w:pPr>
          </w:p>
        </w:tc>
        <w:tc>
          <w:tcPr>
            <w:tcW w:w="0" w:type="auto"/>
            <w:gridSpan w:val="3"/>
            <w:shd w:val="clear" w:color="auto" w:fill="auto"/>
            <w:vAlign w:val="bottom"/>
          </w:tcPr>
          <w:p w14:paraId="22CFBFB8" w14:textId="77777777" w:rsidR="002661BA" w:rsidRDefault="002661BA">
            <w:pPr>
              <w:rPr>
                <w:rFonts w:ascii="宋体"/>
                <w:vanish/>
              </w:rPr>
            </w:pPr>
          </w:p>
        </w:tc>
        <w:tc>
          <w:tcPr>
            <w:tcW w:w="0" w:type="auto"/>
            <w:gridSpan w:val="3"/>
            <w:shd w:val="clear" w:color="auto" w:fill="auto"/>
            <w:vAlign w:val="bottom"/>
          </w:tcPr>
          <w:p w14:paraId="22CFBFB9" w14:textId="77777777" w:rsidR="002661BA" w:rsidRDefault="002661BA">
            <w:pPr>
              <w:rPr>
                <w:rFonts w:ascii="宋体"/>
                <w:vanish/>
              </w:rPr>
            </w:pPr>
          </w:p>
        </w:tc>
        <w:tc>
          <w:tcPr>
            <w:tcW w:w="0" w:type="auto"/>
            <w:gridSpan w:val="3"/>
            <w:shd w:val="clear" w:color="auto" w:fill="auto"/>
            <w:vAlign w:val="bottom"/>
          </w:tcPr>
          <w:p w14:paraId="22CFBFBA" w14:textId="77777777" w:rsidR="002661BA" w:rsidRDefault="002661BA">
            <w:pPr>
              <w:rPr>
                <w:rFonts w:ascii="宋体"/>
                <w:vanish/>
              </w:rPr>
            </w:pPr>
          </w:p>
        </w:tc>
        <w:tc>
          <w:tcPr>
            <w:tcW w:w="0" w:type="auto"/>
            <w:gridSpan w:val="3"/>
            <w:shd w:val="clear" w:color="auto" w:fill="auto"/>
            <w:vAlign w:val="bottom"/>
          </w:tcPr>
          <w:p w14:paraId="22CFBFBB" w14:textId="77777777" w:rsidR="002661BA" w:rsidRDefault="002661BA">
            <w:pPr>
              <w:rPr>
                <w:rFonts w:ascii="宋体"/>
                <w:vanish/>
              </w:rPr>
            </w:pPr>
          </w:p>
        </w:tc>
      </w:tr>
      <w:tr w:rsidR="002661BA" w14:paraId="22CFBFC3" w14:textId="77777777">
        <w:trPr>
          <w:hidden/>
        </w:trPr>
        <w:tc>
          <w:tcPr>
            <w:tcW w:w="0" w:type="auto"/>
            <w:gridSpan w:val="3"/>
            <w:shd w:val="clear" w:color="auto" w:fill="auto"/>
            <w:vAlign w:val="bottom"/>
          </w:tcPr>
          <w:p w14:paraId="22CFBFBD" w14:textId="77777777" w:rsidR="002661BA" w:rsidRDefault="002661BA">
            <w:pPr>
              <w:rPr>
                <w:rFonts w:ascii="宋体"/>
                <w:vanish/>
              </w:rPr>
            </w:pPr>
          </w:p>
        </w:tc>
        <w:tc>
          <w:tcPr>
            <w:tcW w:w="0" w:type="auto"/>
            <w:gridSpan w:val="3"/>
            <w:shd w:val="clear" w:color="auto" w:fill="auto"/>
            <w:vAlign w:val="bottom"/>
          </w:tcPr>
          <w:p w14:paraId="22CFBFBE" w14:textId="77777777" w:rsidR="002661BA" w:rsidRDefault="002661BA">
            <w:pPr>
              <w:rPr>
                <w:rFonts w:ascii="宋体"/>
                <w:vanish/>
              </w:rPr>
            </w:pPr>
          </w:p>
        </w:tc>
        <w:tc>
          <w:tcPr>
            <w:tcW w:w="0" w:type="auto"/>
            <w:gridSpan w:val="3"/>
            <w:shd w:val="clear" w:color="auto" w:fill="auto"/>
            <w:vAlign w:val="bottom"/>
          </w:tcPr>
          <w:p w14:paraId="22CFBFBF" w14:textId="77777777" w:rsidR="002661BA" w:rsidRDefault="002661BA">
            <w:pPr>
              <w:rPr>
                <w:rFonts w:ascii="宋体"/>
                <w:vanish/>
              </w:rPr>
            </w:pPr>
          </w:p>
        </w:tc>
        <w:tc>
          <w:tcPr>
            <w:tcW w:w="0" w:type="auto"/>
            <w:gridSpan w:val="3"/>
            <w:shd w:val="clear" w:color="auto" w:fill="auto"/>
            <w:vAlign w:val="bottom"/>
          </w:tcPr>
          <w:p w14:paraId="22CFBFC0" w14:textId="77777777" w:rsidR="002661BA" w:rsidRDefault="002661BA">
            <w:pPr>
              <w:rPr>
                <w:rFonts w:ascii="宋体"/>
                <w:vanish/>
              </w:rPr>
            </w:pPr>
          </w:p>
        </w:tc>
        <w:tc>
          <w:tcPr>
            <w:tcW w:w="0" w:type="auto"/>
            <w:gridSpan w:val="3"/>
            <w:shd w:val="clear" w:color="auto" w:fill="auto"/>
            <w:vAlign w:val="bottom"/>
          </w:tcPr>
          <w:p w14:paraId="22CFBFC1" w14:textId="77777777" w:rsidR="002661BA" w:rsidRDefault="002661BA">
            <w:pPr>
              <w:rPr>
                <w:rFonts w:ascii="宋体"/>
                <w:vanish/>
              </w:rPr>
            </w:pPr>
          </w:p>
        </w:tc>
        <w:tc>
          <w:tcPr>
            <w:tcW w:w="0" w:type="auto"/>
            <w:gridSpan w:val="3"/>
            <w:shd w:val="clear" w:color="auto" w:fill="auto"/>
            <w:vAlign w:val="bottom"/>
          </w:tcPr>
          <w:p w14:paraId="22CFBFC2" w14:textId="77777777" w:rsidR="002661BA" w:rsidRDefault="002661BA">
            <w:pPr>
              <w:rPr>
                <w:rFonts w:ascii="宋体"/>
                <w:vanish/>
              </w:rPr>
            </w:pPr>
          </w:p>
        </w:tc>
      </w:tr>
      <w:tr w:rsidR="002661BA" w14:paraId="22CFBFCA" w14:textId="77777777">
        <w:trPr>
          <w:hidden/>
        </w:trPr>
        <w:tc>
          <w:tcPr>
            <w:tcW w:w="0" w:type="auto"/>
            <w:gridSpan w:val="3"/>
            <w:shd w:val="clear" w:color="auto" w:fill="auto"/>
            <w:vAlign w:val="bottom"/>
          </w:tcPr>
          <w:p w14:paraId="22CFBFC4" w14:textId="77777777" w:rsidR="002661BA" w:rsidRDefault="002661BA">
            <w:pPr>
              <w:rPr>
                <w:rFonts w:ascii="宋体"/>
                <w:vanish/>
              </w:rPr>
            </w:pPr>
          </w:p>
        </w:tc>
        <w:tc>
          <w:tcPr>
            <w:tcW w:w="0" w:type="auto"/>
            <w:gridSpan w:val="3"/>
            <w:shd w:val="clear" w:color="auto" w:fill="auto"/>
            <w:vAlign w:val="bottom"/>
          </w:tcPr>
          <w:p w14:paraId="22CFBFC5" w14:textId="77777777" w:rsidR="002661BA" w:rsidRDefault="002661BA">
            <w:pPr>
              <w:rPr>
                <w:rFonts w:ascii="宋体"/>
                <w:vanish/>
              </w:rPr>
            </w:pPr>
          </w:p>
        </w:tc>
        <w:tc>
          <w:tcPr>
            <w:tcW w:w="0" w:type="auto"/>
            <w:gridSpan w:val="3"/>
            <w:shd w:val="clear" w:color="auto" w:fill="auto"/>
            <w:vAlign w:val="bottom"/>
          </w:tcPr>
          <w:p w14:paraId="22CFBFC6" w14:textId="77777777" w:rsidR="002661BA" w:rsidRDefault="002661BA">
            <w:pPr>
              <w:rPr>
                <w:rFonts w:ascii="宋体"/>
                <w:vanish/>
              </w:rPr>
            </w:pPr>
          </w:p>
        </w:tc>
        <w:tc>
          <w:tcPr>
            <w:tcW w:w="0" w:type="auto"/>
            <w:gridSpan w:val="3"/>
            <w:shd w:val="clear" w:color="auto" w:fill="auto"/>
            <w:vAlign w:val="bottom"/>
          </w:tcPr>
          <w:p w14:paraId="22CFBFC7" w14:textId="77777777" w:rsidR="002661BA" w:rsidRDefault="002661BA">
            <w:pPr>
              <w:rPr>
                <w:rFonts w:ascii="宋体"/>
                <w:vanish/>
              </w:rPr>
            </w:pPr>
          </w:p>
        </w:tc>
        <w:tc>
          <w:tcPr>
            <w:tcW w:w="0" w:type="auto"/>
            <w:gridSpan w:val="3"/>
            <w:shd w:val="clear" w:color="auto" w:fill="auto"/>
            <w:vAlign w:val="bottom"/>
          </w:tcPr>
          <w:p w14:paraId="22CFBFC8" w14:textId="77777777" w:rsidR="002661BA" w:rsidRDefault="002661BA">
            <w:pPr>
              <w:rPr>
                <w:rFonts w:ascii="宋体"/>
                <w:vanish/>
              </w:rPr>
            </w:pPr>
          </w:p>
        </w:tc>
        <w:tc>
          <w:tcPr>
            <w:tcW w:w="0" w:type="auto"/>
            <w:gridSpan w:val="3"/>
            <w:shd w:val="clear" w:color="auto" w:fill="auto"/>
            <w:vAlign w:val="bottom"/>
          </w:tcPr>
          <w:p w14:paraId="22CFBFC9" w14:textId="77777777" w:rsidR="002661BA" w:rsidRDefault="002661BA">
            <w:pPr>
              <w:rPr>
                <w:rFonts w:ascii="宋体"/>
                <w:vanish/>
              </w:rPr>
            </w:pPr>
          </w:p>
        </w:tc>
      </w:tr>
      <w:tr w:rsidR="002661BA" w14:paraId="22CFBFD1" w14:textId="77777777">
        <w:trPr>
          <w:hidden/>
        </w:trPr>
        <w:tc>
          <w:tcPr>
            <w:tcW w:w="0" w:type="auto"/>
            <w:gridSpan w:val="3"/>
            <w:shd w:val="clear" w:color="auto" w:fill="auto"/>
            <w:vAlign w:val="bottom"/>
          </w:tcPr>
          <w:p w14:paraId="22CFBFCB" w14:textId="77777777" w:rsidR="002661BA" w:rsidRDefault="002661BA">
            <w:pPr>
              <w:rPr>
                <w:rFonts w:ascii="宋体"/>
                <w:vanish/>
              </w:rPr>
            </w:pPr>
          </w:p>
        </w:tc>
        <w:tc>
          <w:tcPr>
            <w:tcW w:w="0" w:type="auto"/>
            <w:gridSpan w:val="3"/>
            <w:shd w:val="clear" w:color="auto" w:fill="auto"/>
            <w:vAlign w:val="bottom"/>
          </w:tcPr>
          <w:p w14:paraId="22CFBFCC" w14:textId="77777777" w:rsidR="002661BA" w:rsidRDefault="002661BA">
            <w:pPr>
              <w:rPr>
                <w:rFonts w:ascii="宋体"/>
                <w:vanish/>
              </w:rPr>
            </w:pPr>
          </w:p>
        </w:tc>
        <w:tc>
          <w:tcPr>
            <w:tcW w:w="0" w:type="auto"/>
            <w:gridSpan w:val="3"/>
            <w:shd w:val="clear" w:color="auto" w:fill="auto"/>
            <w:vAlign w:val="bottom"/>
          </w:tcPr>
          <w:p w14:paraId="22CFBFCD" w14:textId="77777777" w:rsidR="002661BA" w:rsidRDefault="002661BA">
            <w:pPr>
              <w:rPr>
                <w:rFonts w:ascii="宋体"/>
                <w:vanish/>
              </w:rPr>
            </w:pPr>
          </w:p>
        </w:tc>
        <w:tc>
          <w:tcPr>
            <w:tcW w:w="0" w:type="auto"/>
            <w:gridSpan w:val="3"/>
            <w:shd w:val="clear" w:color="auto" w:fill="auto"/>
            <w:vAlign w:val="bottom"/>
          </w:tcPr>
          <w:p w14:paraId="22CFBFCE" w14:textId="77777777" w:rsidR="002661BA" w:rsidRDefault="002661BA">
            <w:pPr>
              <w:rPr>
                <w:rFonts w:ascii="宋体"/>
                <w:vanish/>
              </w:rPr>
            </w:pPr>
          </w:p>
        </w:tc>
        <w:tc>
          <w:tcPr>
            <w:tcW w:w="0" w:type="auto"/>
            <w:gridSpan w:val="3"/>
            <w:shd w:val="clear" w:color="auto" w:fill="auto"/>
            <w:vAlign w:val="bottom"/>
          </w:tcPr>
          <w:p w14:paraId="22CFBFCF" w14:textId="77777777" w:rsidR="002661BA" w:rsidRDefault="002661BA">
            <w:pPr>
              <w:rPr>
                <w:rFonts w:ascii="宋体"/>
                <w:vanish/>
              </w:rPr>
            </w:pPr>
          </w:p>
        </w:tc>
        <w:tc>
          <w:tcPr>
            <w:tcW w:w="0" w:type="auto"/>
            <w:gridSpan w:val="3"/>
            <w:shd w:val="clear" w:color="auto" w:fill="auto"/>
            <w:vAlign w:val="bottom"/>
          </w:tcPr>
          <w:p w14:paraId="22CFBFD0" w14:textId="77777777" w:rsidR="002661BA" w:rsidRDefault="002661BA">
            <w:pPr>
              <w:rPr>
                <w:rFonts w:ascii="宋体"/>
                <w:vanish/>
              </w:rPr>
            </w:pPr>
          </w:p>
        </w:tc>
      </w:tr>
      <w:tr w:rsidR="002661BA" w14:paraId="22CFBFD8" w14:textId="77777777">
        <w:trPr>
          <w:hidden/>
        </w:trPr>
        <w:tc>
          <w:tcPr>
            <w:tcW w:w="0" w:type="auto"/>
            <w:gridSpan w:val="3"/>
            <w:shd w:val="clear" w:color="auto" w:fill="auto"/>
            <w:vAlign w:val="bottom"/>
          </w:tcPr>
          <w:p w14:paraId="22CFBFD2" w14:textId="77777777" w:rsidR="002661BA" w:rsidRDefault="002661BA">
            <w:pPr>
              <w:rPr>
                <w:rFonts w:ascii="宋体"/>
                <w:vanish/>
              </w:rPr>
            </w:pPr>
          </w:p>
        </w:tc>
        <w:tc>
          <w:tcPr>
            <w:tcW w:w="0" w:type="auto"/>
            <w:gridSpan w:val="3"/>
            <w:shd w:val="clear" w:color="auto" w:fill="auto"/>
            <w:vAlign w:val="bottom"/>
          </w:tcPr>
          <w:p w14:paraId="22CFBFD3" w14:textId="77777777" w:rsidR="002661BA" w:rsidRDefault="002661BA">
            <w:pPr>
              <w:rPr>
                <w:rFonts w:ascii="宋体"/>
                <w:vanish/>
              </w:rPr>
            </w:pPr>
          </w:p>
        </w:tc>
        <w:tc>
          <w:tcPr>
            <w:tcW w:w="0" w:type="auto"/>
            <w:gridSpan w:val="3"/>
            <w:shd w:val="clear" w:color="auto" w:fill="auto"/>
            <w:vAlign w:val="bottom"/>
          </w:tcPr>
          <w:p w14:paraId="22CFBFD4" w14:textId="77777777" w:rsidR="002661BA" w:rsidRDefault="002661BA">
            <w:pPr>
              <w:rPr>
                <w:rFonts w:ascii="宋体"/>
                <w:vanish/>
              </w:rPr>
            </w:pPr>
          </w:p>
        </w:tc>
        <w:tc>
          <w:tcPr>
            <w:tcW w:w="0" w:type="auto"/>
            <w:gridSpan w:val="3"/>
            <w:shd w:val="clear" w:color="auto" w:fill="auto"/>
            <w:vAlign w:val="bottom"/>
          </w:tcPr>
          <w:p w14:paraId="22CFBFD5" w14:textId="77777777" w:rsidR="002661BA" w:rsidRDefault="002661BA">
            <w:pPr>
              <w:rPr>
                <w:rFonts w:ascii="宋体"/>
                <w:vanish/>
              </w:rPr>
            </w:pPr>
          </w:p>
        </w:tc>
        <w:tc>
          <w:tcPr>
            <w:tcW w:w="0" w:type="auto"/>
            <w:gridSpan w:val="3"/>
            <w:shd w:val="clear" w:color="auto" w:fill="auto"/>
            <w:vAlign w:val="bottom"/>
          </w:tcPr>
          <w:p w14:paraId="22CFBFD6" w14:textId="77777777" w:rsidR="002661BA" w:rsidRDefault="002661BA">
            <w:pPr>
              <w:rPr>
                <w:rFonts w:ascii="宋体"/>
                <w:vanish/>
              </w:rPr>
            </w:pPr>
          </w:p>
        </w:tc>
        <w:tc>
          <w:tcPr>
            <w:tcW w:w="0" w:type="auto"/>
            <w:gridSpan w:val="3"/>
            <w:shd w:val="clear" w:color="auto" w:fill="auto"/>
            <w:vAlign w:val="bottom"/>
          </w:tcPr>
          <w:p w14:paraId="22CFBFD7" w14:textId="77777777" w:rsidR="002661BA" w:rsidRDefault="002661BA">
            <w:pPr>
              <w:rPr>
                <w:rFonts w:ascii="宋体"/>
                <w:vanish/>
              </w:rPr>
            </w:pPr>
          </w:p>
        </w:tc>
      </w:tr>
    </w:tbl>
    <w:p w14:paraId="22CFBFD9" w14:textId="77777777" w:rsidR="002661BA" w:rsidRDefault="002661BA">
      <w:pPr>
        <w:ind w:firstLine="540"/>
        <w:jc w:val="both"/>
      </w:pPr>
    </w:p>
    <w:p w14:paraId="22CFBFDA" w14:textId="77777777" w:rsidR="002661BA" w:rsidRDefault="00D972BC">
      <w:pPr>
        <w:spacing w:after="120"/>
        <w:ind w:firstLine="540"/>
        <w:jc w:val="both"/>
      </w:pPr>
      <w:r>
        <w:rPr>
          <w:rFonts w:ascii="Arial" w:eastAsia="宋体" w:hAnsi="Arial" w:cs="Arial"/>
          <w:color w:val="000000"/>
          <w:sz w:val="20"/>
          <w:szCs w:val="20"/>
        </w:rPr>
        <w:t xml:space="preserve">The following table summarizes the allocation of net </w:t>
      </w:r>
      <w:r>
        <w:rPr>
          <w:rFonts w:ascii="Arial" w:eastAsia="宋体" w:hAnsi="Arial" w:cs="Arial"/>
          <w:color w:val="000000"/>
          <w:sz w:val="20"/>
          <w:szCs w:val="20"/>
        </w:rPr>
        <w:t>revenues based on geography for the 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38"/>
        <w:gridCol w:w="4833"/>
        <w:gridCol w:w="37"/>
        <w:gridCol w:w="121"/>
        <w:gridCol w:w="877"/>
        <w:gridCol w:w="36"/>
        <w:gridCol w:w="37"/>
        <w:gridCol w:w="88"/>
        <w:gridCol w:w="36"/>
        <w:gridCol w:w="121"/>
        <w:gridCol w:w="878"/>
        <w:gridCol w:w="36"/>
        <w:gridCol w:w="37"/>
        <w:gridCol w:w="88"/>
        <w:gridCol w:w="36"/>
        <w:gridCol w:w="121"/>
        <w:gridCol w:w="880"/>
        <w:gridCol w:w="36"/>
      </w:tblGrid>
      <w:tr w:rsidR="002661BA" w14:paraId="22CFBFED" w14:textId="77777777">
        <w:tc>
          <w:tcPr>
            <w:tcW w:w="50" w:type="pct"/>
            <w:shd w:val="clear" w:color="auto" w:fill="auto"/>
            <w:vAlign w:val="bottom"/>
          </w:tcPr>
          <w:p w14:paraId="22CFBFDB" w14:textId="77777777" w:rsidR="002661BA" w:rsidRDefault="002661BA">
            <w:pPr>
              <w:rPr>
                <w:rFonts w:ascii="宋体"/>
              </w:rPr>
            </w:pPr>
          </w:p>
        </w:tc>
        <w:tc>
          <w:tcPr>
            <w:tcW w:w="2978" w:type="pct"/>
            <w:shd w:val="clear" w:color="auto" w:fill="auto"/>
            <w:vAlign w:val="bottom"/>
          </w:tcPr>
          <w:p w14:paraId="22CFBFDC" w14:textId="77777777" w:rsidR="002661BA" w:rsidRDefault="002661BA">
            <w:pPr>
              <w:rPr>
                <w:rFonts w:ascii="宋体"/>
              </w:rPr>
            </w:pPr>
          </w:p>
        </w:tc>
        <w:tc>
          <w:tcPr>
            <w:tcW w:w="5" w:type="pct"/>
            <w:shd w:val="clear" w:color="auto" w:fill="auto"/>
            <w:vAlign w:val="bottom"/>
          </w:tcPr>
          <w:p w14:paraId="22CFBFDD" w14:textId="77777777" w:rsidR="002661BA" w:rsidRDefault="002661BA">
            <w:pPr>
              <w:rPr>
                <w:rFonts w:ascii="宋体"/>
              </w:rPr>
            </w:pPr>
          </w:p>
        </w:tc>
        <w:tc>
          <w:tcPr>
            <w:tcW w:w="50" w:type="pct"/>
            <w:shd w:val="clear" w:color="auto" w:fill="auto"/>
            <w:vAlign w:val="bottom"/>
          </w:tcPr>
          <w:p w14:paraId="22CFBFDE" w14:textId="77777777" w:rsidR="002661BA" w:rsidRDefault="002661BA">
            <w:pPr>
              <w:rPr>
                <w:rFonts w:ascii="宋体"/>
              </w:rPr>
            </w:pPr>
          </w:p>
        </w:tc>
        <w:tc>
          <w:tcPr>
            <w:tcW w:w="580" w:type="pct"/>
            <w:shd w:val="clear" w:color="auto" w:fill="auto"/>
            <w:vAlign w:val="bottom"/>
          </w:tcPr>
          <w:p w14:paraId="22CFBFDF" w14:textId="77777777" w:rsidR="002661BA" w:rsidRDefault="002661BA">
            <w:pPr>
              <w:rPr>
                <w:rFonts w:ascii="宋体"/>
              </w:rPr>
            </w:pPr>
          </w:p>
        </w:tc>
        <w:tc>
          <w:tcPr>
            <w:tcW w:w="5" w:type="pct"/>
            <w:shd w:val="clear" w:color="auto" w:fill="auto"/>
            <w:vAlign w:val="bottom"/>
          </w:tcPr>
          <w:p w14:paraId="22CFBFE0" w14:textId="77777777" w:rsidR="002661BA" w:rsidRDefault="002661BA">
            <w:pPr>
              <w:rPr>
                <w:rFonts w:ascii="宋体"/>
              </w:rPr>
            </w:pPr>
          </w:p>
        </w:tc>
        <w:tc>
          <w:tcPr>
            <w:tcW w:w="5" w:type="pct"/>
            <w:shd w:val="clear" w:color="auto" w:fill="auto"/>
            <w:vAlign w:val="bottom"/>
          </w:tcPr>
          <w:p w14:paraId="22CFBFE1" w14:textId="77777777" w:rsidR="002661BA" w:rsidRDefault="002661BA">
            <w:pPr>
              <w:rPr>
                <w:rFonts w:ascii="宋体"/>
              </w:rPr>
            </w:pPr>
          </w:p>
        </w:tc>
        <w:tc>
          <w:tcPr>
            <w:tcW w:w="19" w:type="pct"/>
            <w:shd w:val="clear" w:color="auto" w:fill="auto"/>
            <w:vAlign w:val="bottom"/>
          </w:tcPr>
          <w:p w14:paraId="22CFBFE2" w14:textId="77777777" w:rsidR="002661BA" w:rsidRDefault="002661BA">
            <w:pPr>
              <w:rPr>
                <w:rFonts w:ascii="宋体"/>
              </w:rPr>
            </w:pPr>
          </w:p>
        </w:tc>
        <w:tc>
          <w:tcPr>
            <w:tcW w:w="5" w:type="pct"/>
            <w:shd w:val="clear" w:color="auto" w:fill="auto"/>
            <w:vAlign w:val="bottom"/>
          </w:tcPr>
          <w:p w14:paraId="22CFBFE3" w14:textId="77777777" w:rsidR="002661BA" w:rsidRDefault="002661BA">
            <w:pPr>
              <w:rPr>
                <w:rFonts w:ascii="宋体"/>
              </w:rPr>
            </w:pPr>
          </w:p>
        </w:tc>
        <w:tc>
          <w:tcPr>
            <w:tcW w:w="50" w:type="pct"/>
            <w:shd w:val="clear" w:color="auto" w:fill="auto"/>
            <w:vAlign w:val="bottom"/>
          </w:tcPr>
          <w:p w14:paraId="22CFBFE4" w14:textId="77777777" w:rsidR="002661BA" w:rsidRDefault="002661BA">
            <w:pPr>
              <w:rPr>
                <w:rFonts w:ascii="宋体"/>
              </w:rPr>
            </w:pPr>
          </w:p>
        </w:tc>
        <w:tc>
          <w:tcPr>
            <w:tcW w:w="580" w:type="pct"/>
            <w:shd w:val="clear" w:color="auto" w:fill="auto"/>
            <w:vAlign w:val="bottom"/>
          </w:tcPr>
          <w:p w14:paraId="22CFBFE5" w14:textId="77777777" w:rsidR="002661BA" w:rsidRDefault="002661BA">
            <w:pPr>
              <w:rPr>
                <w:rFonts w:ascii="宋体"/>
              </w:rPr>
            </w:pPr>
          </w:p>
        </w:tc>
        <w:tc>
          <w:tcPr>
            <w:tcW w:w="5" w:type="pct"/>
            <w:shd w:val="clear" w:color="auto" w:fill="auto"/>
            <w:vAlign w:val="bottom"/>
          </w:tcPr>
          <w:p w14:paraId="22CFBFE6" w14:textId="77777777" w:rsidR="002661BA" w:rsidRDefault="002661BA">
            <w:pPr>
              <w:rPr>
                <w:rFonts w:ascii="宋体"/>
              </w:rPr>
            </w:pPr>
          </w:p>
        </w:tc>
        <w:tc>
          <w:tcPr>
            <w:tcW w:w="5" w:type="pct"/>
            <w:shd w:val="clear" w:color="auto" w:fill="auto"/>
            <w:vAlign w:val="bottom"/>
          </w:tcPr>
          <w:p w14:paraId="22CFBFE7" w14:textId="77777777" w:rsidR="002661BA" w:rsidRDefault="002661BA">
            <w:pPr>
              <w:rPr>
                <w:rFonts w:ascii="宋体"/>
              </w:rPr>
            </w:pPr>
          </w:p>
        </w:tc>
        <w:tc>
          <w:tcPr>
            <w:tcW w:w="19" w:type="pct"/>
            <w:shd w:val="clear" w:color="auto" w:fill="auto"/>
            <w:vAlign w:val="bottom"/>
          </w:tcPr>
          <w:p w14:paraId="22CFBFE8" w14:textId="77777777" w:rsidR="002661BA" w:rsidRDefault="002661BA">
            <w:pPr>
              <w:rPr>
                <w:rFonts w:ascii="宋体"/>
              </w:rPr>
            </w:pPr>
          </w:p>
        </w:tc>
        <w:tc>
          <w:tcPr>
            <w:tcW w:w="5" w:type="pct"/>
            <w:shd w:val="clear" w:color="auto" w:fill="auto"/>
            <w:vAlign w:val="bottom"/>
          </w:tcPr>
          <w:p w14:paraId="22CFBFE9" w14:textId="77777777" w:rsidR="002661BA" w:rsidRDefault="002661BA">
            <w:pPr>
              <w:rPr>
                <w:rFonts w:ascii="宋体"/>
              </w:rPr>
            </w:pPr>
          </w:p>
        </w:tc>
        <w:tc>
          <w:tcPr>
            <w:tcW w:w="50" w:type="pct"/>
            <w:shd w:val="clear" w:color="auto" w:fill="auto"/>
            <w:vAlign w:val="bottom"/>
          </w:tcPr>
          <w:p w14:paraId="22CFBFEA" w14:textId="77777777" w:rsidR="002661BA" w:rsidRDefault="002661BA">
            <w:pPr>
              <w:rPr>
                <w:rFonts w:ascii="宋体"/>
              </w:rPr>
            </w:pPr>
          </w:p>
        </w:tc>
        <w:tc>
          <w:tcPr>
            <w:tcW w:w="581" w:type="pct"/>
            <w:shd w:val="clear" w:color="auto" w:fill="auto"/>
            <w:vAlign w:val="bottom"/>
          </w:tcPr>
          <w:p w14:paraId="22CFBFEB" w14:textId="77777777" w:rsidR="002661BA" w:rsidRDefault="002661BA">
            <w:pPr>
              <w:rPr>
                <w:rFonts w:ascii="宋体"/>
              </w:rPr>
            </w:pPr>
          </w:p>
        </w:tc>
        <w:tc>
          <w:tcPr>
            <w:tcW w:w="5" w:type="pct"/>
            <w:shd w:val="clear" w:color="auto" w:fill="auto"/>
            <w:vAlign w:val="bottom"/>
          </w:tcPr>
          <w:p w14:paraId="22CFBFEC" w14:textId="77777777" w:rsidR="002661BA" w:rsidRDefault="002661BA">
            <w:pPr>
              <w:rPr>
                <w:rFonts w:ascii="宋体"/>
              </w:rPr>
            </w:pPr>
          </w:p>
        </w:tc>
      </w:tr>
      <w:tr w:rsidR="002661BA" w14:paraId="22CFBFF0" w14:textId="77777777">
        <w:tc>
          <w:tcPr>
            <w:tcW w:w="0" w:type="auto"/>
            <w:gridSpan w:val="3"/>
            <w:shd w:val="clear" w:color="auto" w:fill="auto"/>
            <w:tcMar>
              <w:top w:w="40" w:type="dxa"/>
              <w:left w:w="20" w:type="dxa"/>
              <w:bottom w:w="40" w:type="dxa"/>
              <w:right w:w="20" w:type="dxa"/>
            </w:tcMar>
            <w:vAlign w:val="bottom"/>
          </w:tcPr>
          <w:p w14:paraId="22CFBFEE" w14:textId="77777777" w:rsidR="002661BA" w:rsidRDefault="00D972BC">
            <w:pPr>
              <w:textAlignment w:val="bottom"/>
            </w:pPr>
            <w:r>
              <w:rPr>
                <w:rFonts w:ascii="Arial" w:eastAsia="宋体" w:hAnsi="Arial" w:cs="Arial"/>
                <w:color w:val="000000"/>
                <w:sz w:val="14"/>
                <w:szCs w:val="14"/>
              </w:rPr>
              <w:t> </w:t>
            </w:r>
          </w:p>
        </w:tc>
        <w:tc>
          <w:tcPr>
            <w:tcW w:w="0" w:type="auto"/>
            <w:gridSpan w:val="15"/>
            <w:shd w:val="clear" w:color="auto" w:fill="auto"/>
            <w:tcMar>
              <w:top w:w="40" w:type="dxa"/>
              <w:left w:w="20" w:type="dxa"/>
              <w:bottom w:w="40" w:type="dxa"/>
              <w:right w:w="20" w:type="dxa"/>
            </w:tcMar>
            <w:vAlign w:val="bottom"/>
          </w:tcPr>
          <w:p w14:paraId="22CFBFEF"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BFF7" w14:textId="77777777">
        <w:tc>
          <w:tcPr>
            <w:tcW w:w="0" w:type="auto"/>
            <w:gridSpan w:val="3"/>
            <w:shd w:val="clear" w:color="auto" w:fill="auto"/>
            <w:tcMar>
              <w:top w:w="40" w:type="dxa"/>
              <w:left w:w="20" w:type="dxa"/>
              <w:bottom w:w="40" w:type="dxa"/>
              <w:right w:w="20" w:type="dxa"/>
            </w:tcMar>
            <w:vAlign w:val="bottom"/>
          </w:tcPr>
          <w:p w14:paraId="22CFBFF1" w14:textId="77777777" w:rsidR="002661BA" w:rsidRDefault="00D972BC">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FF2"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FF3"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FF4"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FF5"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BFF6"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BFFE" w14:textId="77777777">
        <w:tc>
          <w:tcPr>
            <w:tcW w:w="0" w:type="auto"/>
            <w:gridSpan w:val="3"/>
            <w:shd w:val="clear" w:color="auto" w:fill="E2E2E2"/>
            <w:tcMar>
              <w:top w:w="40" w:type="dxa"/>
              <w:left w:w="20" w:type="dxa"/>
              <w:bottom w:w="40" w:type="dxa"/>
              <w:right w:w="20" w:type="dxa"/>
            </w:tcMar>
            <w:vAlign w:val="bottom"/>
          </w:tcPr>
          <w:p w14:paraId="22CFBFF8" w14:textId="77777777" w:rsidR="002661BA" w:rsidRDefault="00D972BC">
            <w:pPr>
              <w:textAlignment w:val="bottom"/>
            </w:pPr>
            <w:r>
              <w:rPr>
                <w:rFonts w:ascii="Arial" w:eastAsia="宋体" w:hAnsi="Arial" w:cs="Arial"/>
                <w:color w:val="000000"/>
                <w:sz w:val="18"/>
                <w:szCs w:val="18"/>
              </w:rPr>
              <w:t>Net revenues by geography:</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BFF9"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BFFA"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BFFB"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BFFC"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BFFD" w14:textId="77777777" w:rsidR="002661BA" w:rsidRDefault="002661BA">
            <w:pPr>
              <w:rPr>
                <w:rFonts w:ascii="宋体"/>
              </w:rPr>
            </w:pPr>
          </w:p>
        </w:tc>
      </w:tr>
      <w:tr w:rsidR="002661BA" w14:paraId="22CFC00B" w14:textId="77777777">
        <w:tc>
          <w:tcPr>
            <w:tcW w:w="0" w:type="auto"/>
            <w:gridSpan w:val="3"/>
            <w:shd w:val="clear" w:color="auto" w:fill="FFFFFF"/>
            <w:tcMar>
              <w:top w:w="40" w:type="dxa"/>
              <w:left w:w="155" w:type="dxa"/>
              <w:bottom w:w="40" w:type="dxa"/>
              <w:right w:w="20" w:type="dxa"/>
            </w:tcMar>
            <w:vAlign w:val="bottom"/>
          </w:tcPr>
          <w:p w14:paraId="22CFBFFF" w14:textId="77777777" w:rsidR="002661BA" w:rsidRDefault="00D972BC">
            <w:pPr>
              <w:textAlignment w:val="bottom"/>
            </w:pPr>
            <w:r>
              <w:rPr>
                <w:rFonts w:ascii="Arial" w:eastAsia="宋体" w:hAnsi="Arial" w:cs="Arial"/>
                <w:color w:val="000000"/>
                <w:sz w:val="18"/>
                <w:szCs w:val="18"/>
              </w:rPr>
              <w:t>U.S.</w:t>
            </w:r>
          </w:p>
        </w:tc>
        <w:tc>
          <w:tcPr>
            <w:tcW w:w="0" w:type="auto"/>
            <w:shd w:val="clear" w:color="auto" w:fill="FFFFFF"/>
            <w:tcMar>
              <w:top w:w="40" w:type="dxa"/>
              <w:left w:w="20" w:type="dxa"/>
              <w:bottom w:w="40" w:type="dxa"/>
              <w:right w:w="0" w:type="dxa"/>
            </w:tcMar>
            <w:vAlign w:val="bottom"/>
          </w:tcPr>
          <w:p w14:paraId="22CFC000"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001" w14:textId="77777777" w:rsidR="002661BA" w:rsidRDefault="00D972BC">
            <w:pPr>
              <w:jc w:val="right"/>
              <w:textAlignment w:val="bottom"/>
            </w:pPr>
            <w:r>
              <w:rPr>
                <w:rFonts w:ascii="Arial" w:eastAsia="宋体" w:hAnsi="Arial" w:cs="Arial"/>
                <w:color w:val="000000"/>
                <w:sz w:val="18"/>
                <w:szCs w:val="18"/>
              </w:rPr>
              <w:t>5,048 </w:t>
            </w:r>
          </w:p>
        </w:tc>
        <w:tc>
          <w:tcPr>
            <w:tcW w:w="0" w:type="auto"/>
            <w:shd w:val="clear" w:color="auto" w:fill="FFFFFF"/>
            <w:tcMar>
              <w:top w:w="40" w:type="dxa"/>
              <w:left w:w="0" w:type="dxa"/>
              <w:bottom w:w="40" w:type="dxa"/>
              <w:right w:w="20" w:type="dxa"/>
            </w:tcMar>
            <w:vAlign w:val="bottom"/>
          </w:tcPr>
          <w:p w14:paraId="22CFC002"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003"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FFFFFF"/>
            <w:tcMar>
              <w:top w:w="40" w:type="dxa"/>
              <w:left w:w="20" w:type="dxa"/>
              <w:bottom w:w="40" w:type="dxa"/>
              <w:right w:w="0" w:type="dxa"/>
            </w:tcMar>
            <w:vAlign w:val="bottom"/>
          </w:tcPr>
          <w:p w14:paraId="22CFC004"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005" w14:textId="77777777" w:rsidR="002661BA" w:rsidRDefault="00D972BC">
            <w:pPr>
              <w:jc w:val="right"/>
              <w:textAlignment w:val="bottom"/>
            </w:pPr>
            <w:r>
              <w:rPr>
                <w:rFonts w:ascii="Arial" w:eastAsia="宋体" w:hAnsi="Arial" w:cs="Arial"/>
                <w:color w:val="000000"/>
                <w:sz w:val="18"/>
                <w:szCs w:val="18"/>
              </w:rPr>
              <w:t>4,151 </w:t>
            </w:r>
          </w:p>
        </w:tc>
        <w:tc>
          <w:tcPr>
            <w:tcW w:w="0" w:type="auto"/>
            <w:shd w:val="clear" w:color="auto" w:fill="FFFFFF"/>
            <w:tcMar>
              <w:top w:w="40" w:type="dxa"/>
              <w:left w:w="0" w:type="dxa"/>
              <w:bottom w:w="40" w:type="dxa"/>
              <w:right w:w="20" w:type="dxa"/>
            </w:tcMar>
            <w:vAlign w:val="bottom"/>
          </w:tcPr>
          <w:p w14:paraId="22CFC006"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007"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FFFFFF"/>
            <w:tcMar>
              <w:top w:w="40" w:type="dxa"/>
              <w:left w:w="20" w:type="dxa"/>
              <w:bottom w:w="40" w:type="dxa"/>
              <w:right w:w="0" w:type="dxa"/>
            </w:tcMar>
            <w:vAlign w:val="bottom"/>
          </w:tcPr>
          <w:p w14:paraId="22CFC008"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009" w14:textId="77777777" w:rsidR="002661BA" w:rsidRDefault="00D972BC">
            <w:pPr>
              <w:jc w:val="right"/>
              <w:textAlignment w:val="bottom"/>
            </w:pPr>
            <w:r>
              <w:rPr>
                <w:rFonts w:ascii="Arial" w:eastAsia="宋体" w:hAnsi="Arial" w:cs="Arial"/>
                <w:color w:val="000000"/>
                <w:sz w:val="18"/>
                <w:szCs w:val="18"/>
              </w:rPr>
              <w:t>3,303 </w:t>
            </w:r>
          </w:p>
        </w:tc>
        <w:tc>
          <w:tcPr>
            <w:tcW w:w="0" w:type="auto"/>
            <w:shd w:val="clear" w:color="auto" w:fill="FFFFFF"/>
            <w:tcMar>
              <w:top w:w="40" w:type="dxa"/>
              <w:left w:w="0" w:type="dxa"/>
              <w:bottom w:w="40" w:type="dxa"/>
              <w:right w:w="20" w:type="dxa"/>
            </w:tcMar>
            <w:vAlign w:val="bottom"/>
          </w:tcPr>
          <w:p w14:paraId="22CFC00A" w14:textId="77777777" w:rsidR="002661BA" w:rsidRDefault="002661BA">
            <w:pPr>
              <w:jc w:val="right"/>
              <w:rPr>
                <w:rFonts w:ascii="宋体"/>
              </w:rPr>
            </w:pPr>
          </w:p>
        </w:tc>
      </w:tr>
      <w:tr w:rsidR="002661BA" w14:paraId="22CFC015" w14:textId="77777777">
        <w:tc>
          <w:tcPr>
            <w:tcW w:w="0" w:type="auto"/>
            <w:gridSpan w:val="3"/>
            <w:shd w:val="clear" w:color="auto" w:fill="E2E2E2"/>
            <w:tcMar>
              <w:top w:w="40" w:type="dxa"/>
              <w:left w:w="155" w:type="dxa"/>
              <w:bottom w:w="40" w:type="dxa"/>
              <w:right w:w="20" w:type="dxa"/>
            </w:tcMar>
            <w:vAlign w:val="bottom"/>
          </w:tcPr>
          <w:p w14:paraId="22CFC00C" w14:textId="77777777" w:rsidR="002661BA" w:rsidRDefault="00D972BC">
            <w:pPr>
              <w:textAlignment w:val="bottom"/>
            </w:pPr>
            <w:r>
              <w:rPr>
                <w:rFonts w:ascii="Arial" w:eastAsia="宋体" w:hAnsi="Arial" w:cs="Arial"/>
                <w:color w:val="000000"/>
                <w:sz w:val="18"/>
                <w:szCs w:val="18"/>
              </w:rPr>
              <w:t>United Kingdom</w:t>
            </w:r>
          </w:p>
        </w:tc>
        <w:tc>
          <w:tcPr>
            <w:tcW w:w="0" w:type="auto"/>
            <w:gridSpan w:val="2"/>
            <w:shd w:val="clear" w:color="auto" w:fill="E2E2E2"/>
            <w:tcMar>
              <w:top w:w="40" w:type="dxa"/>
              <w:left w:w="20" w:type="dxa"/>
              <w:bottom w:w="40" w:type="dxa"/>
              <w:right w:w="0" w:type="dxa"/>
            </w:tcMar>
            <w:vAlign w:val="bottom"/>
          </w:tcPr>
          <w:p w14:paraId="22CFC00D" w14:textId="77777777" w:rsidR="002661BA" w:rsidRDefault="00D972BC">
            <w:pPr>
              <w:jc w:val="right"/>
              <w:textAlignment w:val="bottom"/>
            </w:pPr>
            <w:r>
              <w:rPr>
                <w:rFonts w:ascii="Arial" w:eastAsia="宋体" w:hAnsi="Arial" w:cs="Arial"/>
                <w:color w:val="000000"/>
                <w:sz w:val="18"/>
                <w:szCs w:val="18"/>
              </w:rPr>
              <w:t>1,913 </w:t>
            </w:r>
          </w:p>
        </w:tc>
        <w:tc>
          <w:tcPr>
            <w:tcW w:w="0" w:type="auto"/>
            <w:shd w:val="clear" w:color="auto" w:fill="E2E2E2"/>
            <w:tcMar>
              <w:top w:w="40" w:type="dxa"/>
              <w:left w:w="0" w:type="dxa"/>
              <w:bottom w:w="40" w:type="dxa"/>
              <w:right w:w="20" w:type="dxa"/>
            </w:tcMar>
            <w:vAlign w:val="bottom"/>
          </w:tcPr>
          <w:p w14:paraId="22CFC00E"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00F"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C010" w14:textId="77777777" w:rsidR="002661BA" w:rsidRDefault="00D972BC">
            <w:pPr>
              <w:jc w:val="right"/>
              <w:textAlignment w:val="bottom"/>
            </w:pPr>
            <w:r>
              <w:rPr>
                <w:rFonts w:ascii="Arial" w:eastAsia="宋体" w:hAnsi="Arial" w:cs="Arial"/>
                <w:color w:val="000000"/>
                <w:sz w:val="18"/>
                <w:szCs w:val="18"/>
              </w:rPr>
              <w:t>1,678 </w:t>
            </w:r>
          </w:p>
        </w:tc>
        <w:tc>
          <w:tcPr>
            <w:tcW w:w="0" w:type="auto"/>
            <w:shd w:val="clear" w:color="auto" w:fill="E2E2E2"/>
            <w:tcMar>
              <w:top w:w="40" w:type="dxa"/>
              <w:left w:w="0" w:type="dxa"/>
              <w:bottom w:w="40" w:type="dxa"/>
              <w:right w:w="20" w:type="dxa"/>
            </w:tcMar>
            <w:vAlign w:val="bottom"/>
          </w:tcPr>
          <w:p w14:paraId="22CFC011"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012"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C013" w14:textId="77777777" w:rsidR="002661BA" w:rsidRDefault="00D972BC">
            <w:pPr>
              <w:jc w:val="right"/>
              <w:textAlignment w:val="bottom"/>
            </w:pPr>
            <w:r>
              <w:rPr>
                <w:rFonts w:ascii="Arial" w:eastAsia="宋体" w:hAnsi="Arial" w:cs="Arial"/>
                <w:color w:val="000000"/>
                <w:sz w:val="18"/>
                <w:szCs w:val="18"/>
              </w:rPr>
              <w:t>1,323 </w:t>
            </w:r>
          </w:p>
        </w:tc>
        <w:tc>
          <w:tcPr>
            <w:tcW w:w="0" w:type="auto"/>
            <w:shd w:val="clear" w:color="auto" w:fill="E2E2E2"/>
            <w:tcMar>
              <w:top w:w="40" w:type="dxa"/>
              <w:left w:w="0" w:type="dxa"/>
              <w:bottom w:w="40" w:type="dxa"/>
              <w:right w:w="20" w:type="dxa"/>
            </w:tcMar>
            <w:vAlign w:val="bottom"/>
          </w:tcPr>
          <w:p w14:paraId="22CFC014" w14:textId="77777777" w:rsidR="002661BA" w:rsidRDefault="002661BA">
            <w:pPr>
              <w:jc w:val="right"/>
              <w:rPr>
                <w:rFonts w:ascii="宋体"/>
              </w:rPr>
            </w:pPr>
          </w:p>
        </w:tc>
      </w:tr>
      <w:tr w:rsidR="002661BA" w14:paraId="22CFC01F" w14:textId="77777777">
        <w:tc>
          <w:tcPr>
            <w:tcW w:w="0" w:type="auto"/>
            <w:gridSpan w:val="3"/>
            <w:shd w:val="clear" w:color="auto" w:fill="FFFFFF"/>
            <w:tcMar>
              <w:top w:w="40" w:type="dxa"/>
              <w:left w:w="155" w:type="dxa"/>
              <w:bottom w:w="40" w:type="dxa"/>
              <w:right w:w="20" w:type="dxa"/>
            </w:tcMar>
            <w:vAlign w:val="bottom"/>
          </w:tcPr>
          <w:p w14:paraId="22CFC016" w14:textId="77777777" w:rsidR="002661BA" w:rsidRDefault="00D972BC">
            <w:pPr>
              <w:textAlignment w:val="bottom"/>
            </w:pPr>
            <w:r>
              <w:rPr>
                <w:rFonts w:ascii="Arial" w:eastAsia="宋体" w:hAnsi="Arial" w:cs="Arial"/>
                <w:color w:val="000000"/>
                <w:sz w:val="18"/>
                <w:szCs w:val="18"/>
              </w:rPr>
              <w:t>Germany</w:t>
            </w:r>
          </w:p>
        </w:tc>
        <w:tc>
          <w:tcPr>
            <w:tcW w:w="0" w:type="auto"/>
            <w:gridSpan w:val="2"/>
            <w:shd w:val="clear" w:color="auto" w:fill="FFFFFF"/>
            <w:tcMar>
              <w:top w:w="40" w:type="dxa"/>
              <w:left w:w="20" w:type="dxa"/>
              <w:bottom w:w="40" w:type="dxa"/>
              <w:right w:w="0" w:type="dxa"/>
            </w:tcMar>
            <w:vAlign w:val="bottom"/>
          </w:tcPr>
          <w:p w14:paraId="22CFC017" w14:textId="77777777" w:rsidR="002661BA" w:rsidRDefault="00D972BC">
            <w:pPr>
              <w:jc w:val="right"/>
              <w:textAlignment w:val="bottom"/>
            </w:pPr>
            <w:r>
              <w:rPr>
                <w:rFonts w:ascii="Arial" w:eastAsia="宋体" w:hAnsi="Arial" w:cs="Arial"/>
                <w:color w:val="000000"/>
                <w:sz w:val="18"/>
                <w:szCs w:val="18"/>
              </w:rPr>
              <w:t>1,249 </w:t>
            </w:r>
          </w:p>
        </w:tc>
        <w:tc>
          <w:tcPr>
            <w:tcW w:w="0" w:type="auto"/>
            <w:shd w:val="clear" w:color="auto" w:fill="FFFFFF"/>
            <w:tcMar>
              <w:top w:w="40" w:type="dxa"/>
              <w:left w:w="0" w:type="dxa"/>
              <w:bottom w:w="40" w:type="dxa"/>
              <w:right w:w="20" w:type="dxa"/>
            </w:tcMar>
            <w:vAlign w:val="bottom"/>
          </w:tcPr>
          <w:p w14:paraId="22CFC018"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019"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C01A" w14:textId="77777777" w:rsidR="002661BA" w:rsidRDefault="00D972BC">
            <w:pPr>
              <w:jc w:val="right"/>
              <w:textAlignment w:val="bottom"/>
            </w:pPr>
            <w:r>
              <w:rPr>
                <w:rFonts w:ascii="Arial" w:eastAsia="宋体" w:hAnsi="Arial" w:cs="Arial"/>
                <w:color w:val="000000"/>
                <w:sz w:val="18"/>
                <w:szCs w:val="18"/>
              </w:rPr>
              <w:t>1,106 </w:t>
            </w:r>
          </w:p>
        </w:tc>
        <w:tc>
          <w:tcPr>
            <w:tcW w:w="0" w:type="auto"/>
            <w:shd w:val="clear" w:color="auto" w:fill="FFFFFF"/>
            <w:tcMar>
              <w:top w:w="40" w:type="dxa"/>
              <w:left w:w="0" w:type="dxa"/>
              <w:bottom w:w="40" w:type="dxa"/>
              <w:right w:w="20" w:type="dxa"/>
            </w:tcMar>
            <w:vAlign w:val="bottom"/>
          </w:tcPr>
          <w:p w14:paraId="22CFC01B"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01C"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C01D" w14:textId="77777777" w:rsidR="002661BA" w:rsidRDefault="00D972BC">
            <w:pPr>
              <w:jc w:val="right"/>
              <w:textAlignment w:val="bottom"/>
            </w:pPr>
            <w:r>
              <w:rPr>
                <w:rFonts w:ascii="Arial" w:eastAsia="宋体" w:hAnsi="Arial" w:cs="Arial"/>
                <w:color w:val="000000"/>
                <w:sz w:val="18"/>
                <w:szCs w:val="18"/>
              </w:rPr>
              <w:t>1,034 </w:t>
            </w:r>
          </w:p>
        </w:tc>
        <w:tc>
          <w:tcPr>
            <w:tcW w:w="0" w:type="auto"/>
            <w:shd w:val="clear" w:color="auto" w:fill="FFFFFF"/>
            <w:tcMar>
              <w:top w:w="40" w:type="dxa"/>
              <w:left w:w="0" w:type="dxa"/>
              <w:bottom w:w="40" w:type="dxa"/>
              <w:right w:w="20" w:type="dxa"/>
            </w:tcMar>
            <w:vAlign w:val="bottom"/>
          </w:tcPr>
          <w:p w14:paraId="22CFC01E" w14:textId="77777777" w:rsidR="002661BA" w:rsidRDefault="002661BA">
            <w:pPr>
              <w:jc w:val="right"/>
              <w:rPr>
                <w:rFonts w:ascii="宋体"/>
              </w:rPr>
            </w:pPr>
          </w:p>
        </w:tc>
      </w:tr>
      <w:tr w:rsidR="002661BA" w14:paraId="22CFC029" w14:textId="77777777">
        <w:tc>
          <w:tcPr>
            <w:tcW w:w="0" w:type="auto"/>
            <w:gridSpan w:val="3"/>
            <w:shd w:val="clear" w:color="auto" w:fill="E2E2E2"/>
            <w:tcMar>
              <w:top w:w="40" w:type="dxa"/>
              <w:left w:w="155" w:type="dxa"/>
              <w:bottom w:w="40" w:type="dxa"/>
              <w:right w:w="20" w:type="dxa"/>
            </w:tcMar>
            <w:vAlign w:val="bottom"/>
          </w:tcPr>
          <w:p w14:paraId="22CFC020" w14:textId="77777777" w:rsidR="002661BA" w:rsidRDefault="00D972BC">
            <w:pPr>
              <w:textAlignment w:val="bottom"/>
            </w:pPr>
            <w:r>
              <w:rPr>
                <w:rFonts w:ascii="Arial" w:eastAsia="宋体" w:hAnsi="Arial" w:cs="Arial"/>
                <w:color w:val="000000"/>
                <w:sz w:val="18"/>
                <w:szCs w:val="18"/>
              </w:rPr>
              <w:t>Rest of world</w:t>
            </w:r>
          </w:p>
        </w:tc>
        <w:tc>
          <w:tcPr>
            <w:tcW w:w="0" w:type="auto"/>
            <w:gridSpan w:val="2"/>
            <w:shd w:val="clear" w:color="auto" w:fill="E2E2E2"/>
            <w:tcMar>
              <w:top w:w="40" w:type="dxa"/>
              <w:left w:w="20" w:type="dxa"/>
              <w:bottom w:w="40" w:type="dxa"/>
              <w:right w:w="0" w:type="dxa"/>
            </w:tcMar>
            <w:vAlign w:val="bottom"/>
          </w:tcPr>
          <w:p w14:paraId="22CFC021" w14:textId="77777777" w:rsidR="002661BA" w:rsidRDefault="00D972BC">
            <w:pPr>
              <w:jc w:val="right"/>
              <w:textAlignment w:val="bottom"/>
            </w:pPr>
            <w:r>
              <w:rPr>
                <w:rFonts w:ascii="Arial" w:eastAsia="宋体" w:hAnsi="Arial" w:cs="Arial"/>
                <w:color w:val="000000"/>
                <w:sz w:val="18"/>
                <w:szCs w:val="18"/>
              </w:rPr>
              <w:t>2,210 </w:t>
            </w:r>
          </w:p>
        </w:tc>
        <w:tc>
          <w:tcPr>
            <w:tcW w:w="0" w:type="auto"/>
            <w:shd w:val="clear" w:color="auto" w:fill="E2E2E2"/>
            <w:tcMar>
              <w:top w:w="40" w:type="dxa"/>
              <w:left w:w="0" w:type="dxa"/>
              <w:bottom w:w="40" w:type="dxa"/>
              <w:right w:w="20" w:type="dxa"/>
            </w:tcMar>
            <w:vAlign w:val="bottom"/>
          </w:tcPr>
          <w:p w14:paraId="22CFC022"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023"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C024" w14:textId="77777777" w:rsidR="002661BA" w:rsidRDefault="00D972BC">
            <w:pPr>
              <w:jc w:val="right"/>
              <w:textAlignment w:val="bottom"/>
            </w:pPr>
            <w:r>
              <w:rPr>
                <w:rFonts w:ascii="Arial" w:eastAsia="宋体" w:hAnsi="Arial" w:cs="Arial"/>
                <w:color w:val="000000"/>
                <w:sz w:val="18"/>
                <w:szCs w:val="18"/>
              </w:rPr>
              <w:t>1,959 </w:t>
            </w:r>
          </w:p>
        </w:tc>
        <w:tc>
          <w:tcPr>
            <w:tcW w:w="0" w:type="auto"/>
            <w:shd w:val="clear" w:color="auto" w:fill="E2E2E2"/>
            <w:tcMar>
              <w:top w:w="40" w:type="dxa"/>
              <w:left w:w="0" w:type="dxa"/>
              <w:bottom w:w="40" w:type="dxa"/>
              <w:right w:w="20" w:type="dxa"/>
            </w:tcMar>
            <w:vAlign w:val="bottom"/>
          </w:tcPr>
          <w:p w14:paraId="22CFC025"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026"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C027" w14:textId="77777777" w:rsidR="002661BA" w:rsidRDefault="00D972BC">
            <w:pPr>
              <w:jc w:val="right"/>
              <w:textAlignment w:val="bottom"/>
            </w:pPr>
            <w:r>
              <w:rPr>
                <w:rFonts w:ascii="Arial" w:eastAsia="宋体" w:hAnsi="Arial" w:cs="Arial"/>
                <w:color w:val="000000"/>
                <w:sz w:val="18"/>
                <w:szCs w:val="18"/>
              </w:rPr>
              <w:t>1,769 </w:t>
            </w:r>
          </w:p>
        </w:tc>
        <w:tc>
          <w:tcPr>
            <w:tcW w:w="0" w:type="auto"/>
            <w:shd w:val="clear" w:color="auto" w:fill="E2E2E2"/>
            <w:tcMar>
              <w:top w:w="40" w:type="dxa"/>
              <w:left w:w="0" w:type="dxa"/>
              <w:bottom w:w="40" w:type="dxa"/>
              <w:right w:w="20" w:type="dxa"/>
            </w:tcMar>
            <w:vAlign w:val="bottom"/>
          </w:tcPr>
          <w:p w14:paraId="22CFC028" w14:textId="77777777" w:rsidR="002661BA" w:rsidRDefault="002661BA">
            <w:pPr>
              <w:jc w:val="right"/>
              <w:rPr>
                <w:rFonts w:ascii="宋体"/>
              </w:rPr>
            </w:pPr>
          </w:p>
        </w:tc>
      </w:tr>
      <w:tr w:rsidR="002661BA" w14:paraId="22CFC036" w14:textId="77777777">
        <w:tc>
          <w:tcPr>
            <w:tcW w:w="0" w:type="auto"/>
            <w:gridSpan w:val="3"/>
            <w:shd w:val="clear" w:color="auto" w:fill="FFFFFF"/>
            <w:tcMar>
              <w:top w:w="40" w:type="dxa"/>
              <w:left w:w="605" w:type="dxa"/>
              <w:bottom w:w="40" w:type="dxa"/>
              <w:right w:w="20" w:type="dxa"/>
            </w:tcMar>
            <w:vAlign w:val="bottom"/>
          </w:tcPr>
          <w:p w14:paraId="22CFC02A" w14:textId="77777777" w:rsidR="002661BA" w:rsidRDefault="00D972BC">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02B"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02C" w14:textId="77777777" w:rsidR="002661BA" w:rsidRDefault="00D972BC">
            <w:pPr>
              <w:jc w:val="right"/>
              <w:textAlignment w:val="bottom"/>
            </w:pPr>
            <w:r>
              <w:rPr>
                <w:rFonts w:ascii="Arial" w:eastAsia="宋体" w:hAnsi="Arial" w:cs="Arial"/>
                <w:color w:val="000000"/>
                <w:sz w:val="18"/>
                <w:szCs w:val="18"/>
              </w:rPr>
              <w:t>10,420 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02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02E"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02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030" w14:textId="77777777" w:rsidR="002661BA" w:rsidRDefault="00D972BC">
            <w:pPr>
              <w:jc w:val="right"/>
              <w:textAlignment w:val="bottom"/>
            </w:pPr>
            <w:r>
              <w:rPr>
                <w:rFonts w:ascii="Arial" w:eastAsia="宋体" w:hAnsi="Arial" w:cs="Arial"/>
                <w:color w:val="000000"/>
                <w:sz w:val="18"/>
                <w:szCs w:val="18"/>
              </w:rPr>
              <w:t>8,894 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03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032"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03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034" w14:textId="77777777" w:rsidR="002661BA" w:rsidRDefault="00D972BC">
            <w:pPr>
              <w:jc w:val="right"/>
              <w:textAlignment w:val="bottom"/>
            </w:pPr>
            <w:r>
              <w:rPr>
                <w:rFonts w:ascii="Arial" w:eastAsia="宋体" w:hAnsi="Arial" w:cs="Arial"/>
                <w:color w:val="000000"/>
                <w:sz w:val="18"/>
                <w:szCs w:val="18"/>
              </w:rPr>
              <w:t>7,429 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035" w14:textId="77777777" w:rsidR="002661BA" w:rsidRDefault="002661BA">
            <w:pPr>
              <w:jc w:val="right"/>
              <w:rPr>
                <w:rFonts w:ascii="宋体"/>
              </w:rPr>
            </w:pPr>
          </w:p>
        </w:tc>
      </w:tr>
    </w:tbl>
    <w:p w14:paraId="22CFC037" w14:textId="77777777" w:rsidR="002661BA" w:rsidRDefault="002661BA">
      <w:pPr>
        <w:spacing w:after="120"/>
        <w:ind w:firstLine="540"/>
        <w:jc w:val="both"/>
      </w:pPr>
    </w:p>
    <w:p w14:paraId="22CFC038" w14:textId="77777777" w:rsidR="002661BA" w:rsidRDefault="00D972BC">
      <w:pPr>
        <w:ind w:firstLine="540"/>
        <w:jc w:val="both"/>
      </w:pPr>
      <w:r>
        <w:rPr>
          <w:rFonts w:ascii="Arial" w:eastAsia="宋体" w:hAnsi="Arial" w:cs="Arial"/>
          <w:color w:val="000000"/>
          <w:sz w:val="20"/>
          <w:szCs w:val="20"/>
        </w:rPr>
        <w:t>Net revenues, inclusive of the effects of foreign exchange during each period, are attributed to U.S. and international geographies primarily based upon the country in which the seller, platform t</w:t>
      </w:r>
      <w:r>
        <w:rPr>
          <w:rFonts w:ascii="Arial" w:eastAsia="宋体" w:hAnsi="Arial" w:cs="Arial"/>
          <w:color w:val="000000"/>
          <w:sz w:val="20"/>
          <w:szCs w:val="20"/>
        </w:rPr>
        <w:t>hat displays advertising, other service provider, or customer, as the case may be, is located. Long-lived assets attributed to the U.S. and international geographies are based upon the country in which the asset is located or owned.</w:t>
      </w:r>
    </w:p>
    <w:p w14:paraId="22CFC039" w14:textId="77777777" w:rsidR="002661BA" w:rsidRDefault="002661BA">
      <w:pPr>
        <w:ind w:firstLine="540"/>
        <w:jc w:val="both"/>
      </w:pPr>
    </w:p>
    <w:p w14:paraId="22CFC03A" w14:textId="77777777" w:rsidR="002661BA" w:rsidRDefault="00D972BC">
      <w:pPr>
        <w:spacing w:after="120"/>
        <w:ind w:firstLine="540"/>
        <w:jc w:val="both"/>
      </w:pPr>
      <w:r>
        <w:rPr>
          <w:rFonts w:ascii="Arial" w:eastAsia="宋体" w:hAnsi="Arial" w:cs="Arial"/>
          <w:color w:val="000000"/>
          <w:sz w:val="20"/>
          <w:szCs w:val="20"/>
        </w:rPr>
        <w:t xml:space="preserve">The following </w:t>
      </w:r>
      <w:r>
        <w:rPr>
          <w:rFonts w:ascii="Arial" w:eastAsia="宋体" w:hAnsi="Arial" w:cs="Arial"/>
          <w:color w:val="000000"/>
          <w:sz w:val="20"/>
          <w:szCs w:val="20"/>
        </w:rPr>
        <w:t>table summarizes the allocation of long-lived tangible assets based on geography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6009"/>
        <w:gridCol w:w="38"/>
        <w:gridCol w:w="121"/>
        <w:gridCol w:w="913"/>
        <w:gridCol w:w="36"/>
        <w:gridCol w:w="36"/>
        <w:gridCol w:w="36"/>
        <w:gridCol w:w="36"/>
        <w:gridCol w:w="121"/>
        <w:gridCol w:w="915"/>
        <w:gridCol w:w="36"/>
      </w:tblGrid>
      <w:tr w:rsidR="002661BA" w14:paraId="22CFC047" w14:textId="77777777">
        <w:tc>
          <w:tcPr>
            <w:tcW w:w="50" w:type="pct"/>
            <w:shd w:val="clear" w:color="auto" w:fill="auto"/>
            <w:vAlign w:val="bottom"/>
          </w:tcPr>
          <w:p w14:paraId="22CFC03B" w14:textId="77777777" w:rsidR="002661BA" w:rsidRDefault="002661BA">
            <w:pPr>
              <w:rPr>
                <w:rFonts w:ascii="宋体"/>
              </w:rPr>
            </w:pPr>
          </w:p>
        </w:tc>
        <w:tc>
          <w:tcPr>
            <w:tcW w:w="3643" w:type="pct"/>
            <w:shd w:val="clear" w:color="auto" w:fill="auto"/>
            <w:vAlign w:val="bottom"/>
          </w:tcPr>
          <w:p w14:paraId="22CFC03C" w14:textId="77777777" w:rsidR="002661BA" w:rsidRDefault="002661BA">
            <w:pPr>
              <w:rPr>
                <w:rFonts w:ascii="宋体"/>
              </w:rPr>
            </w:pPr>
          </w:p>
        </w:tc>
        <w:tc>
          <w:tcPr>
            <w:tcW w:w="5" w:type="pct"/>
            <w:shd w:val="clear" w:color="auto" w:fill="auto"/>
            <w:vAlign w:val="bottom"/>
          </w:tcPr>
          <w:p w14:paraId="22CFC03D" w14:textId="77777777" w:rsidR="002661BA" w:rsidRDefault="002661BA">
            <w:pPr>
              <w:rPr>
                <w:rFonts w:ascii="宋体"/>
              </w:rPr>
            </w:pPr>
          </w:p>
        </w:tc>
        <w:tc>
          <w:tcPr>
            <w:tcW w:w="50" w:type="pct"/>
            <w:shd w:val="clear" w:color="auto" w:fill="auto"/>
            <w:vAlign w:val="bottom"/>
          </w:tcPr>
          <w:p w14:paraId="22CFC03E" w14:textId="77777777" w:rsidR="002661BA" w:rsidRDefault="002661BA">
            <w:pPr>
              <w:rPr>
                <w:rFonts w:ascii="宋体"/>
              </w:rPr>
            </w:pPr>
          </w:p>
        </w:tc>
        <w:tc>
          <w:tcPr>
            <w:tcW w:w="580" w:type="pct"/>
            <w:shd w:val="clear" w:color="auto" w:fill="auto"/>
            <w:vAlign w:val="bottom"/>
          </w:tcPr>
          <w:p w14:paraId="22CFC03F" w14:textId="77777777" w:rsidR="002661BA" w:rsidRDefault="002661BA">
            <w:pPr>
              <w:rPr>
                <w:rFonts w:ascii="宋体"/>
              </w:rPr>
            </w:pPr>
          </w:p>
        </w:tc>
        <w:tc>
          <w:tcPr>
            <w:tcW w:w="5" w:type="pct"/>
            <w:shd w:val="clear" w:color="auto" w:fill="auto"/>
            <w:vAlign w:val="bottom"/>
          </w:tcPr>
          <w:p w14:paraId="22CFC040" w14:textId="77777777" w:rsidR="002661BA" w:rsidRDefault="002661BA">
            <w:pPr>
              <w:rPr>
                <w:rFonts w:ascii="宋体"/>
              </w:rPr>
            </w:pPr>
          </w:p>
        </w:tc>
        <w:tc>
          <w:tcPr>
            <w:tcW w:w="5" w:type="pct"/>
            <w:shd w:val="clear" w:color="auto" w:fill="auto"/>
            <w:vAlign w:val="bottom"/>
          </w:tcPr>
          <w:p w14:paraId="22CFC041" w14:textId="77777777" w:rsidR="002661BA" w:rsidRDefault="002661BA">
            <w:pPr>
              <w:rPr>
                <w:rFonts w:ascii="宋体"/>
              </w:rPr>
            </w:pPr>
          </w:p>
        </w:tc>
        <w:tc>
          <w:tcPr>
            <w:tcW w:w="19" w:type="pct"/>
            <w:shd w:val="clear" w:color="auto" w:fill="auto"/>
            <w:vAlign w:val="bottom"/>
          </w:tcPr>
          <w:p w14:paraId="22CFC042" w14:textId="77777777" w:rsidR="002661BA" w:rsidRDefault="002661BA">
            <w:pPr>
              <w:rPr>
                <w:rFonts w:ascii="宋体"/>
              </w:rPr>
            </w:pPr>
          </w:p>
        </w:tc>
        <w:tc>
          <w:tcPr>
            <w:tcW w:w="5" w:type="pct"/>
            <w:shd w:val="clear" w:color="auto" w:fill="auto"/>
            <w:vAlign w:val="bottom"/>
          </w:tcPr>
          <w:p w14:paraId="22CFC043" w14:textId="77777777" w:rsidR="002661BA" w:rsidRDefault="002661BA">
            <w:pPr>
              <w:rPr>
                <w:rFonts w:ascii="宋体"/>
              </w:rPr>
            </w:pPr>
          </w:p>
        </w:tc>
        <w:tc>
          <w:tcPr>
            <w:tcW w:w="50" w:type="pct"/>
            <w:shd w:val="clear" w:color="auto" w:fill="auto"/>
            <w:vAlign w:val="bottom"/>
          </w:tcPr>
          <w:p w14:paraId="22CFC044" w14:textId="77777777" w:rsidR="002661BA" w:rsidRDefault="002661BA">
            <w:pPr>
              <w:rPr>
                <w:rFonts w:ascii="宋体"/>
              </w:rPr>
            </w:pPr>
          </w:p>
        </w:tc>
        <w:tc>
          <w:tcPr>
            <w:tcW w:w="581" w:type="pct"/>
            <w:shd w:val="clear" w:color="auto" w:fill="auto"/>
            <w:vAlign w:val="bottom"/>
          </w:tcPr>
          <w:p w14:paraId="22CFC045" w14:textId="77777777" w:rsidR="002661BA" w:rsidRDefault="002661BA">
            <w:pPr>
              <w:rPr>
                <w:rFonts w:ascii="宋体"/>
              </w:rPr>
            </w:pPr>
          </w:p>
        </w:tc>
        <w:tc>
          <w:tcPr>
            <w:tcW w:w="5" w:type="pct"/>
            <w:shd w:val="clear" w:color="auto" w:fill="auto"/>
            <w:vAlign w:val="bottom"/>
          </w:tcPr>
          <w:p w14:paraId="22CFC046" w14:textId="77777777" w:rsidR="002661BA" w:rsidRDefault="002661BA">
            <w:pPr>
              <w:rPr>
                <w:rFonts w:ascii="宋体"/>
              </w:rPr>
            </w:pPr>
          </w:p>
        </w:tc>
      </w:tr>
      <w:tr w:rsidR="002661BA" w14:paraId="22CFC04A" w14:textId="77777777">
        <w:tc>
          <w:tcPr>
            <w:tcW w:w="0" w:type="auto"/>
            <w:gridSpan w:val="3"/>
            <w:shd w:val="clear" w:color="auto" w:fill="auto"/>
            <w:tcMar>
              <w:top w:w="0" w:type="dxa"/>
              <w:left w:w="20" w:type="dxa"/>
              <w:bottom w:w="0" w:type="dxa"/>
              <w:right w:w="20" w:type="dxa"/>
            </w:tcMar>
            <w:vAlign w:val="bottom"/>
          </w:tcPr>
          <w:p w14:paraId="22CFC048"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C049" w14:textId="77777777" w:rsidR="002661BA" w:rsidRDefault="00D972BC">
            <w:pPr>
              <w:jc w:val="center"/>
              <w:textAlignment w:val="bottom"/>
            </w:pPr>
            <w:r>
              <w:rPr>
                <w:rFonts w:ascii="Arial" w:eastAsia="宋体" w:hAnsi="Arial" w:cs="Arial"/>
                <w:b/>
                <w:bCs/>
                <w:color w:val="000000"/>
                <w:sz w:val="17"/>
                <w:szCs w:val="17"/>
              </w:rPr>
              <w:t>December 31,</w:t>
            </w:r>
          </w:p>
        </w:tc>
      </w:tr>
      <w:tr w:rsidR="002661BA" w14:paraId="22CFC04F" w14:textId="77777777">
        <w:tc>
          <w:tcPr>
            <w:tcW w:w="0" w:type="auto"/>
            <w:gridSpan w:val="3"/>
            <w:shd w:val="clear" w:color="auto" w:fill="auto"/>
            <w:tcMar>
              <w:top w:w="0" w:type="dxa"/>
              <w:left w:w="20" w:type="dxa"/>
              <w:bottom w:w="0" w:type="dxa"/>
              <w:right w:w="20" w:type="dxa"/>
            </w:tcMar>
            <w:vAlign w:val="bottom"/>
          </w:tcPr>
          <w:p w14:paraId="22CFC04B"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04C"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04D"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04E" w14:textId="77777777" w:rsidR="002661BA" w:rsidRDefault="00D972BC">
            <w:pPr>
              <w:jc w:val="center"/>
              <w:textAlignment w:val="bottom"/>
            </w:pPr>
            <w:r>
              <w:rPr>
                <w:rFonts w:ascii="Arial" w:eastAsia="宋体" w:hAnsi="Arial" w:cs="Arial"/>
                <w:b/>
                <w:bCs/>
                <w:color w:val="000000"/>
                <w:sz w:val="17"/>
                <w:szCs w:val="17"/>
              </w:rPr>
              <w:t>2020</w:t>
            </w:r>
          </w:p>
        </w:tc>
      </w:tr>
      <w:tr w:rsidR="002661BA" w14:paraId="22CFC054" w14:textId="77777777">
        <w:tc>
          <w:tcPr>
            <w:tcW w:w="0" w:type="auto"/>
            <w:gridSpan w:val="3"/>
            <w:shd w:val="clear" w:color="auto" w:fill="DBDBDB"/>
            <w:tcMar>
              <w:top w:w="40" w:type="dxa"/>
              <w:left w:w="20" w:type="dxa"/>
              <w:bottom w:w="40" w:type="dxa"/>
              <w:right w:w="20" w:type="dxa"/>
            </w:tcMar>
            <w:vAlign w:val="bottom"/>
          </w:tcPr>
          <w:p w14:paraId="22CFC050" w14:textId="77777777" w:rsidR="002661BA" w:rsidRDefault="00D972BC">
            <w:pPr>
              <w:textAlignment w:val="bottom"/>
            </w:pPr>
            <w:r>
              <w:rPr>
                <w:rFonts w:ascii="Arial" w:eastAsia="宋体" w:hAnsi="Arial" w:cs="Arial"/>
                <w:color w:val="000000"/>
                <w:sz w:val="18"/>
                <w:szCs w:val="18"/>
              </w:rPr>
              <w:t>Long-lived tangible assets by geography:</w:t>
            </w: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22CFC051"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052" w14:textId="77777777" w:rsidR="002661BA" w:rsidRDefault="002661BA">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22CFC053" w14:textId="77777777" w:rsidR="002661BA" w:rsidRDefault="002661BA">
            <w:pPr>
              <w:rPr>
                <w:rFonts w:ascii="宋体"/>
              </w:rPr>
            </w:pPr>
          </w:p>
        </w:tc>
      </w:tr>
      <w:tr w:rsidR="002661BA" w14:paraId="22CFC05D" w14:textId="77777777">
        <w:tc>
          <w:tcPr>
            <w:tcW w:w="0" w:type="auto"/>
            <w:gridSpan w:val="3"/>
            <w:shd w:val="clear" w:color="auto" w:fill="FFFFFF"/>
            <w:tcMar>
              <w:top w:w="40" w:type="dxa"/>
              <w:left w:w="140" w:type="dxa"/>
              <w:bottom w:w="40" w:type="dxa"/>
              <w:right w:w="20" w:type="dxa"/>
            </w:tcMar>
            <w:vAlign w:val="bottom"/>
          </w:tcPr>
          <w:p w14:paraId="22CFC055" w14:textId="77777777" w:rsidR="002661BA" w:rsidRDefault="00D972BC">
            <w:pPr>
              <w:textAlignment w:val="bottom"/>
            </w:pPr>
            <w:r>
              <w:rPr>
                <w:rFonts w:ascii="Arial" w:eastAsia="宋体" w:hAnsi="Arial" w:cs="Arial"/>
                <w:color w:val="000000"/>
                <w:sz w:val="18"/>
                <w:szCs w:val="18"/>
              </w:rPr>
              <w:t>U.S.</w:t>
            </w:r>
          </w:p>
        </w:tc>
        <w:tc>
          <w:tcPr>
            <w:tcW w:w="0" w:type="auto"/>
            <w:shd w:val="clear" w:color="auto" w:fill="FFFFFF"/>
            <w:tcMar>
              <w:top w:w="40" w:type="dxa"/>
              <w:left w:w="20" w:type="dxa"/>
              <w:bottom w:w="40" w:type="dxa"/>
              <w:right w:w="0" w:type="dxa"/>
            </w:tcMar>
            <w:vAlign w:val="bottom"/>
          </w:tcPr>
          <w:p w14:paraId="22CFC05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057" w14:textId="77777777" w:rsidR="002661BA" w:rsidRDefault="00D972BC">
            <w:pPr>
              <w:jc w:val="right"/>
              <w:textAlignment w:val="bottom"/>
            </w:pPr>
            <w:r>
              <w:rPr>
                <w:rFonts w:ascii="Arial" w:eastAsia="宋体" w:hAnsi="Arial" w:cs="Arial"/>
                <w:color w:val="000000"/>
                <w:sz w:val="18"/>
                <w:szCs w:val="18"/>
              </w:rPr>
              <w:t>1,400 </w:t>
            </w:r>
          </w:p>
        </w:tc>
        <w:tc>
          <w:tcPr>
            <w:tcW w:w="0" w:type="auto"/>
            <w:shd w:val="clear" w:color="auto" w:fill="FFFFFF"/>
            <w:tcMar>
              <w:top w:w="40" w:type="dxa"/>
              <w:left w:w="0" w:type="dxa"/>
              <w:bottom w:w="40" w:type="dxa"/>
              <w:right w:w="20" w:type="dxa"/>
            </w:tcMar>
            <w:vAlign w:val="bottom"/>
          </w:tcPr>
          <w:p w14:paraId="22CFC05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059"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C05A"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05B" w14:textId="77777777" w:rsidR="002661BA" w:rsidRDefault="00D972BC">
            <w:pPr>
              <w:jc w:val="right"/>
              <w:textAlignment w:val="bottom"/>
            </w:pPr>
            <w:r>
              <w:rPr>
                <w:rFonts w:ascii="Arial" w:eastAsia="宋体" w:hAnsi="Arial" w:cs="Arial"/>
                <w:color w:val="000000"/>
                <w:sz w:val="18"/>
                <w:szCs w:val="18"/>
              </w:rPr>
              <w:t>1,575 </w:t>
            </w:r>
          </w:p>
        </w:tc>
        <w:tc>
          <w:tcPr>
            <w:tcW w:w="0" w:type="auto"/>
            <w:shd w:val="clear" w:color="auto" w:fill="FFFFFF"/>
            <w:tcMar>
              <w:top w:w="40" w:type="dxa"/>
              <w:left w:w="0" w:type="dxa"/>
              <w:bottom w:w="40" w:type="dxa"/>
              <w:right w:w="20" w:type="dxa"/>
            </w:tcMar>
            <w:vAlign w:val="bottom"/>
          </w:tcPr>
          <w:p w14:paraId="22CFC05C" w14:textId="77777777" w:rsidR="002661BA" w:rsidRDefault="002661BA">
            <w:pPr>
              <w:jc w:val="right"/>
              <w:rPr>
                <w:rFonts w:ascii="宋体"/>
              </w:rPr>
            </w:pPr>
          </w:p>
        </w:tc>
      </w:tr>
      <w:tr w:rsidR="002661BA" w14:paraId="22CFC064" w14:textId="77777777">
        <w:tc>
          <w:tcPr>
            <w:tcW w:w="0" w:type="auto"/>
            <w:gridSpan w:val="3"/>
            <w:shd w:val="clear" w:color="auto" w:fill="DBDBDB"/>
            <w:tcMar>
              <w:top w:w="40" w:type="dxa"/>
              <w:left w:w="140" w:type="dxa"/>
              <w:bottom w:w="40" w:type="dxa"/>
              <w:right w:w="20" w:type="dxa"/>
            </w:tcMar>
            <w:vAlign w:val="bottom"/>
          </w:tcPr>
          <w:p w14:paraId="22CFC05E" w14:textId="77777777" w:rsidR="002661BA" w:rsidRDefault="00D972BC">
            <w:pPr>
              <w:textAlignment w:val="bottom"/>
            </w:pPr>
            <w:r>
              <w:rPr>
                <w:rFonts w:ascii="Arial" w:eastAsia="宋体" w:hAnsi="Arial" w:cs="Arial"/>
                <w:color w:val="000000"/>
                <w:sz w:val="18"/>
                <w:szCs w:val="18"/>
              </w:rPr>
              <w:t>International</w:t>
            </w:r>
          </w:p>
        </w:tc>
        <w:tc>
          <w:tcPr>
            <w:tcW w:w="0" w:type="auto"/>
            <w:gridSpan w:val="2"/>
            <w:shd w:val="clear" w:color="auto" w:fill="DBDBDB"/>
            <w:tcMar>
              <w:top w:w="40" w:type="dxa"/>
              <w:left w:w="20" w:type="dxa"/>
              <w:bottom w:w="40" w:type="dxa"/>
              <w:right w:w="0" w:type="dxa"/>
            </w:tcMar>
            <w:vAlign w:val="bottom"/>
          </w:tcPr>
          <w:p w14:paraId="22CFC05F" w14:textId="77777777" w:rsidR="002661BA" w:rsidRDefault="00D972BC">
            <w:pPr>
              <w:jc w:val="right"/>
              <w:textAlignment w:val="bottom"/>
            </w:pPr>
            <w:r>
              <w:rPr>
                <w:rFonts w:ascii="Arial" w:eastAsia="宋体" w:hAnsi="Arial" w:cs="Arial"/>
                <w:color w:val="000000"/>
                <w:sz w:val="18"/>
                <w:szCs w:val="18"/>
              </w:rPr>
              <w:t>125 </w:t>
            </w:r>
          </w:p>
        </w:tc>
        <w:tc>
          <w:tcPr>
            <w:tcW w:w="0" w:type="auto"/>
            <w:shd w:val="clear" w:color="auto" w:fill="DBDBDB"/>
            <w:tcMar>
              <w:top w:w="40" w:type="dxa"/>
              <w:left w:w="0" w:type="dxa"/>
              <w:bottom w:w="40" w:type="dxa"/>
              <w:right w:w="20" w:type="dxa"/>
            </w:tcMar>
            <w:vAlign w:val="bottom"/>
          </w:tcPr>
          <w:p w14:paraId="22CFC060"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061"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062" w14:textId="77777777" w:rsidR="002661BA" w:rsidRDefault="00D972BC">
            <w:pPr>
              <w:jc w:val="right"/>
              <w:textAlignment w:val="bottom"/>
            </w:pPr>
            <w:r>
              <w:rPr>
                <w:rFonts w:ascii="Arial" w:eastAsia="宋体" w:hAnsi="Arial" w:cs="Arial"/>
                <w:color w:val="000000"/>
                <w:sz w:val="18"/>
                <w:szCs w:val="18"/>
              </w:rPr>
              <w:t>147 </w:t>
            </w:r>
          </w:p>
        </w:tc>
        <w:tc>
          <w:tcPr>
            <w:tcW w:w="0" w:type="auto"/>
            <w:shd w:val="clear" w:color="auto" w:fill="DBDBDB"/>
            <w:tcMar>
              <w:top w:w="40" w:type="dxa"/>
              <w:left w:w="0" w:type="dxa"/>
              <w:bottom w:w="40" w:type="dxa"/>
              <w:right w:w="20" w:type="dxa"/>
            </w:tcMar>
            <w:vAlign w:val="bottom"/>
          </w:tcPr>
          <w:p w14:paraId="22CFC063" w14:textId="77777777" w:rsidR="002661BA" w:rsidRDefault="002661BA">
            <w:pPr>
              <w:jc w:val="right"/>
              <w:rPr>
                <w:rFonts w:ascii="宋体"/>
              </w:rPr>
            </w:pPr>
          </w:p>
        </w:tc>
      </w:tr>
      <w:tr w:rsidR="002661BA" w14:paraId="22CFC06D" w14:textId="77777777">
        <w:tc>
          <w:tcPr>
            <w:tcW w:w="0" w:type="auto"/>
            <w:gridSpan w:val="3"/>
            <w:shd w:val="clear" w:color="auto" w:fill="FFFFFF"/>
            <w:tcMar>
              <w:top w:w="40" w:type="dxa"/>
              <w:left w:w="605" w:type="dxa"/>
              <w:bottom w:w="40" w:type="dxa"/>
              <w:right w:w="20" w:type="dxa"/>
            </w:tcMar>
            <w:vAlign w:val="bottom"/>
          </w:tcPr>
          <w:p w14:paraId="22CFC065" w14:textId="77777777" w:rsidR="002661BA" w:rsidRDefault="00D972BC">
            <w:pPr>
              <w:textAlignment w:val="bottom"/>
            </w:pPr>
            <w:r>
              <w:rPr>
                <w:rFonts w:ascii="Arial" w:eastAsia="宋体" w:hAnsi="Arial" w:cs="Arial"/>
                <w:color w:val="000000"/>
                <w:sz w:val="18"/>
                <w:szCs w:val="18"/>
              </w:rPr>
              <w:t>Total long-lived tangible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066"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067" w14:textId="77777777" w:rsidR="002661BA" w:rsidRDefault="00D972BC">
            <w:pPr>
              <w:jc w:val="right"/>
              <w:textAlignment w:val="bottom"/>
            </w:pPr>
            <w:r>
              <w:rPr>
                <w:rFonts w:ascii="Arial" w:eastAsia="宋体" w:hAnsi="Arial" w:cs="Arial"/>
                <w:color w:val="000000"/>
                <w:sz w:val="18"/>
                <w:szCs w:val="18"/>
              </w:rPr>
              <w:t>1,525 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06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069"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06A"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06B" w14:textId="77777777" w:rsidR="002661BA" w:rsidRDefault="00D972BC">
            <w:pPr>
              <w:jc w:val="right"/>
              <w:textAlignment w:val="bottom"/>
            </w:pPr>
            <w:r>
              <w:rPr>
                <w:rFonts w:ascii="Arial" w:eastAsia="宋体" w:hAnsi="Arial" w:cs="Arial"/>
                <w:color w:val="000000"/>
                <w:sz w:val="18"/>
                <w:szCs w:val="18"/>
              </w:rPr>
              <w:t>1,722 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06C" w14:textId="77777777" w:rsidR="002661BA" w:rsidRDefault="002661BA">
            <w:pPr>
              <w:jc w:val="right"/>
              <w:rPr>
                <w:rFonts w:ascii="宋体"/>
              </w:rPr>
            </w:pPr>
          </w:p>
        </w:tc>
      </w:tr>
    </w:tbl>
    <w:p w14:paraId="22CFC06E" w14:textId="77777777" w:rsidR="002661BA" w:rsidRDefault="002661BA">
      <w:pPr>
        <w:ind w:firstLine="540"/>
        <w:jc w:val="both"/>
      </w:pPr>
    </w:p>
    <w:p w14:paraId="22CFC06F" w14:textId="77777777" w:rsidR="002661BA" w:rsidRDefault="00D972BC">
      <w:pPr>
        <w:jc w:val="center"/>
      </w:pPr>
      <w:r>
        <w:rPr>
          <w:rFonts w:ascii="Arial" w:eastAsia="宋体" w:hAnsi="Arial" w:cs="Arial"/>
          <w:color w:val="000000"/>
          <w:sz w:val="18"/>
          <w:szCs w:val="18"/>
        </w:rPr>
        <w:t>79</w:t>
      </w:r>
    </w:p>
    <w:p w14:paraId="22CFC070" w14:textId="77777777" w:rsidR="002661BA" w:rsidRDefault="00D972BC">
      <w:r>
        <w:pict w14:anchorId="22CFE500">
          <v:rect id="_x0000_i1103" style="width:415.3pt;height:1.5pt" o:hralign="center" o:hrstd="t" o:hr="t" fillcolor="#a0a0a0" stroked="f"/>
        </w:pict>
      </w:r>
    </w:p>
    <w:p w14:paraId="22CFC071" w14:textId="77777777" w:rsidR="002661BA" w:rsidRDefault="00D972BC">
      <w:hyperlink r:id="rId114" w:anchor="id0d7a71b05ce452ea9fdb54f3cb359c7_7" w:history="1">
        <w:r>
          <w:rPr>
            <w:rStyle w:val="a5"/>
            <w:rFonts w:ascii="Arial" w:eastAsia="宋体" w:hAnsi="Arial" w:cs="Arial"/>
            <w:sz w:val="18"/>
            <w:szCs w:val="18"/>
          </w:rPr>
          <w:t>Table of Contents</w:t>
        </w:r>
      </w:hyperlink>
    </w:p>
    <w:p w14:paraId="22CFC072" w14:textId="77777777" w:rsidR="002661BA" w:rsidRDefault="00D972BC">
      <w:pPr>
        <w:jc w:val="center"/>
      </w:pPr>
      <w:r>
        <w:rPr>
          <w:rFonts w:ascii="Arial" w:eastAsia="宋体" w:hAnsi="Arial" w:cs="Arial"/>
          <w:b/>
          <w:bCs/>
          <w:color w:val="000000"/>
          <w:sz w:val="20"/>
          <w:szCs w:val="20"/>
        </w:rPr>
        <w:t>eBay Inc.</w:t>
      </w:r>
    </w:p>
    <w:p w14:paraId="22CFC073" w14:textId="77777777" w:rsidR="002661BA" w:rsidRDefault="00D972BC">
      <w:pPr>
        <w:spacing w:before="80"/>
        <w:jc w:val="center"/>
      </w:pPr>
      <w:r>
        <w:rPr>
          <w:rFonts w:ascii="Arial" w:eastAsia="宋体" w:hAnsi="Arial" w:cs="Arial"/>
          <w:b/>
          <w:bCs/>
          <w:color w:val="000000"/>
          <w:sz w:val="20"/>
          <w:szCs w:val="20"/>
        </w:rPr>
        <w:t xml:space="preserve">NOTES TO CONSOLIDATED FINANCIAL </w:t>
      </w:r>
      <w:r>
        <w:rPr>
          <w:rFonts w:ascii="Arial" w:eastAsia="宋体" w:hAnsi="Arial" w:cs="Arial"/>
          <w:b/>
          <w:bCs/>
          <w:color w:val="000000"/>
          <w:sz w:val="20"/>
          <w:szCs w:val="20"/>
        </w:rPr>
        <w:t>STATEMENTS—(Continued)</w:t>
      </w:r>
    </w:p>
    <w:p w14:paraId="22CFC074" w14:textId="77777777" w:rsidR="002661BA" w:rsidRDefault="00D972BC">
      <w:pPr>
        <w:jc w:val="both"/>
      </w:pPr>
      <w:r>
        <w:rPr>
          <w:rFonts w:ascii="Arial" w:eastAsia="宋体" w:hAnsi="Arial" w:cs="Arial"/>
          <w:b/>
          <w:bCs/>
          <w:color w:val="000000"/>
          <w:sz w:val="20"/>
          <w:szCs w:val="20"/>
        </w:rPr>
        <w:t xml:space="preserve">Note 6 — Investments </w:t>
      </w:r>
    </w:p>
    <w:p w14:paraId="22CFC075" w14:textId="77777777" w:rsidR="002661BA" w:rsidRDefault="002661BA">
      <w:pPr>
        <w:jc w:val="both"/>
      </w:pPr>
    </w:p>
    <w:p w14:paraId="22CFC076" w14:textId="77777777" w:rsidR="002661BA" w:rsidRDefault="00D972BC">
      <w:pPr>
        <w:spacing w:after="120"/>
        <w:ind w:firstLine="540"/>
        <w:jc w:val="both"/>
      </w:pPr>
      <w:r>
        <w:rPr>
          <w:rFonts w:ascii="Arial" w:eastAsia="宋体" w:hAnsi="Arial" w:cs="Arial"/>
          <w:color w:val="000000"/>
          <w:sz w:val="20"/>
          <w:szCs w:val="20"/>
        </w:rPr>
        <w:t>The following tables summarize the unrealized gains and losses and estimated fair value of our investments classified as available-for-sale debt securities and restricted cash as of the dates indicated (in mill</w:t>
      </w:r>
      <w:r>
        <w:rPr>
          <w:rFonts w:ascii="Arial" w:eastAsia="宋体" w:hAnsi="Arial" w:cs="Arial"/>
          <w:color w:val="000000"/>
          <w:sz w:val="20"/>
          <w:szCs w:val="20"/>
        </w:rPr>
        <w:t>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713"/>
        <w:gridCol w:w="37"/>
        <w:gridCol w:w="122"/>
        <w:gridCol w:w="871"/>
        <w:gridCol w:w="36"/>
        <w:gridCol w:w="37"/>
        <w:gridCol w:w="88"/>
        <w:gridCol w:w="36"/>
        <w:gridCol w:w="122"/>
        <w:gridCol w:w="871"/>
        <w:gridCol w:w="36"/>
        <w:gridCol w:w="37"/>
        <w:gridCol w:w="88"/>
        <w:gridCol w:w="36"/>
        <w:gridCol w:w="122"/>
        <w:gridCol w:w="871"/>
        <w:gridCol w:w="36"/>
        <w:gridCol w:w="36"/>
        <w:gridCol w:w="36"/>
        <w:gridCol w:w="36"/>
        <w:gridCol w:w="122"/>
        <w:gridCol w:w="873"/>
        <w:gridCol w:w="36"/>
      </w:tblGrid>
      <w:tr w:rsidR="002661BA" w14:paraId="22CFC08F" w14:textId="77777777">
        <w:tc>
          <w:tcPr>
            <w:tcW w:w="50" w:type="pct"/>
            <w:shd w:val="clear" w:color="auto" w:fill="auto"/>
            <w:vAlign w:val="bottom"/>
          </w:tcPr>
          <w:p w14:paraId="22CFC077" w14:textId="77777777" w:rsidR="002661BA" w:rsidRDefault="002661BA">
            <w:pPr>
              <w:rPr>
                <w:rFonts w:ascii="宋体"/>
              </w:rPr>
            </w:pPr>
          </w:p>
        </w:tc>
        <w:tc>
          <w:tcPr>
            <w:tcW w:w="2313" w:type="pct"/>
            <w:shd w:val="clear" w:color="auto" w:fill="auto"/>
            <w:vAlign w:val="bottom"/>
          </w:tcPr>
          <w:p w14:paraId="22CFC078" w14:textId="77777777" w:rsidR="002661BA" w:rsidRDefault="002661BA">
            <w:pPr>
              <w:rPr>
                <w:rFonts w:ascii="宋体"/>
              </w:rPr>
            </w:pPr>
          </w:p>
        </w:tc>
        <w:tc>
          <w:tcPr>
            <w:tcW w:w="5" w:type="pct"/>
            <w:shd w:val="clear" w:color="auto" w:fill="auto"/>
            <w:vAlign w:val="bottom"/>
          </w:tcPr>
          <w:p w14:paraId="22CFC079" w14:textId="77777777" w:rsidR="002661BA" w:rsidRDefault="002661BA">
            <w:pPr>
              <w:rPr>
                <w:rFonts w:ascii="宋体"/>
              </w:rPr>
            </w:pPr>
          </w:p>
        </w:tc>
        <w:tc>
          <w:tcPr>
            <w:tcW w:w="50" w:type="pct"/>
            <w:shd w:val="clear" w:color="auto" w:fill="auto"/>
            <w:vAlign w:val="bottom"/>
          </w:tcPr>
          <w:p w14:paraId="22CFC07A" w14:textId="77777777" w:rsidR="002661BA" w:rsidRDefault="002661BA">
            <w:pPr>
              <w:rPr>
                <w:rFonts w:ascii="宋体"/>
              </w:rPr>
            </w:pPr>
          </w:p>
        </w:tc>
        <w:tc>
          <w:tcPr>
            <w:tcW w:w="580" w:type="pct"/>
            <w:shd w:val="clear" w:color="auto" w:fill="auto"/>
            <w:vAlign w:val="bottom"/>
          </w:tcPr>
          <w:p w14:paraId="22CFC07B" w14:textId="77777777" w:rsidR="002661BA" w:rsidRDefault="002661BA">
            <w:pPr>
              <w:rPr>
                <w:rFonts w:ascii="宋体"/>
              </w:rPr>
            </w:pPr>
          </w:p>
        </w:tc>
        <w:tc>
          <w:tcPr>
            <w:tcW w:w="5" w:type="pct"/>
            <w:shd w:val="clear" w:color="auto" w:fill="auto"/>
            <w:vAlign w:val="bottom"/>
          </w:tcPr>
          <w:p w14:paraId="22CFC07C" w14:textId="77777777" w:rsidR="002661BA" w:rsidRDefault="002661BA">
            <w:pPr>
              <w:rPr>
                <w:rFonts w:ascii="宋体"/>
              </w:rPr>
            </w:pPr>
          </w:p>
        </w:tc>
        <w:tc>
          <w:tcPr>
            <w:tcW w:w="5" w:type="pct"/>
            <w:shd w:val="clear" w:color="auto" w:fill="auto"/>
            <w:vAlign w:val="bottom"/>
          </w:tcPr>
          <w:p w14:paraId="22CFC07D" w14:textId="77777777" w:rsidR="002661BA" w:rsidRDefault="002661BA">
            <w:pPr>
              <w:rPr>
                <w:rFonts w:ascii="宋体"/>
              </w:rPr>
            </w:pPr>
          </w:p>
        </w:tc>
        <w:tc>
          <w:tcPr>
            <w:tcW w:w="19" w:type="pct"/>
            <w:shd w:val="clear" w:color="auto" w:fill="auto"/>
            <w:vAlign w:val="bottom"/>
          </w:tcPr>
          <w:p w14:paraId="22CFC07E" w14:textId="77777777" w:rsidR="002661BA" w:rsidRDefault="002661BA">
            <w:pPr>
              <w:rPr>
                <w:rFonts w:ascii="宋体"/>
              </w:rPr>
            </w:pPr>
          </w:p>
        </w:tc>
        <w:tc>
          <w:tcPr>
            <w:tcW w:w="5" w:type="pct"/>
            <w:shd w:val="clear" w:color="auto" w:fill="auto"/>
            <w:vAlign w:val="bottom"/>
          </w:tcPr>
          <w:p w14:paraId="22CFC07F" w14:textId="77777777" w:rsidR="002661BA" w:rsidRDefault="002661BA">
            <w:pPr>
              <w:rPr>
                <w:rFonts w:ascii="宋体"/>
              </w:rPr>
            </w:pPr>
          </w:p>
        </w:tc>
        <w:tc>
          <w:tcPr>
            <w:tcW w:w="50" w:type="pct"/>
            <w:shd w:val="clear" w:color="auto" w:fill="auto"/>
            <w:vAlign w:val="bottom"/>
          </w:tcPr>
          <w:p w14:paraId="22CFC080" w14:textId="77777777" w:rsidR="002661BA" w:rsidRDefault="002661BA">
            <w:pPr>
              <w:rPr>
                <w:rFonts w:ascii="宋体"/>
              </w:rPr>
            </w:pPr>
          </w:p>
        </w:tc>
        <w:tc>
          <w:tcPr>
            <w:tcW w:w="580" w:type="pct"/>
            <w:shd w:val="clear" w:color="auto" w:fill="auto"/>
            <w:vAlign w:val="bottom"/>
          </w:tcPr>
          <w:p w14:paraId="22CFC081" w14:textId="77777777" w:rsidR="002661BA" w:rsidRDefault="002661BA">
            <w:pPr>
              <w:rPr>
                <w:rFonts w:ascii="宋体"/>
              </w:rPr>
            </w:pPr>
          </w:p>
        </w:tc>
        <w:tc>
          <w:tcPr>
            <w:tcW w:w="5" w:type="pct"/>
            <w:shd w:val="clear" w:color="auto" w:fill="auto"/>
            <w:vAlign w:val="bottom"/>
          </w:tcPr>
          <w:p w14:paraId="22CFC082" w14:textId="77777777" w:rsidR="002661BA" w:rsidRDefault="002661BA">
            <w:pPr>
              <w:rPr>
                <w:rFonts w:ascii="宋体"/>
              </w:rPr>
            </w:pPr>
          </w:p>
        </w:tc>
        <w:tc>
          <w:tcPr>
            <w:tcW w:w="5" w:type="pct"/>
            <w:shd w:val="clear" w:color="auto" w:fill="auto"/>
            <w:vAlign w:val="bottom"/>
          </w:tcPr>
          <w:p w14:paraId="22CFC083" w14:textId="77777777" w:rsidR="002661BA" w:rsidRDefault="002661BA">
            <w:pPr>
              <w:rPr>
                <w:rFonts w:ascii="宋体"/>
              </w:rPr>
            </w:pPr>
          </w:p>
        </w:tc>
        <w:tc>
          <w:tcPr>
            <w:tcW w:w="19" w:type="pct"/>
            <w:shd w:val="clear" w:color="auto" w:fill="auto"/>
            <w:vAlign w:val="bottom"/>
          </w:tcPr>
          <w:p w14:paraId="22CFC084" w14:textId="77777777" w:rsidR="002661BA" w:rsidRDefault="002661BA">
            <w:pPr>
              <w:rPr>
                <w:rFonts w:ascii="宋体"/>
              </w:rPr>
            </w:pPr>
          </w:p>
        </w:tc>
        <w:tc>
          <w:tcPr>
            <w:tcW w:w="5" w:type="pct"/>
            <w:shd w:val="clear" w:color="auto" w:fill="auto"/>
            <w:vAlign w:val="bottom"/>
          </w:tcPr>
          <w:p w14:paraId="22CFC085" w14:textId="77777777" w:rsidR="002661BA" w:rsidRDefault="002661BA">
            <w:pPr>
              <w:rPr>
                <w:rFonts w:ascii="宋体"/>
              </w:rPr>
            </w:pPr>
          </w:p>
        </w:tc>
        <w:tc>
          <w:tcPr>
            <w:tcW w:w="50" w:type="pct"/>
            <w:shd w:val="clear" w:color="auto" w:fill="auto"/>
            <w:vAlign w:val="bottom"/>
          </w:tcPr>
          <w:p w14:paraId="22CFC086" w14:textId="77777777" w:rsidR="002661BA" w:rsidRDefault="002661BA">
            <w:pPr>
              <w:rPr>
                <w:rFonts w:ascii="宋体"/>
              </w:rPr>
            </w:pPr>
          </w:p>
        </w:tc>
        <w:tc>
          <w:tcPr>
            <w:tcW w:w="580" w:type="pct"/>
            <w:shd w:val="clear" w:color="auto" w:fill="auto"/>
            <w:vAlign w:val="bottom"/>
          </w:tcPr>
          <w:p w14:paraId="22CFC087" w14:textId="77777777" w:rsidR="002661BA" w:rsidRDefault="002661BA">
            <w:pPr>
              <w:rPr>
                <w:rFonts w:ascii="宋体"/>
              </w:rPr>
            </w:pPr>
          </w:p>
        </w:tc>
        <w:tc>
          <w:tcPr>
            <w:tcW w:w="5" w:type="pct"/>
            <w:shd w:val="clear" w:color="auto" w:fill="auto"/>
            <w:vAlign w:val="bottom"/>
          </w:tcPr>
          <w:p w14:paraId="22CFC088" w14:textId="77777777" w:rsidR="002661BA" w:rsidRDefault="002661BA">
            <w:pPr>
              <w:rPr>
                <w:rFonts w:ascii="宋体"/>
              </w:rPr>
            </w:pPr>
          </w:p>
        </w:tc>
        <w:tc>
          <w:tcPr>
            <w:tcW w:w="5" w:type="pct"/>
            <w:shd w:val="clear" w:color="auto" w:fill="auto"/>
            <w:vAlign w:val="bottom"/>
          </w:tcPr>
          <w:p w14:paraId="22CFC089" w14:textId="77777777" w:rsidR="002661BA" w:rsidRDefault="002661BA">
            <w:pPr>
              <w:rPr>
                <w:rFonts w:ascii="宋体"/>
              </w:rPr>
            </w:pPr>
          </w:p>
        </w:tc>
        <w:tc>
          <w:tcPr>
            <w:tcW w:w="19" w:type="pct"/>
            <w:shd w:val="clear" w:color="auto" w:fill="auto"/>
            <w:vAlign w:val="bottom"/>
          </w:tcPr>
          <w:p w14:paraId="22CFC08A" w14:textId="77777777" w:rsidR="002661BA" w:rsidRDefault="002661BA">
            <w:pPr>
              <w:rPr>
                <w:rFonts w:ascii="宋体"/>
              </w:rPr>
            </w:pPr>
          </w:p>
        </w:tc>
        <w:tc>
          <w:tcPr>
            <w:tcW w:w="5" w:type="pct"/>
            <w:shd w:val="clear" w:color="auto" w:fill="auto"/>
            <w:vAlign w:val="bottom"/>
          </w:tcPr>
          <w:p w14:paraId="22CFC08B" w14:textId="77777777" w:rsidR="002661BA" w:rsidRDefault="002661BA">
            <w:pPr>
              <w:rPr>
                <w:rFonts w:ascii="宋体"/>
              </w:rPr>
            </w:pPr>
          </w:p>
        </w:tc>
        <w:tc>
          <w:tcPr>
            <w:tcW w:w="50" w:type="pct"/>
            <w:shd w:val="clear" w:color="auto" w:fill="auto"/>
            <w:vAlign w:val="bottom"/>
          </w:tcPr>
          <w:p w14:paraId="22CFC08C" w14:textId="77777777" w:rsidR="002661BA" w:rsidRDefault="002661BA">
            <w:pPr>
              <w:rPr>
                <w:rFonts w:ascii="宋体"/>
              </w:rPr>
            </w:pPr>
          </w:p>
        </w:tc>
        <w:tc>
          <w:tcPr>
            <w:tcW w:w="581" w:type="pct"/>
            <w:shd w:val="clear" w:color="auto" w:fill="auto"/>
            <w:vAlign w:val="bottom"/>
          </w:tcPr>
          <w:p w14:paraId="22CFC08D" w14:textId="77777777" w:rsidR="002661BA" w:rsidRDefault="002661BA">
            <w:pPr>
              <w:rPr>
                <w:rFonts w:ascii="宋体"/>
              </w:rPr>
            </w:pPr>
          </w:p>
        </w:tc>
        <w:tc>
          <w:tcPr>
            <w:tcW w:w="5" w:type="pct"/>
            <w:shd w:val="clear" w:color="auto" w:fill="auto"/>
            <w:vAlign w:val="bottom"/>
          </w:tcPr>
          <w:p w14:paraId="22CFC08E" w14:textId="77777777" w:rsidR="002661BA" w:rsidRDefault="002661BA">
            <w:pPr>
              <w:rPr>
                <w:rFonts w:ascii="宋体"/>
              </w:rPr>
            </w:pPr>
          </w:p>
        </w:tc>
      </w:tr>
      <w:tr w:rsidR="002661BA" w14:paraId="22CFC092" w14:textId="77777777">
        <w:tc>
          <w:tcPr>
            <w:tcW w:w="0" w:type="auto"/>
            <w:gridSpan w:val="3"/>
            <w:shd w:val="clear" w:color="auto" w:fill="auto"/>
            <w:tcMar>
              <w:top w:w="40" w:type="dxa"/>
              <w:left w:w="20" w:type="dxa"/>
              <w:bottom w:w="40" w:type="dxa"/>
              <w:right w:w="20" w:type="dxa"/>
            </w:tcMar>
            <w:vAlign w:val="bottom"/>
          </w:tcPr>
          <w:p w14:paraId="22CFC090" w14:textId="77777777" w:rsidR="002661BA" w:rsidRDefault="00D972BC">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22CFC091" w14:textId="77777777" w:rsidR="002661BA" w:rsidRDefault="00D972BC">
            <w:pPr>
              <w:jc w:val="center"/>
              <w:textAlignment w:val="bottom"/>
            </w:pPr>
            <w:r>
              <w:rPr>
                <w:rFonts w:ascii="Arial" w:eastAsia="宋体" w:hAnsi="Arial" w:cs="Arial"/>
                <w:b/>
                <w:bCs/>
                <w:color w:val="000000"/>
                <w:sz w:val="17"/>
                <w:szCs w:val="17"/>
              </w:rPr>
              <w:t>December 31, 2021</w:t>
            </w:r>
          </w:p>
        </w:tc>
      </w:tr>
      <w:tr w:rsidR="002661BA" w14:paraId="22CFC09B" w14:textId="77777777">
        <w:tc>
          <w:tcPr>
            <w:tcW w:w="0" w:type="auto"/>
            <w:gridSpan w:val="3"/>
            <w:shd w:val="clear" w:color="auto" w:fill="auto"/>
            <w:tcMar>
              <w:top w:w="40" w:type="dxa"/>
              <w:left w:w="20" w:type="dxa"/>
              <w:bottom w:w="40" w:type="dxa"/>
              <w:right w:w="20" w:type="dxa"/>
            </w:tcMar>
            <w:vAlign w:val="bottom"/>
          </w:tcPr>
          <w:p w14:paraId="22CFC093" w14:textId="77777777" w:rsidR="002661BA" w:rsidRDefault="00D972BC">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094" w14:textId="77777777" w:rsidR="002661BA" w:rsidRDefault="00D972BC">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Amortized</w:t>
            </w:r>
            <w:r>
              <w:rPr>
                <w:rFonts w:ascii="Arial" w:eastAsia="宋体" w:hAnsi="Arial" w:cs="Arial"/>
                <w:b/>
                <w:bCs/>
                <w:color w:val="000000"/>
                <w:sz w:val="17"/>
                <w:szCs w:val="17"/>
              </w:rPr>
              <w:br/>
              <w:t>Cost</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095"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096" w14:textId="77777777" w:rsidR="002661BA" w:rsidRDefault="00D972BC">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Unrealized</w:t>
            </w:r>
            <w:r>
              <w:rPr>
                <w:rFonts w:ascii="Arial" w:eastAsia="宋体" w:hAnsi="Arial" w:cs="Arial"/>
                <w:b/>
                <w:bCs/>
                <w:color w:val="000000"/>
                <w:sz w:val="17"/>
                <w:szCs w:val="17"/>
              </w:rPr>
              <w:br/>
              <w:t>Gains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097"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098" w14:textId="77777777" w:rsidR="002661BA" w:rsidRDefault="00D972BC">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Unrealized</w:t>
            </w:r>
            <w:r>
              <w:rPr>
                <w:rFonts w:ascii="Arial" w:eastAsia="宋体" w:hAnsi="Arial" w:cs="Arial"/>
                <w:b/>
                <w:bCs/>
                <w:color w:val="000000"/>
                <w:sz w:val="17"/>
                <w:szCs w:val="17"/>
              </w:rPr>
              <w:br/>
              <w:t>Losses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099"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09A" w14:textId="77777777" w:rsidR="002661BA" w:rsidRDefault="00D972BC">
            <w:pPr>
              <w:jc w:val="center"/>
              <w:textAlignment w:val="bottom"/>
            </w:pPr>
            <w:r>
              <w:rPr>
                <w:rFonts w:ascii="Arial" w:eastAsia="宋体" w:hAnsi="Arial" w:cs="Arial"/>
                <w:b/>
                <w:bCs/>
                <w:color w:val="000000"/>
                <w:sz w:val="17"/>
                <w:szCs w:val="17"/>
              </w:rPr>
              <w:t>Estimated</w:t>
            </w:r>
            <w:r>
              <w:rPr>
                <w:rFonts w:ascii="Arial" w:eastAsia="宋体" w:hAnsi="Arial" w:cs="Arial"/>
                <w:b/>
                <w:bCs/>
                <w:color w:val="000000"/>
                <w:sz w:val="17"/>
                <w:szCs w:val="17"/>
              </w:rPr>
              <w:br/>
              <w:t>Fair Value</w:t>
            </w:r>
          </w:p>
        </w:tc>
      </w:tr>
      <w:tr w:rsidR="002661BA" w14:paraId="22CFC0A4" w14:textId="77777777">
        <w:tc>
          <w:tcPr>
            <w:tcW w:w="0" w:type="auto"/>
            <w:gridSpan w:val="3"/>
            <w:shd w:val="clear" w:color="auto" w:fill="E2E2E2"/>
            <w:tcMar>
              <w:top w:w="40" w:type="dxa"/>
              <w:left w:w="20" w:type="dxa"/>
              <w:bottom w:w="40" w:type="dxa"/>
              <w:right w:w="20" w:type="dxa"/>
            </w:tcMar>
            <w:vAlign w:val="bottom"/>
          </w:tcPr>
          <w:p w14:paraId="22CFC09C" w14:textId="77777777" w:rsidR="002661BA" w:rsidRDefault="00D972BC">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09D"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C09E"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09F"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C0A0"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0A1"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C0A2"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0A3" w14:textId="77777777" w:rsidR="002661BA" w:rsidRDefault="002661BA">
            <w:pPr>
              <w:rPr>
                <w:rFonts w:ascii="宋体"/>
              </w:rPr>
            </w:pPr>
          </w:p>
        </w:tc>
      </w:tr>
      <w:tr w:rsidR="002661BA" w14:paraId="22CFC0B5" w14:textId="77777777">
        <w:tc>
          <w:tcPr>
            <w:tcW w:w="0" w:type="auto"/>
            <w:gridSpan w:val="3"/>
            <w:shd w:val="clear" w:color="auto" w:fill="FFFFFF"/>
            <w:tcMar>
              <w:top w:w="40" w:type="dxa"/>
              <w:left w:w="245" w:type="dxa"/>
              <w:bottom w:w="40" w:type="dxa"/>
              <w:right w:w="20" w:type="dxa"/>
            </w:tcMar>
            <w:vAlign w:val="bottom"/>
          </w:tcPr>
          <w:p w14:paraId="22CFC0A5" w14:textId="77777777" w:rsidR="002661BA" w:rsidRDefault="00D972BC">
            <w:pPr>
              <w:textAlignment w:val="bottom"/>
            </w:pPr>
            <w:r>
              <w:rPr>
                <w:rFonts w:ascii="Arial" w:eastAsia="宋体" w:hAnsi="Arial" w:cs="Arial"/>
                <w:color w:val="000000"/>
                <w:sz w:val="18"/>
                <w:szCs w:val="18"/>
              </w:rPr>
              <w:t>Restricted cash</w:t>
            </w:r>
          </w:p>
        </w:tc>
        <w:tc>
          <w:tcPr>
            <w:tcW w:w="0" w:type="auto"/>
            <w:shd w:val="clear" w:color="auto" w:fill="FFFFFF"/>
            <w:tcMar>
              <w:top w:w="40" w:type="dxa"/>
              <w:left w:w="20" w:type="dxa"/>
              <w:bottom w:w="40" w:type="dxa"/>
              <w:right w:w="0" w:type="dxa"/>
            </w:tcMar>
            <w:vAlign w:val="bottom"/>
          </w:tcPr>
          <w:p w14:paraId="22CFC0A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0A7" w14:textId="77777777" w:rsidR="002661BA" w:rsidRDefault="00D972BC">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22CFC0A8"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0A9"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FFFFFF"/>
            <w:tcMar>
              <w:top w:w="40" w:type="dxa"/>
              <w:left w:w="20" w:type="dxa"/>
              <w:bottom w:w="40" w:type="dxa"/>
              <w:right w:w="0" w:type="dxa"/>
            </w:tcMar>
            <w:vAlign w:val="bottom"/>
          </w:tcPr>
          <w:p w14:paraId="22CFC0AA"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0AB"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0AC"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0AD"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FFFFFF"/>
            <w:tcMar>
              <w:top w:w="40" w:type="dxa"/>
              <w:left w:w="20" w:type="dxa"/>
              <w:bottom w:w="40" w:type="dxa"/>
              <w:right w:w="0" w:type="dxa"/>
            </w:tcMar>
            <w:vAlign w:val="bottom"/>
          </w:tcPr>
          <w:p w14:paraId="22CFC0AE"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0AF"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0B0"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0B1"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FFFFFF"/>
            <w:tcMar>
              <w:top w:w="40" w:type="dxa"/>
              <w:left w:w="20" w:type="dxa"/>
              <w:bottom w:w="40" w:type="dxa"/>
              <w:right w:w="0" w:type="dxa"/>
            </w:tcMar>
            <w:vAlign w:val="bottom"/>
          </w:tcPr>
          <w:p w14:paraId="22CFC0B2"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0B3" w14:textId="77777777" w:rsidR="002661BA" w:rsidRDefault="00D972BC">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22CFC0B4" w14:textId="77777777" w:rsidR="002661BA" w:rsidRDefault="002661BA">
            <w:pPr>
              <w:jc w:val="right"/>
              <w:rPr>
                <w:rFonts w:ascii="宋体"/>
              </w:rPr>
            </w:pPr>
          </w:p>
        </w:tc>
      </w:tr>
      <w:tr w:rsidR="002661BA" w14:paraId="22CFC0C2" w14:textId="77777777">
        <w:tc>
          <w:tcPr>
            <w:tcW w:w="0" w:type="auto"/>
            <w:gridSpan w:val="3"/>
            <w:shd w:val="clear" w:color="auto" w:fill="E2E2E2"/>
            <w:tcMar>
              <w:top w:w="40" w:type="dxa"/>
              <w:left w:w="245" w:type="dxa"/>
              <w:bottom w:w="40" w:type="dxa"/>
              <w:right w:w="20" w:type="dxa"/>
            </w:tcMar>
            <w:vAlign w:val="bottom"/>
          </w:tcPr>
          <w:p w14:paraId="22CFC0B6" w14:textId="77777777" w:rsidR="002661BA" w:rsidRDefault="00D972BC">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22CFC0B7" w14:textId="77777777" w:rsidR="002661BA" w:rsidRDefault="00D972BC">
            <w:pPr>
              <w:jc w:val="right"/>
              <w:textAlignment w:val="bottom"/>
            </w:pPr>
            <w:r>
              <w:rPr>
                <w:rFonts w:ascii="Arial" w:eastAsia="宋体" w:hAnsi="Arial" w:cs="Arial"/>
                <w:color w:val="000000"/>
                <w:sz w:val="18"/>
                <w:szCs w:val="18"/>
              </w:rPr>
              <w:t>4,151 </w:t>
            </w:r>
          </w:p>
        </w:tc>
        <w:tc>
          <w:tcPr>
            <w:tcW w:w="0" w:type="auto"/>
            <w:shd w:val="clear" w:color="auto" w:fill="E2E2E2"/>
            <w:tcMar>
              <w:top w:w="40" w:type="dxa"/>
              <w:left w:w="0" w:type="dxa"/>
              <w:bottom w:w="40" w:type="dxa"/>
              <w:right w:w="20" w:type="dxa"/>
            </w:tcMar>
            <w:vAlign w:val="bottom"/>
          </w:tcPr>
          <w:p w14:paraId="22CFC0B8"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0B9"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C0BA" w14:textId="77777777" w:rsidR="002661BA" w:rsidRDefault="00D972BC">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22CFC0BB"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0BC"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C0BD"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C0BE"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0BF"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C0C0" w14:textId="77777777" w:rsidR="002661BA" w:rsidRDefault="00D972BC">
            <w:pPr>
              <w:jc w:val="right"/>
              <w:textAlignment w:val="bottom"/>
            </w:pPr>
            <w:r>
              <w:rPr>
                <w:rFonts w:ascii="Arial" w:eastAsia="宋体" w:hAnsi="Arial" w:cs="Arial"/>
                <w:color w:val="000000"/>
                <w:sz w:val="18"/>
                <w:szCs w:val="18"/>
              </w:rPr>
              <w:t>4,152 </w:t>
            </w:r>
          </w:p>
        </w:tc>
        <w:tc>
          <w:tcPr>
            <w:tcW w:w="0" w:type="auto"/>
            <w:shd w:val="clear" w:color="auto" w:fill="E2E2E2"/>
            <w:tcMar>
              <w:top w:w="40" w:type="dxa"/>
              <w:left w:w="0" w:type="dxa"/>
              <w:bottom w:w="40" w:type="dxa"/>
              <w:right w:w="20" w:type="dxa"/>
            </w:tcMar>
            <w:vAlign w:val="bottom"/>
          </w:tcPr>
          <w:p w14:paraId="22CFC0C1" w14:textId="77777777" w:rsidR="002661BA" w:rsidRDefault="002661BA">
            <w:pPr>
              <w:jc w:val="right"/>
              <w:rPr>
                <w:rFonts w:ascii="宋体"/>
              </w:rPr>
            </w:pPr>
          </w:p>
        </w:tc>
      </w:tr>
      <w:tr w:rsidR="002661BA" w14:paraId="22CFC0CF" w14:textId="77777777">
        <w:tc>
          <w:tcPr>
            <w:tcW w:w="0" w:type="auto"/>
            <w:gridSpan w:val="3"/>
            <w:shd w:val="clear" w:color="auto" w:fill="FFFFFF"/>
            <w:tcMar>
              <w:top w:w="40" w:type="dxa"/>
              <w:left w:w="245" w:type="dxa"/>
              <w:bottom w:w="40" w:type="dxa"/>
              <w:right w:w="20" w:type="dxa"/>
            </w:tcMar>
            <w:vAlign w:val="bottom"/>
          </w:tcPr>
          <w:p w14:paraId="22CFC0C3" w14:textId="77777777" w:rsidR="002661BA" w:rsidRDefault="00D972BC">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22CFC0C4" w14:textId="77777777" w:rsidR="002661BA" w:rsidRDefault="00D972BC">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22CFC0C5"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0C6"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C0C7"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0C8"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0C9"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C0CA"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0CB"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0CC"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C0CD" w14:textId="77777777" w:rsidR="002661BA" w:rsidRDefault="00D972BC">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22CFC0CE" w14:textId="77777777" w:rsidR="002661BA" w:rsidRDefault="002661BA">
            <w:pPr>
              <w:jc w:val="right"/>
              <w:rPr>
                <w:rFonts w:ascii="宋体"/>
              </w:rPr>
            </w:pPr>
          </w:p>
        </w:tc>
      </w:tr>
      <w:tr w:rsidR="002661BA" w14:paraId="22CFC0D8" w14:textId="77777777">
        <w:trPr>
          <w:hidden/>
        </w:trPr>
        <w:tc>
          <w:tcPr>
            <w:tcW w:w="0" w:type="auto"/>
            <w:gridSpan w:val="3"/>
            <w:shd w:val="clear" w:color="auto" w:fill="auto"/>
            <w:vAlign w:val="bottom"/>
          </w:tcPr>
          <w:p w14:paraId="22CFC0D0" w14:textId="77777777" w:rsidR="002661BA" w:rsidRDefault="002661BA">
            <w:pPr>
              <w:rPr>
                <w:rFonts w:ascii="宋体"/>
                <w:vanish/>
              </w:rPr>
            </w:pPr>
          </w:p>
        </w:tc>
        <w:tc>
          <w:tcPr>
            <w:tcW w:w="0" w:type="auto"/>
            <w:gridSpan w:val="3"/>
            <w:shd w:val="clear" w:color="auto" w:fill="auto"/>
            <w:vAlign w:val="bottom"/>
          </w:tcPr>
          <w:p w14:paraId="22CFC0D1" w14:textId="77777777" w:rsidR="002661BA" w:rsidRDefault="002661BA">
            <w:pPr>
              <w:rPr>
                <w:rFonts w:ascii="宋体"/>
                <w:vanish/>
              </w:rPr>
            </w:pPr>
          </w:p>
        </w:tc>
        <w:tc>
          <w:tcPr>
            <w:tcW w:w="0" w:type="auto"/>
            <w:gridSpan w:val="3"/>
            <w:shd w:val="clear" w:color="auto" w:fill="auto"/>
            <w:vAlign w:val="bottom"/>
          </w:tcPr>
          <w:p w14:paraId="22CFC0D2" w14:textId="77777777" w:rsidR="002661BA" w:rsidRDefault="002661BA">
            <w:pPr>
              <w:rPr>
                <w:rFonts w:ascii="宋体"/>
                <w:vanish/>
              </w:rPr>
            </w:pPr>
          </w:p>
        </w:tc>
        <w:tc>
          <w:tcPr>
            <w:tcW w:w="0" w:type="auto"/>
            <w:gridSpan w:val="3"/>
            <w:shd w:val="clear" w:color="auto" w:fill="auto"/>
            <w:vAlign w:val="bottom"/>
          </w:tcPr>
          <w:p w14:paraId="22CFC0D3" w14:textId="77777777" w:rsidR="002661BA" w:rsidRDefault="002661BA">
            <w:pPr>
              <w:rPr>
                <w:rFonts w:ascii="宋体"/>
                <w:vanish/>
              </w:rPr>
            </w:pPr>
          </w:p>
        </w:tc>
        <w:tc>
          <w:tcPr>
            <w:tcW w:w="0" w:type="auto"/>
            <w:gridSpan w:val="3"/>
            <w:shd w:val="clear" w:color="auto" w:fill="auto"/>
            <w:vAlign w:val="bottom"/>
          </w:tcPr>
          <w:p w14:paraId="22CFC0D4" w14:textId="77777777" w:rsidR="002661BA" w:rsidRDefault="002661BA">
            <w:pPr>
              <w:rPr>
                <w:rFonts w:ascii="宋体"/>
                <w:vanish/>
              </w:rPr>
            </w:pPr>
          </w:p>
        </w:tc>
        <w:tc>
          <w:tcPr>
            <w:tcW w:w="0" w:type="auto"/>
            <w:gridSpan w:val="3"/>
            <w:shd w:val="clear" w:color="auto" w:fill="auto"/>
            <w:vAlign w:val="bottom"/>
          </w:tcPr>
          <w:p w14:paraId="22CFC0D5" w14:textId="77777777" w:rsidR="002661BA" w:rsidRDefault="002661BA">
            <w:pPr>
              <w:rPr>
                <w:rFonts w:ascii="宋体"/>
                <w:vanish/>
              </w:rPr>
            </w:pPr>
          </w:p>
        </w:tc>
        <w:tc>
          <w:tcPr>
            <w:tcW w:w="0" w:type="auto"/>
            <w:gridSpan w:val="3"/>
            <w:shd w:val="clear" w:color="auto" w:fill="auto"/>
            <w:vAlign w:val="bottom"/>
          </w:tcPr>
          <w:p w14:paraId="22CFC0D6" w14:textId="77777777" w:rsidR="002661BA" w:rsidRDefault="002661BA">
            <w:pPr>
              <w:rPr>
                <w:rFonts w:ascii="宋体"/>
                <w:vanish/>
              </w:rPr>
            </w:pPr>
          </w:p>
        </w:tc>
        <w:tc>
          <w:tcPr>
            <w:tcW w:w="0" w:type="auto"/>
            <w:gridSpan w:val="3"/>
            <w:shd w:val="clear" w:color="auto" w:fill="auto"/>
            <w:vAlign w:val="bottom"/>
          </w:tcPr>
          <w:p w14:paraId="22CFC0D7" w14:textId="77777777" w:rsidR="002661BA" w:rsidRDefault="002661BA">
            <w:pPr>
              <w:rPr>
                <w:rFonts w:ascii="宋体"/>
                <w:vanish/>
              </w:rPr>
            </w:pPr>
          </w:p>
        </w:tc>
      </w:tr>
      <w:tr w:rsidR="002661BA" w14:paraId="22CFC0E1" w14:textId="77777777">
        <w:trPr>
          <w:hidden/>
        </w:trPr>
        <w:tc>
          <w:tcPr>
            <w:tcW w:w="0" w:type="auto"/>
            <w:gridSpan w:val="3"/>
            <w:shd w:val="clear" w:color="auto" w:fill="auto"/>
            <w:vAlign w:val="bottom"/>
          </w:tcPr>
          <w:p w14:paraId="22CFC0D9" w14:textId="77777777" w:rsidR="002661BA" w:rsidRDefault="002661BA">
            <w:pPr>
              <w:rPr>
                <w:rFonts w:ascii="宋体"/>
                <w:vanish/>
              </w:rPr>
            </w:pPr>
          </w:p>
        </w:tc>
        <w:tc>
          <w:tcPr>
            <w:tcW w:w="0" w:type="auto"/>
            <w:gridSpan w:val="3"/>
            <w:shd w:val="clear" w:color="auto" w:fill="auto"/>
            <w:vAlign w:val="bottom"/>
          </w:tcPr>
          <w:p w14:paraId="22CFC0DA" w14:textId="77777777" w:rsidR="002661BA" w:rsidRDefault="002661BA">
            <w:pPr>
              <w:rPr>
                <w:rFonts w:ascii="宋体"/>
                <w:vanish/>
              </w:rPr>
            </w:pPr>
          </w:p>
        </w:tc>
        <w:tc>
          <w:tcPr>
            <w:tcW w:w="0" w:type="auto"/>
            <w:gridSpan w:val="3"/>
            <w:shd w:val="clear" w:color="auto" w:fill="auto"/>
            <w:vAlign w:val="bottom"/>
          </w:tcPr>
          <w:p w14:paraId="22CFC0DB" w14:textId="77777777" w:rsidR="002661BA" w:rsidRDefault="002661BA">
            <w:pPr>
              <w:rPr>
                <w:rFonts w:ascii="宋体"/>
                <w:vanish/>
              </w:rPr>
            </w:pPr>
          </w:p>
        </w:tc>
        <w:tc>
          <w:tcPr>
            <w:tcW w:w="0" w:type="auto"/>
            <w:gridSpan w:val="3"/>
            <w:shd w:val="clear" w:color="auto" w:fill="auto"/>
            <w:vAlign w:val="bottom"/>
          </w:tcPr>
          <w:p w14:paraId="22CFC0DC" w14:textId="77777777" w:rsidR="002661BA" w:rsidRDefault="002661BA">
            <w:pPr>
              <w:rPr>
                <w:rFonts w:ascii="宋体"/>
                <w:vanish/>
              </w:rPr>
            </w:pPr>
          </w:p>
        </w:tc>
        <w:tc>
          <w:tcPr>
            <w:tcW w:w="0" w:type="auto"/>
            <w:gridSpan w:val="3"/>
            <w:shd w:val="clear" w:color="auto" w:fill="auto"/>
            <w:vAlign w:val="bottom"/>
          </w:tcPr>
          <w:p w14:paraId="22CFC0DD" w14:textId="77777777" w:rsidR="002661BA" w:rsidRDefault="002661BA">
            <w:pPr>
              <w:rPr>
                <w:rFonts w:ascii="宋体"/>
                <w:vanish/>
              </w:rPr>
            </w:pPr>
          </w:p>
        </w:tc>
        <w:tc>
          <w:tcPr>
            <w:tcW w:w="0" w:type="auto"/>
            <w:gridSpan w:val="3"/>
            <w:shd w:val="clear" w:color="auto" w:fill="auto"/>
            <w:vAlign w:val="bottom"/>
          </w:tcPr>
          <w:p w14:paraId="22CFC0DE" w14:textId="77777777" w:rsidR="002661BA" w:rsidRDefault="002661BA">
            <w:pPr>
              <w:rPr>
                <w:rFonts w:ascii="宋体"/>
                <w:vanish/>
              </w:rPr>
            </w:pPr>
          </w:p>
        </w:tc>
        <w:tc>
          <w:tcPr>
            <w:tcW w:w="0" w:type="auto"/>
            <w:gridSpan w:val="3"/>
            <w:shd w:val="clear" w:color="auto" w:fill="auto"/>
            <w:vAlign w:val="bottom"/>
          </w:tcPr>
          <w:p w14:paraId="22CFC0DF" w14:textId="77777777" w:rsidR="002661BA" w:rsidRDefault="002661BA">
            <w:pPr>
              <w:rPr>
                <w:rFonts w:ascii="宋体"/>
                <w:vanish/>
              </w:rPr>
            </w:pPr>
          </w:p>
        </w:tc>
        <w:tc>
          <w:tcPr>
            <w:tcW w:w="0" w:type="auto"/>
            <w:gridSpan w:val="3"/>
            <w:shd w:val="clear" w:color="auto" w:fill="auto"/>
            <w:vAlign w:val="bottom"/>
          </w:tcPr>
          <w:p w14:paraId="22CFC0E0" w14:textId="77777777" w:rsidR="002661BA" w:rsidRDefault="002661BA">
            <w:pPr>
              <w:rPr>
                <w:rFonts w:ascii="宋体"/>
                <w:vanish/>
              </w:rPr>
            </w:pPr>
          </w:p>
        </w:tc>
      </w:tr>
      <w:tr w:rsidR="002661BA" w14:paraId="22CFC0F2" w14:textId="77777777">
        <w:tc>
          <w:tcPr>
            <w:tcW w:w="0" w:type="auto"/>
            <w:gridSpan w:val="3"/>
            <w:shd w:val="clear" w:color="auto" w:fill="E2E2E2"/>
            <w:tcMar>
              <w:top w:w="0" w:type="dxa"/>
              <w:left w:w="20" w:type="dxa"/>
              <w:bottom w:w="0" w:type="dxa"/>
              <w:right w:w="20" w:type="dxa"/>
            </w:tcMar>
            <w:vAlign w:val="bottom"/>
          </w:tcPr>
          <w:p w14:paraId="22CFC0E2"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0E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0E4" w14:textId="77777777" w:rsidR="002661BA" w:rsidRDefault="00D972BC">
            <w:pPr>
              <w:jc w:val="right"/>
              <w:textAlignment w:val="bottom"/>
            </w:pPr>
            <w:r>
              <w:rPr>
                <w:rFonts w:ascii="Arial" w:eastAsia="宋体" w:hAnsi="Arial" w:cs="Arial"/>
                <w:color w:val="000000"/>
                <w:sz w:val="18"/>
                <w:szCs w:val="18"/>
              </w:rPr>
              <w:t>4,198 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0E5"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0E6"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C0E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0E8" w14:textId="77777777" w:rsidR="002661BA" w:rsidRDefault="00D972BC">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0E9"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0EA"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C0EB"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0EC"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0ED"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0EE"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C0E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0F0" w14:textId="77777777" w:rsidR="002661BA" w:rsidRDefault="00D972BC">
            <w:pPr>
              <w:jc w:val="right"/>
              <w:textAlignment w:val="bottom"/>
            </w:pPr>
            <w:r>
              <w:rPr>
                <w:rFonts w:ascii="Arial" w:eastAsia="宋体" w:hAnsi="Arial" w:cs="Arial"/>
                <w:color w:val="000000"/>
                <w:sz w:val="18"/>
                <w:szCs w:val="18"/>
              </w:rPr>
              <w:t>4,199 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0F1" w14:textId="77777777" w:rsidR="002661BA" w:rsidRDefault="002661BA">
            <w:pPr>
              <w:jc w:val="right"/>
              <w:rPr>
                <w:rFonts w:ascii="宋体"/>
              </w:rPr>
            </w:pPr>
          </w:p>
        </w:tc>
      </w:tr>
      <w:tr w:rsidR="002661BA" w14:paraId="22CFC0FB" w14:textId="77777777">
        <w:tc>
          <w:tcPr>
            <w:tcW w:w="0" w:type="auto"/>
            <w:gridSpan w:val="3"/>
            <w:shd w:val="clear" w:color="auto" w:fill="FFFFFF"/>
            <w:tcMar>
              <w:top w:w="40" w:type="dxa"/>
              <w:left w:w="20" w:type="dxa"/>
              <w:bottom w:w="40" w:type="dxa"/>
              <w:right w:w="20" w:type="dxa"/>
            </w:tcMar>
            <w:vAlign w:val="bottom"/>
          </w:tcPr>
          <w:p w14:paraId="22CFC0F3" w14:textId="77777777" w:rsidR="002661BA" w:rsidRDefault="00D972BC">
            <w:pPr>
              <w:textAlignment w:val="bottom"/>
            </w:pPr>
            <w:r>
              <w:rPr>
                <w:rFonts w:ascii="Arial" w:eastAsia="宋体" w:hAnsi="Arial" w:cs="Arial"/>
                <w:color w:val="000000"/>
                <w:sz w:val="18"/>
                <w:szCs w:val="18"/>
              </w:rPr>
              <w:t>Long-term investments: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C0F4"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C0F5"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C0F6"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C0F7"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C0F8"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C0F9"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C0FA" w14:textId="77777777" w:rsidR="002661BA" w:rsidRDefault="002661BA">
            <w:pPr>
              <w:rPr>
                <w:rFonts w:ascii="宋体"/>
              </w:rPr>
            </w:pPr>
          </w:p>
        </w:tc>
      </w:tr>
      <w:tr w:rsidR="002661BA" w14:paraId="22CFC10C" w14:textId="77777777">
        <w:tc>
          <w:tcPr>
            <w:tcW w:w="0" w:type="auto"/>
            <w:gridSpan w:val="3"/>
            <w:shd w:val="clear" w:color="auto" w:fill="E2E2E2"/>
            <w:tcMar>
              <w:top w:w="40" w:type="dxa"/>
              <w:left w:w="245" w:type="dxa"/>
              <w:bottom w:w="40" w:type="dxa"/>
              <w:right w:w="20" w:type="dxa"/>
            </w:tcMar>
            <w:vAlign w:val="bottom"/>
          </w:tcPr>
          <w:p w14:paraId="22CFC0FC" w14:textId="77777777" w:rsidR="002661BA" w:rsidRDefault="00D972BC">
            <w:pPr>
              <w:textAlignment w:val="bottom"/>
            </w:pPr>
            <w:r>
              <w:rPr>
                <w:rFonts w:ascii="Arial" w:eastAsia="宋体" w:hAnsi="Arial" w:cs="Arial"/>
                <w:color w:val="000000"/>
                <w:sz w:val="18"/>
                <w:szCs w:val="18"/>
              </w:rPr>
              <w:t>Corporate debt securities</w:t>
            </w:r>
          </w:p>
        </w:tc>
        <w:tc>
          <w:tcPr>
            <w:tcW w:w="0" w:type="auto"/>
            <w:shd w:val="clear" w:color="auto" w:fill="E2E2E2"/>
            <w:tcMar>
              <w:top w:w="40" w:type="dxa"/>
              <w:left w:w="20" w:type="dxa"/>
              <w:bottom w:w="40" w:type="dxa"/>
              <w:right w:w="0" w:type="dxa"/>
            </w:tcMar>
            <w:vAlign w:val="bottom"/>
          </w:tcPr>
          <w:p w14:paraId="22CFC0F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C0FE" w14:textId="77777777" w:rsidR="002661BA" w:rsidRDefault="00D972BC">
            <w:pPr>
              <w:jc w:val="right"/>
              <w:textAlignment w:val="bottom"/>
            </w:pPr>
            <w:r>
              <w:rPr>
                <w:rFonts w:ascii="Arial" w:eastAsia="宋体" w:hAnsi="Arial" w:cs="Arial"/>
                <w:color w:val="000000"/>
                <w:sz w:val="18"/>
                <w:szCs w:val="18"/>
              </w:rPr>
              <w:t>954 </w:t>
            </w:r>
          </w:p>
        </w:tc>
        <w:tc>
          <w:tcPr>
            <w:tcW w:w="0" w:type="auto"/>
            <w:shd w:val="clear" w:color="auto" w:fill="E2E2E2"/>
            <w:tcMar>
              <w:top w:w="40" w:type="dxa"/>
              <w:left w:w="0" w:type="dxa"/>
              <w:bottom w:w="40" w:type="dxa"/>
              <w:right w:w="20" w:type="dxa"/>
            </w:tcMar>
            <w:vAlign w:val="bottom"/>
          </w:tcPr>
          <w:p w14:paraId="22CFC0FF"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100"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E2E2E2"/>
            <w:tcMar>
              <w:top w:w="40" w:type="dxa"/>
              <w:left w:w="20" w:type="dxa"/>
              <w:bottom w:w="40" w:type="dxa"/>
              <w:right w:w="0" w:type="dxa"/>
            </w:tcMar>
            <w:vAlign w:val="bottom"/>
          </w:tcPr>
          <w:p w14:paraId="22CFC101"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C102" w14:textId="77777777" w:rsidR="002661BA" w:rsidRDefault="00D972BC">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22CFC103"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104"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E2E2E2"/>
            <w:tcMar>
              <w:top w:w="40" w:type="dxa"/>
              <w:left w:w="20" w:type="dxa"/>
              <w:bottom w:w="40" w:type="dxa"/>
              <w:right w:w="0" w:type="dxa"/>
            </w:tcMar>
            <w:vAlign w:val="bottom"/>
          </w:tcPr>
          <w:p w14:paraId="22CFC105"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C106" w14:textId="77777777" w:rsidR="002661BA" w:rsidRDefault="00D972BC">
            <w:pPr>
              <w:jc w:val="right"/>
              <w:textAlignment w:val="bottom"/>
            </w:pPr>
            <w:r>
              <w:rPr>
                <w:rFonts w:ascii="Arial" w:eastAsia="宋体" w:hAnsi="Arial" w:cs="Arial"/>
                <w:color w:val="000000"/>
                <w:sz w:val="18"/>
                <w:szCs w:val="18"/>
              </w:rPr>
              <w:t>(5)</w:t>
            </w:r>
          </w:p>
        </w:tc>
        <w:tc>
          <w:tcPr>
            <w:tcW w:w="0" w:type="auto"/>
            <w:shd w:val="clear" w:color="auto" w:fill="E2E2E2"/>
            <w:tcMar>
              <w:top w:w="40" w:type="dxa"/>
              <w:left w:w="0" w:type="dxa"/>
              <w:bottom w:w="40" w:type="dxa"/>
              <w:right w:w="20" w:type="dxa"/>
            </w:tcMar>
            <w:vAlign w:val="bottom"/>
          </w:tcPr>
          <w:p w14:paraId="22CFC107"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108"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E2E2E2"/>
            <w:tcMar>
              <w:top w:w="40" w:type="dxa"/>
              <w:left w:w="20" w:type="dxa"/>
              <w:bottom w:w="40" w:type="dxa"/>
              <w:right w:w="0" w:type="dxa"/>
            </w:tcMar>
            <w:vAlign w:val="bottom"/>
          </w:tcPr>
          <w:p w14:paraId="22CFC10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C10A" w14:textId="77777777" w:rsidR="002661BA" w:rsidRDefault="00D972BC">
            <w:pPr>
              <w:jc w:val="right"/>
              <w:textAlignment w:val="bottom"/>
            </w:pPr>
            <w:r>
              <w:rPr>
                <w:rFonts w:ascii="Arial" w:eastAsia="宋体" w:hAnsi="Arial" w:cs="Arial"/>
                <w:color w:val="000000"/>
                <w:sz w:val="18"/>
                <w:szCs w:val="18"/>
              </w:rPr>
              <w:t>950 </w:t>
            </w:r>
          </w:p>
        </w:tc>
        <w:tc>
          <w:tcPr>
            <w:tcW w:w="0" w:type="auto"/>
            <w:shd w:val="clear" w:color="auto" w:fill="E2E2E2"/>
            <w:tcMar>
              <w:top w:w="40" w:type="dxa"/>
              <w:left w:w="0" w:type="dxa"/>
              <w:bottom w:w="40" w:type="dxa"/>
              <w:right w:w="20" w:type="dxa"/>
            </w:tcMar>
            <w:vAlign w:val="bottom"/>
          </w:tcPr>
          <w:p w14:paraId="22CFC10B" w14:textId="77777777" w:rsidR="002661BA" w:rsidRDefault="002661BA">
            <w:pPr>
              <w:jc w:val="right"/>
              <w:rPr>
                <w:rFonts w:ascii="宋体"/>
              </w:rPr>
            </w:pPr>
          </w:p>
        </w:tc>
      </w:tr>
      <w:tr w:rsidR="002661BA" w14:paraId="22CFC119" w14:textId="77777777">
        <w:tc>
          <w:tcPr>
            <w:tcW w:w="0" w:type="auto"/>
            <w:gridSpan w:val="3"/>
            <w:shd w:val="clear" w:color="auto" w:fill="FFFFFF"/>
            <w:tcMar>
              <w:top w:w="40" w:type="dxa"/>
              <w:left w:w="245" w:type="dxa"/>
              <w:bottom w:w="40" w:type="dxa"/>
              <w:right w:w="20" w:type="dxa"/>
            </w:tcMar>
            <w:vAlign w:val="bottom"/>
          </w:tcPr>
          <w:p w14:paraId="22CFC10D" w14:textId="77777777" w:rsidR="002661BA" w:rsidRDefault="00D972BC">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22CFC10E" w14:textId="77777777" w:rsidR="002661BA" w:rsidRDefault="00D972BC">
            <w:pPr>
              <w:jc w:val="right"/>
              <w:textAlignment w:val="bottom"/>
            </w:pPr>
            <w:r>
              <w:rPr>
                <w:rFonts w:ascii="Arial" w:eastAsia="宋体" w:hAnsi="Arial" w:cs="Arial"/>
                <w:color w:val="000000"/>
                <w:sz w:val="18"/>
                <w:szCs w:val="18"/>
              </w:rPr>
              <w:t>779 </w:t>
            </w:r>
          </w:p>
        </w:tc>
        <w:tc>
          <w:tcPr>
            <w:tcW w:w="0" w:type="auto"/>
            <w:shd w:val="clear" w:color="auto" w:fill="FFFFFF"/>
            <w:tcMar>
              <w:top w:w="40" w:type="dxa"/>
              <w:left w:w="0" w:type="dxa"/>
              <w:bottom w:w="40" w:type="dxa"/>
              <w:right w:w="20" w:type="dxa"/>
            </w:tcMar>
            <w:vAlign w:val="bottom"/>
          </w:tcPr>
          <w:p w14:paraId="22CFC10F"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110"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C111"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112"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113"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C114" w14:textId="77777777" w:rsidR="002661BA" w:rsidRDefault="00D972BC">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22CFC115"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116"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C117" w14:textId="77777777" w:rsidR="002661BA" w:rsidRDefault="00D972BC">
            <w:pPr>
              <w:jc w:val="right"/>
              <w:textAlignment w:val="bottom"/>
            </w:pPr>
            <w:r>
              <w:rPr>
                <w:rFonts w:ascii="Arial" w:eastAsia="宋体" w:hAnsi="Arial" w:cs="Arial"/>
                <w:color w:val="000000"/>
                <w:sz w:val="18"/>
                <w:szCs w:val="18"/>
              </w:rPr>
              <w:t>777 </w:t>
            </w:r>
          </w:p>
        </w:tc>
        <w:tc>
          <w:tcPr>
            <w:tcW w:w="0" w:type="auto"/>
            <w:shd w:val="clear" w:color="auto" w:fill="FFFFFF"/>
            <w:tcMar>
              <w:top w:w="40" w:type="dxa"/>
              <w:left w:w="0" w:type="dxa"/>
              <w:bottom w:w="40" w:type="dxa"/>
              <w:right w:w="20" w:type="dxa"/>
            </w:tcMar>
            <w:vAlign w:val="bottom"/>
          </w:tcPr>
          <w:p w14:paraId="22CFC118" w14:textId="77777777" w:rsidR="002661BA" w:rsidRDefault="002661BA">
            <w:pPr>
              <w:jc w:val="right"/>
              <w:rPr>
                <w:rFonts w:ascii="宋体"/>
              </w:rPr>
            </w:pPr>
          </w:p>
        </w:tc>
      </w:tr>
      <w:tr w:rsidR="002661BA" w14:paraId="22CFC12A" w14:textId="77777777">
        <w:tc>
          <w:tcPr>
            <w:tcW w:w="0" w:type="auto"/>
            <w:gridSpan w:val="3"/>
            <w:shd w:val="clear" w:color="auto" w:fill="E2E2E2"/>
            <w:tcMar>
              <w:top w:w="0" w:type="dxa"/>
              <w:left w:w="20" w:type="dxa"/>
              <w:bottom w:w="0" w:type="dxa"/>
              <w:right w:w="20" w:type="dxa"/>
            </w:tcMar>
            <w:vAlign w:val="bottom"/>
          </w:tcPr>
          <w:p w14:paraId="22CFC11A"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C11B"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C11C" w14:textId="77777777" w:rsidR="002661BA" w:rsidRDefault="00D972BC">
            <w:pPr>
              <w:jc w:val="right"/>
              <w:textAlignment w:val="bottom"/>
            </w:pPr>
            <w:r>
              <w:rPr>
                <w:rFonts w:ascii="Arial" w:eastAsia="宋体" w:hAnsi="Arial" w:cs="Arial"/>
                <w:color w:val="000000"/>
                <w:sz w:val="18"/>
                <w:szCs w:val="18"/>
              </w:rPr>
              <w:t>1,733 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C11D"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11E"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C11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C120" w14:textId="77777777" w:rsidR="002661BA" w:rsidRDefault="00D972BC">
            <w:pPr>
              <w:jc w:val="right"/>
              <w:textAlignment w:val="bottom"/>
            </w:pPr>
            <w:r>
              <w:rPr>
                <w:rFonts w:ascii="Arial" w:eastAsia="宋体" w:hAnsi="Arial" w:cs="Arial"/>
                <w:color w:val="000000"/>
                <w:sz w:val="18"/>
                <w:szCs w:val="18"/>
              </w:rPr>
              <w:t>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C121"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122"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C12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C124" w14:textId="77777777" w:rsidR="002661BA" w:rsidRDefault="00D972BC">
            <w:pPr>
              <w:jc w:val="right"/>
              <w:textAlignment w:val="bottom"/>
            </w:pPr>
            <w:r>
              <w:rPr>
                <w:rFonts w:ascii="Arial" w:eastAsia="宋体" w:hAnsi="Arial" w:cs="Arial"/>
                <w:color w:val="000000"/>
                <w:sz w:val="18"/>
                <w:szCs w:val="18"/>
              </w:rPr>
              <w:t>(7)</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C125"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126"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C12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C128" w14:textId="77777777" w:rsidR="002661BA" w:rsidRDefault="00D972BC">
            <w:pPr>
              <w:jc w:val="right"/>
              <w:textAlignment w:val="bottom"/>
            </w:pPr>
            <w:r>
              <w:rPr>
                <w:rFonts w:ascii="Arial" w:eastAsia="宋体" w:hAnsi="Arial" w:cs="Arial"/>
                <w:color w:val="000000"/>
                <w:sz w:val="18"/>
                <w:szCs w:val="18"/>
              </w:rPr>
              <w:t>1,727 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C129" w14:textId="77777777" w:rsidR="002661BA" w:rsidRDefault="002661BA">
            <w:pPr>
              <w:jc w:val="right"/>
              <w:rPr>
                <w:rFonts w:ascii="宋体"/>
              </w:rPr>
            </w:pPr>
          </w:p>
        </w:tc>
      </w:tr>
    </w:tbl>
    <w:p w14:paraId="22CFC12B" w14:textId="77777777" w:rsidR="002661BA" w:rsidRDefault="00D972BC">
      <w:pPr>
        <w:jc w:val="both"/>
      </w:pPr>
      <w:r>
        <w:rPr>
          <w:rFonts w:ascii="Arial" w:eastAsia="宋体" w:hAnsi="Arial" w:cs="Arial"/>
          <w:color w:val="000000"/>
          <w:sz w:val="14"/>
          <w:szCs w:val="14"/>
        </w:rPr>
        <w:t> </w:t>
      </w:r>
    </w:p>
    <w:tbl>
      <w:tblPr>
        <w:tblW w:w="5000" w:type="pct"/>
        <w:tblCellMar>
          <w:top w:w="15" w:type="dxa"/>
          <w:left w:w="15" w:type="dxa"/>
          <w:bottom w:w="15" w:type="dxa"/>
          <w:right w:w="15" w:type="dxa"/>
        </w:tblCellMar>
        <w:tblLook w:val="04A0" w:firstRow="1" w:lastRow="0" w:firstColumn="1" w:lastColumn="0" w:noHBand="0" w:noVBand="1"/>
      </w:tblPr>
      <w:tblGrid>
        <w:gridCol w:w="37"/>
        <w:gridCol w:w="3714"/>
        <w:gridCol w:w="36"/>
        <w:gridCol w:w="122"/>
        <w:gridCol w:w="871"/>
        <w:gridCol w:w="36"/>
        <w:gridCol w:w="37"/>
        <w:gridCol w:w="88"/>
        <w:gridCol w:w="36"/>
        <w:gridCol w:w="122"/>
        <w:gridCol w:w="871"/>
        <w:gridCol w:w="36"/>
        <w:gridCol w:w="37"/>
        <w:gridCol w:w="88"/>
        <w:gridCol w:w="36"/>
        <w:gridCol w:w="122"/>
        <w:gridCol w:w="871"/>
        <w:gridCol w:w="36"/>
        <w:gridCol w:w="36"/>
        <w:gridCol w:w="36"/>
        <w:gridCol w:w="36"/>
        <w:gridCol w:w="122"/>
        <w:gridCol w:w="874"/>
        <w:gridCol w:w="36"/>
      </w:tblGrid>
      <w:tr w:rsidR="002661BA" w14:paraId="22CFC144" w14:textId="77777777">
        <w:tc>
          <w:tcPr>
            <w:tcW w:w="50" w:type="pct"/>
            <w:shd w:val="clear" w:color="auto" w:fill="auto"/>
            <w:vAlign w:val="bottom"/>
          </w:tcPr>
          <w:p w14:paraId="22CFC12C" w14:textId="77777777" w:rsidR="002661BA" w:rsidRDefault="002661BA">
            <w:pPr>
              <w:rPr>
                <w:rFonts w:ascii="宋体"/>
              </w:rPr>
            </w:pPr>
          </w:p>
        </w:tc>
        <w:tc>
          <w:tcPr>
            <w:tcW w:w="2313" w:type="pct"/>
            <w:shd w:val="clear" w:color="auto" w:fill="auto"/>
            <w:vAlign w:val="bottom"/>
          </w:tcPr>
          <w:p w14:paraId="22CFC12D" w14:textId="77777777" w:rsidR="002661BA" w:rsidRDefault="002661BA">
            <w:pPr>
              <w:rPr>
                <w:rFonts w:ascii="宋体"/>
              </w:rPr>
            </w:pPr>
          </w:p>
        </w:tc>
        <w:tc>
          <w:tcPr>
            <w:tcW w:w="5" w:type="pct"/>
            <w:shd w:val="clear" w:color="auto" w:fill="auto"/>
            <w:vAlign w:val="bottom"/>
          </w:tcPr>
          <w:p w14:paraId="22CFC12E" w14:textId="77777777" w:rsidR="002661BA" w:rsidRDefault="002661BA">
            <w:pPr>
              <w:rPr>
                <w:rFonts w:ascii="宋体"/>
              </w:rPr>
            </w:pPr>
          </w:p>
        </w:tc>
        <w:tc>
          <w:tcPr>
            <w:tcW w:w="50" w:type="pct"/>
            <w:shd w:val="clear" w:color="auto" w:fill="auto"/>
            <w:vAlign w:val="bottom"/>
          </w:tcPr>
          <w:p w14:paraId="22CFC12F" w14:textId="77777777" w:rsidR="002661BA" w:rsidRDefault="002661BA">
            <w:pPr>
              <w:rPr>
                <w:rFonts w:ascii="宋体"/>
              </w:rPr>
            </w:pPr>
          </w:p>
        </w:tc>
        <w:tc>
          <w:tcPr>
            <w:tcW w:w="580" w:type="pct"/>
            <w:shd w:val="clear" w:color="auto" w:fill="auto"/>
            <w:vAlign w:val="bottom"/>
          </w:tcPr>
          <w:p w14:paraId="22CFC130" w14:textId="77777777" w:rsidR="002661BA" w:rsidRDefault="002661BA">
            <w:pPr>
              <w:rPr>
                <w:rFonts w:ascii="宋体"/>
              </w:rPr>
            </w:pPr>
          </w:p>
        </w:tc>
        <w:tc>
          <w:tcPr>
            <w:tcW w:w="5" w:type="pct"/>
            <w:shd w:val="clear" w:color="auto" w:fill="auto"/>
            <w:vAlign w:val="bottom"/>
          </w:tcPr>
          <w:p w14:paraId="22CFC131" w14:textId="77777777" w:rsidR="002661BA" w:rsidRDefault="002661BA">
            <w:pPr>
              <w:rPr>
                <w:rFonts w:ascii="宋体"/>
              </w:rPr>
            </w:pPr>
          </w:p>
        </w:tc>
        <w:tc>
          <w:tcPr>
            <w:tcW w:w="5" w:type="pct"/>
            <w:shd w:val="clear" w:color="auto" w:fill="auto"/>
            <w:vAlign w:val="bottom"/>
          </w:tcPr>
          <w:p w14:paraId="22CFC132" w14:textId="77777777" w:rsidR="002661BA" w:rsidRDefault="002661BA">
            <w:pPr>
              <w:rPr>
                <w:rFonts w:ascii="宋体"/>
              </w:rPr>
            </w:pPr>
          </w:p>
        </w:tc>
        <w:tc>
          <w:tcPr>
            <w:tcW w:w="19" w:type="pct"/>
            <w:shd w:val="clear" w:color="auto" w:fill="auto"/>
            <w:vAlign w:val="bottom"/>
          </w:tcPr>
          <w:p w14:paraId="22CFC133" w14:textId="77777777" w:rsidR="002661BA" w:rsidRDefault="002661BA">
            <w:pPr>
              <w:rPr>
                <w:rFonts w:ascii="宋体"/>
              </w:rPr>
            </w:pPr>
          </w:p>
        </w:tc>
        <w:tc>
          <w:tcPr>
            <w:tcW w:w="5" w:type="pct"/>
            <w:shd w:val="clear" w:color="auto" w:fill="auto"/>
            <w:vAlign w:val="bottom"/>
          </w:tcPr>
          <w:p w14:paraId="22CFC134" w14:textId="77777777" w:rsidR="002661BA" w:rsidRDefault="002661BA">
            <w:pPr>
              <w:rPr>
                <w:rFonts w:ascii="宋体"/>
              </w:rPr>
            </w:pPr>
          </w:p>
        </w:tc>
        <w:tc>
          <w:tcPr>
            <w:tcW w:w="50" w:type="pct"/>
            <w:shd w:val="clear" w:color="auto" w:fill="auto"/>
            <w:vAlign w:val="bottom"/>
          </w:tcPr>
          <w:p w14:paraId="22CFC135" w14:textId="77777777" w:rsidR="002661BA" w:rsidRDefault="002661BA">
            <w:pPr>
              <w:rPr>
                <w:rFonts w:ascii="宋体"/>
              </w:rPr>
            </w:pPr>
          </w:p>
        </w:tc>
        <w:tc>
          <w:tcPr>
            <w:tcW w:w="580" w:type="pct"/>
            <w:shd w:val="clear" w:color="auto" w:fill="auto"/>
            <w:vAlign w:val="bottom"/>
          </w:tcPr>
          <w:p w14:paraId="22CFC136" w14:textId="77777777" w:rsidR="002661BA" w:rsidRDefault="002661BA">
            <w:pPr>
              <w:rPr>
                <w:rFonts w:ascii="宋体"/>
              </w:rPr>
            </w:pPr>
          </w:p>
        </w:tc>
        <w:tc>
          <w:tcPr>
            <w:tcW w:w="5" w:type="pct"/>
            <w:shd w:val="clear" w:color="auto" w:fill="auto"/>
            <w:vAlign w:val="bottom"/>
          </w:tcPr>
          <w:p w14:paraId="22CFC137" w14:textId="77777777" w:rsidR="002661BA" w:rsidRDefault="002661BA">
            <w:pPr>
              <w:rPr>
                <w:rFonts w:ascii="宋体"/>
              </w:rPr>
            </w:pPr>
          </w:p>
        </w:tc>
        <w:tc>
          <w:tcPr>
            <w:tcW w:w="5" w:type="pct"/>
            <w:shd w:val="clear" w:color="auto" w:fill="auto"/>
            <w:vAlign w:val="bottom"/>
          </w:tcPr>
          <w:p w14:paraId="22CFC138" w14:textId="77777777" w:rsidR="002661BA" w:rsidRDefault="002661BA">
            <w:pPr>
              <w:rPr>
                <w:rFonts w:ascii="宋体"/>
              </w:rPr>
            </w:pPr>
          </w:p>
        </w:tc>
        <w:tc>
          <w:tcPr>
            <w:tcW w:w="19" w:type="pct"/>
            <w:shd w:val="clear" w:color="auto" w:fill="auto"/>
            <w:vAlign w:val="bottom"/>
          </w:tcPr>
          <w:p w14:paraId="22CFC139" w14:textId="77777777" w:rsidR="002661BA" w:rsidRDefault="002661BA">
            <w:pPr>
              <w:rPr>
                <w:rFonts w:ascii="宋体"/>
              </w:rPr>
            </w:pPr>
          </w:p>
        </w:tc>
        <w:tc>
          <w:tcPr>
            <w:tcW w:w="5" w:type="pct"/>
            <w:shd w:val="clear" w:color="auto" w:fill="auto"/>
            <w:vAlign w:val="bottom"/>
          </w:tcPr>
          <w:p w14:paraId="22CFC13A" w14:textId="77777777" w:rsidR="002661BA" w:rsidRDefault="002661BA">
            <w:pPr>
              <w:rPr>
                <w:rFonts w:ascii="宋体"/>
              </w:rPr>
            </w:pPr>
          </w:p>
        </w:tc>
        <w:tc>
          <w:tcPr>
            <w:tcW w:w="50" w:type="pct"/>
            <w:shd w:val="clear" w:color="auto" w:fill="auto"/>
            <w:vAlign w:val="bottom"/>
          </w:tcPr>
          <w:p w14:paraId="22CFC13B" w14:textId="77777777" w:rsidR="002661BA" w:rsidRDefault="002661BA">
            <w:pPr>
              <w:rPr>
                <w:rFonts w:ascii="宋体"/>
              </w:rPr>
            </w:pPr>
          </w:p>
        </w:tc>
        <w:tc>
          <w:tcPr>
            <w:tcW w:w="580" w:type="pct"/>
            <w:shd w:val="clear" w:color="auto" w:fill="auto"/>
            <w:vAlign w:val="bottom"/>
          </w:tcPr>
          <w:p w14:paraId="22CFC13C" w14:textId="77777777" w:rsidR="002661BA" w:rsidRDefault="002661BA">
            <w:pPr>
              <w:rPr>
                <w:rFonts w:ascii="宋体"/>
              </w:rPr>
            </w:pPr>
          </w:p>
        </w:tc>
        <w:tc>
          <w:tcPr>
            <w:tcW w:w="5" w:type="pct"/>
            <w:shd w:val="clear" w:color="auto" w:fill="auto"/>
            <w:vAlign w:val="bottom"/>
          </w:tcPr>
          <w:p w14:paraId="22CFC13D" w14:textId="77777777" w:rsidR="002661BA" w:rsidRDefault="002661BA">
            <w:pPr>
              <w:rPr>
                <w:rFonts w:ascii="宋体"/>
              </w:rPr>
            </w:pPr>
          </w:p>
        </w:tc>
        <w:tc>
          <w:tcPr>
            <w:tcW w:w="5" w:type="pct"/>
            <w:shd w:val="clear" w:color="auto" w:fill="auto"/>
            <w:vAlign w:val="bottom"/>
          </w:tcPr>
          <w:p w14:paraId="22CFC13E" w14:textId="77777777" w:rsidR="002661BA" w:rsidRDefault="002661BA">
            <w:pPr>
              <w:rPr>
                <w:rFonts w:ascii="宋体"/>
              </w:rPr>
            </w:pPr>
          </w:p>
        </w:tc>
        <w:tc>
          <w:tcPr>
            <w:tcW w:w="19" w:type="pct"/>
            <w:shd w:val="clear" w:color="auto" w:fill="auto"/>
            <w:vAlign w:val="bottom"/>
          </w:tcPr>
          <w:p w14:paraId="22CFC13F" w14:textId="77777777" w:rsidR="002661BA" w:rsidRDefault="002661BA">
            <w:pPr>
              <w:rPr>
                <w:rFonts w:ascii="宋体"/>
              </w:rPr>
            </w:pPr>
          </w:p>
        </w:tc>
        <w:tc>
          <w:tcPr>
            <w:tcW w:w="5" w:type="pct"/>
            <w:shd w:val="clear" w:color="auto" w:fill="auto"/>
            <w:vAlign w:val="bottom"/>
          </w:tcPr>
          <w:p w14:paraId="22CFC140" w14:textId="77777777" w:rsidR="002661BA" w:rsidRDefault="002661BA">
            <w:pPr>
              <w:rPr>
                <w:rFonts w:ascii="宋体"/>
              </w:rPr>
            </w:pPr>
          </w:p>
        </w:tc>
        <w:tc>
          <w:tcPr>
            <w:tcW w:w="50" w:type="pct"/>
            <w:shd w:val="clear" w:color="auto" w:fill="auto"/>
            <w:vAlign w:val="bottom"/>
          </w:tcPr>
          <w:p w14:paraId="22CFC141" w14:textId="77777777" w:rsidR="002661BA" w:rsidRDefault="002661BA">
            <w:pPr>
              <w:rPr>
                <w:rFonts w:ascii="宋体"/>
              </w:rPr>
            </w:pPr>
          </w:p>
        </w:tc>
        <w:tc>
          <w:tcPr>
            <w:tcW w:w="581" w:type="pct"/>
            <w:shd w:val="clear" w:color="auto" w:fill="auto"/>
            <w:vAlign w:val="bottom"/>
          </w:tcPr>
          <w:p w14:paraId="22CFC142" w14:textId="77777777" w:rsidR="002661BA" w:rsidRDefault="002661BA">
            <w:pPr>
              <w:rPr>
                <w:rFonts w:ascii="宋体"/>
              </w:rPr>
            </w:pPr>
          </w:p>
        </w:tc>
        <w:tc>
          <w:tcPr>
            <w:tcW w:w="5" w:type="pct"/>
            <w:shd w:val="clear" w:color="auto" w:fill="auto"/>
            <w:vAlign w:val="bottom"/>
          </w:tcPr>
          <w:p w14:paraId="22CFC143" w14:textId="77777777" w:rsidR="002661BA" w:rsidRDefault="002661BA">
            <w:pPr>
              <w:rPr>
                <w:rFonts w:ascii="宋体"/>
              </w:rPr>
            </w:pPr>
          </w:p>
        </w:tc>
      </w:tr>
      <w:tr w:rsidR="002661BA" w14:paraId="22CFC147" w14:textId="77777777">
        <w:tc>
          <w:tcPr>
            <w:tcW w:w="0" w:type="auto"/>
            <w:gridSpan w:val="3"/>
            <w:shd w:val="clear" w:color="auto" w:fill="auto"/>
            <w:tcMar>
              <w:top w:w="40" w:type="dxa"/>
              <w:left w:w="20" w:type="dxa"/>
              <w:bottom w:w="40" w:type="dxa"/>
              <w:right w:w="20" w:type="dxa"/>
            </w:tcMar>
            <w:vAlign w:val="bottom"/>
          </w:tcPr>
          <w:p w14:paraId="22CFC145" w14:textId="77777777" w:rsidR="002661BA" w:rsidRDefault="00D972BC">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22CFC146" w14:textId="77777777" w:rsidR="002661BA" w:rsidRDefault="00D972BC">
            <w:pPr>
              <w:jc w:val="center"/>
              <w:textAlignment w:val="bottom"/>
            </w:pPr>
            <w:r>
              <w:rPr>
                <w:rFonts w:ascii="Arial" w:eastAsia="宋体" w:hAnsi="Arial" w:cs="Arial"/>
                <w:b/>
                <w:bCs/>
                <w:color w:val="000000"/>
                <w:sz w:val="17"/>
                <w:szCs w:val="17"/>
              </w:rPr>
              <w:t>December 31, 2020</w:t>
            </w:r>
          </w:p>
        </w:tc>
      </w:tr>
      <w:tr w:rsidR="002661BA" w14:paraId="22CFC150" w14:textId="77777777">
        <w:tc>
          <w:tcPr>
            <w:tcW w:w="0" w:type="auto"/>
            <w:gridSpan w:val="3"/>
            <w:shd w:val="clear" w:color="auto" w:fill="auto"/>
            <w:tcMar>
              <w:top w:w="40" w:type="dxa"/>
              <w:left w:w="20" w:type="dxa"/>
              <w:bottom w:w="40" w:type="dxa"/>
              <w:right w:w="20" w:type="dxa"/>
            </w:tcMar>
            <w:vAlign w:val="bottom"/>
          </w:tcPr>
          <w:p w14:paraId="22CFC148" w14:textId="77777777" w:rsidR="002661BA" w:rsidRDefault="00D972BC">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149" w14:textId="77777777" w:rsidR="002661BA" w:rsidRDefault="00D972BC">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Amortized</w:t>
            </w:r>
            <w:r>
              <w:rPr>
                <w:rFonts w:ascii="Arial" w:eastAsia="宋体" w:hAnsi="Arial" w:cs="Arial"/>
                <w:b/>
                <w:bCs/>
                <w:color w:val="000000"/>
                <w:sz w:val="17"/>
                <w:szCs w:val="17"/>
              </w:rPr>
              <w:br/>
              <w:t>Cost</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14A"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14B" w14:textId="77777777" w:rsidR="002661BA" w:rsidRDefault="00D972BC">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Unrealized</w:t>
            </w:r>
            <w:r>
              <w:rPr>
                <w:rFonts w:ascii="Arial" w:eastAsia="宋体" w:hAnsi="Arial" w:cs="Arial"/>
                <w:b/>
                <w:bCs/>
                <w:color w:val="000000"/>
                <w:sz w:val="17"/>
                <w:szCs w:val="17"/>
              </w:rPr>
              <w:br/>
              <w:t>Gains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14C"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14D" w14:textId="77777777" w:rsidR="002661BA" w:rsidRDefault="00D972BC">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Unrealized</w:t>
            </w:r>
            <w:r>
              <w:rPr>
                <w:rFonts w:ascii="Arial" w:eastAsia="宋体" w:hAnsi="Arial" w:cs="Arial"/>
                <w:b/>
                <w:bCs/>
                <w:color w:val="000000"/>
                <w:sz w:val="17"/>
                <w:szCs w:val="17"/>
              </w:rPr>
              <w:br/>
              <w:t>Losses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14E"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14F" w14:textId="77777777" w:rsidR="002661BA" w:rsidRDefault="00D972BC">
            <w:pPr>
              <w:jc w:val="center"/>
              <w:textAlignment w:val="bottom"/>
            </w:pPr>
            <w:r>
              <w:rPr>
                <w:rFonts w:ascii="Arial" w:eastAsia="宋体" w:hAnsi="Arial" w:cs="Arial"/>
                <w:b/>
                <w:bCs/>
                <w:color w:val="000000"/>
                <w:sz w:val="17"/>
                <w:szCs w:val="17"/>
              </w:rPr>
              <w:t>Estimated</w:t>
            </w:r>
            <w:r>
              <w:rPr>
                <w:rFonts w:ascii="Arial" w:eastAsia="宋体" w:hAnsi="Arial" w:cs="Arial"/>
                <w:b/>
                <w:bCs/>
                <w:color w:val="000000"/>
                <w:sz w:val="17"/>
                <w:szCs w:val="17"/>
              </w:rPr>
              <w:br/>
              <w:t>Fair Value</w:t>
            </w:r>
          </w:p>
        </w:tc>
      </w:tr>
      <w:tr w:rsidR="002661BA" w14:paraId="22CFC159" w14:textId="77777777">
        <w:tc>
          <w:tcPr>
            <w:tcW w:w="0" w:type="auto"/>
            <w:gridSpan w:val="3"/>
            <w:shd w:val="clear" w:color="auto" w:fill="E2E2E2"/>
            <w:tcMar>
              <w:top w:w="40" w:type="dxa"/>
              <w:left w:w="20" w:type="dxa"/>
              <w:bottom w:w="40" w:type="dxa"/>
              <w:right w:w="20" w:type="dxa"/>
            </w:tcMar>
            <w:vAlign w:val="bottom"/>
          </w:tcPr>
          <w:p w14:paraId="22CFC151" w14:textId="77777777" w:rsidR="002661BA" w:rsidRDefault="00D972BC">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152"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C153"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154"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C155"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156"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C157"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158" w14:textId="77777777" w:rsidR="002661BA" w:rsidRDefault="002661BA">
            <w:pPr>
              <w:rPr>
                <w:rFonts w:ascii="宋体"/>
              </w:rPr>
            </w:pPr>
          </w:p>
        </w:tc>
      </w:tr>
      <w:tr w:rsidR="002661BA" w14:paraId="22CFC16A" w14:textId="77777777">
        <w:tc>
          <w:tcPr>
            <w:tcW w:w="0" w:type="auto"/>
            <w:gridSpan w:val="3"/>
            <w:shd w:val="clear" w:color="auto" w:fill="FFFFFF"/>
            <w:tcMar>
              <w:top w:w="40" w:type="dxa"/>
              <w:left w:w="245" w:type="dxa"/>
              <w:bottom w:w="40" w:type="dxa"/>
              <w:right w:w="20" w:type="dxa"/>
            </w:tcMar>
            <w:vAlign w:val="bottom"/>
          </w:tcPr>
          <w:p w14:paraId="22CFC15A" w14:textId="77777777" w:rsidR="002661BA" w:rsidRDefault="00D972BC">
            <w:pPr>
              <w:textAlignment w:val="bottom"/>
            </w:pPr>
            <w:r>
              <w:rPr>
                <w:rFonts w:ascii="Arial" w:eastAsia="宋体" w:hAnsi="Arial" w:cs="Arial"/>
                <w:color w:val="000000"/>
                <w:sz w:val="18"/>
                <w:szCs w:val="18"/>
              </w:rPr>
              <w:t>Restricted cash</w:t>
            </w:r>
          </w:p>
        </w:tc>
        <w:tc>
          <w:tcPr>
            <w:tcW w:w="0" w:type="auto"/>
            <w:shd w:val="clear" w:color="auto" w:fill="FFFFFF"/>
            <w:tcMar>
              <w:top w:w="40" w:type="dxa"/>
              <w:left w:w="20" w:type="dxa"/>
              <w:bottom w:w="40" w:type="dxa"/>
              <w:right w:w="0" w:type="dxa"/>
            </w:tcMar>
            <w:vAlign w:val="bottom"/>
          </w:tcPr>
          <w:p w14:paraId="22CFC15B"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15C" w14:textId="77777777" w:rsidR="002661BA" w:rsidRDefault="00D972BC">
            <w:pPr>
              <w:jc w:val="right"/>
              <w:textAlignment w:val="bottom"/>
            </w:pPr>
            <w:r>
              <w:rPr>
                <w:rFonts w:ascii="Arial" w:eastAsia="宋体" w:hAnsi="Arial" w:cs="Arial"/>
                <w:color w:val="000000"/>
                <w:sz w:val="18"/>
                <w:szCs w:val="18"/>
              </w:rPr>
              <w:t>137 </w:t>
            </w:r>
          </w:p>
        </w:tc>
        <w:tc>
          <w:tcPr>
            <w:tcW w:w="0" w:type="auto"/>
            <w:shd w:val="clear" w:color="auto" w:fill="FFFFFF"/>
            <w:tcMar>
              <w:top w:w="40" w:type="dxa"/>
              <w:left w:w="0" w:type="dxa"/>
              <w:bottom w:w="40" w:type="dxa"/>
              <w:right w:w="20" w:type="dxa"/>
            </w:tcMar>
            <w:vAlign w:val="bottom"/>
          </w:tcPr>
          <w:p w14:paraId="22CFC15D"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15E"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FFFFFF"/>
            <w:tcMar>
              <w:top w:w="40" w:type="dxa"/>
              <w:left w:w="20" w:type="dxa"/>
              <w:bottom w:w="40" w:type="dxa"/>
              <w:right w:w="0" w:type="dxa"/>
            </w:tcMar>
            <w:vAlign w:val="bottom"/>
          </w:tcPr>
          <w:p w14:paraId="22CFC15F"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160"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161"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162"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FFFFFF"/>
            <w:tcMar>
              <w:top w:w="40" w:type="dxa"/>
              <w:left w:w="20" w:type="dxa"/>
              <w:bottom w:w="40" w:type="dxa"/>
              <w:right w:w="0" w:type="dxa"/>
            </w:tcMar>
            <w:vAlign w:val="bottom"/>
          </w:tcPr>
          <w:p w14:paraId="22CFC16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164"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165"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166"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FFFFFF"/>
            <w:tcMar>
              <w:top w:w="40" w:type="dxa"/>
              <w:left w:w="20" w:type="dxa"/>
              <w:bottom w:w="40" w:type="dxa"/>
              <w:right w:w="0" w:type="dxa"/>
            </w:tcMar>
            <w:vAlign w:val="bottom"/>
          </w:tcPr>
          <w:p w14:paraId="22CFC16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168" w14:textId="77777777" w:rsidR="002661BA" w:rsidRDefault="00D972BC">
            <w:pPr>
              <w:jc w:val="right"/>
              <w:textAlignment w:val="bottom"/>
            </w:pPr>
            <w:r>
              <w:rPr>
                <w:rFonts w:ascii="Arial" w:eastAsia="宋体" w:hAnsi="Arial" w:cs="Arial"/>
                <w:color w:val="000000"/>
                <w:sz w:val="18"/>
                <w:szCs w:val="18"/>
              </w:rPr>
              <w:t>137 </w:t>
            </w:r>
          </w:p>
        </w:tc>
        <w:tc>
          <w:tcPr>
            <w:tcW w:w="0" w:type="auto"/>
            <w:shd w:val="clear" w:color="auto" w:fill="FFFFFF"/>
            <w:tcMar>
              <w:top w:w="40" w:type="dxa"/>
              <w:left w:w="0" w:type="dxa"/>
              <w:bottom w:w="40" w:type="dxa"/>
              <w:right w:w="20" w:type="dxa"/>
            </w:tcMar>
            <w:vAlign w:val="bottom"/>
          </w:tcPr>
          <w:p w14:paraId="22CFC169" w14:textId="77777777" w:rsidR="002661BA" w:rsidRDefault="002661BA">
            <w:pPr>
              <w:jc w:val="right"/>
              <w:rPr>
                <w:rFonts w:ascii="宋体"/>
              </w:rPr>
            </w:pPr>
          </w:p>
        </w:tc>
      </w:tr>
      <w:tr w:rsidR="002661BA" w14:paraId="22CFC177" w14:textId="77777777">
        <w:tc>
          <w:tcPr>
            <w:tcW w:w="0" w:type="auto"/>
            <w:gridSpan w:val="3"/>
            <w:shd w:val="clear" w:color="auto" w:fill="E2E2E2"/>
            <w:tcMar>
              <w:top w:w="40" w:type="dxa"/>
              <w:left w:w="245" w:type="dxa"/>
              <w:bottom w:w="40" w:type="dxa"/>
              <w:right w:w="20" w:type="dxa"/>
            </w:tcMar>
            <w:vAlign w:val="bottom"/>
          </w:tcPr>
          <w:p w14:paraId="22CFC16B" w14:textId="77777777" w:rsidR="002661BA" w:rsidRDefault="00D972BC">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22CFC16C" w14:textId="77777777" w:rsidR="002661BA" w:rsidRDefault="00D972BC">
            <w:pPr>
              <w:jc w:val="right"/>
              <w:textAlignment w:val="bottom"/>
            </w:pPr>
            <w:r>
              <w:rPr>
                <w:rFonts w:ascii="Arial" w:eastAsia="宋体" w:hAnsi="Arial" w:cs="Arial"/>
                <w:color w:val="000000"/>
                <w:sz w:val="18"/>
                <w:szCs w:val="18"/>
              </w:rPr>
              <w:t>2,252 </w:t>
            </w:r>
          </w:p>
        </w:tc>
        <w:tc>
          <w:tcPr>
            <w:tcW w:w="0" w:type="auto"/>
            <w:shd w:val="clear" w:color="auto" w:fill="E2E2E2"/>
            <w:tcMar>
              <w:top w:w="40" w:type="dxa"/>
              <w:left w:w="0" w:type="dxa"/>
              <w:bottom w:w="40" w:type="dxa"/>
              <w:right w:w="20" w:type="dxa"/>
            </w:tcMar>
            <w:vAlign w:val="bottom"/>
          </w:tcPr>
          <w:p w14:paraId="22CFC16D"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16E"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C16F" w14:textId="77777777" w:rsidR="002661BA" w:rsidRDefault="00D972BC">
            <w:pPr>
              <w:jc w:val="right"/>
              <w:textAlignment w:val="bottom"/>
            </w:pPr>
            <w:r>
              <w:rPr>
                <w:rFonts w:ascii="Arial" w:eastAsia="宋体" w:hAnsi="Arial" w:cs="Arial"/>
                <w:color w:val="000000"/>
                <w:sz w:val="18"/>
                <w:szCs w:val="18"/>
              </w:rPr>
              <w:t>3 </w:t>
            </w:r>
          </w:p>
        </w:tc>
        <w:tc>
          <w:tcPr>
            <w:tcW w:w="0" w:type="auto"/>
            <w:shd w:val="clear" w:color="auto" w:fill="E2E2E2"/>
            <w:tcMar>
              <w:top w:w="40" w:type="dxa"/>
              <w:left w:w="0" w:type="dxa"/>
              <w:bottom w:w="40" w:type="dxa"/>
              <w:right w:w="20" w:type="dxa"/>
            </w:tcMar>
            <w:vAlign w:val="bottom"/>
          </w:tcPr>
          <w:p w14:paraId="22CFC170"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171"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C172"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C173"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174"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C175" w14:textId="77777777" w:rsidR="002661BA" w:rsidRDefault="00D972BC">
            <w:pPr>
              <w:jc w:val="right"/>
              <w:textAlignment w:val="bottom"/>
            </w:pPr>
            <w:r>
              <w:rPr>
                <w:rFonts w:ascii="Arial" w:eastAsia="宋体" w:hAnsi="Arial" w:cs="Arial"/>
                <w:color w:val="000000"/>
                <w:sz w:val="18"/>
                <w:szCs w:val="18"/>
              </w:rPr>
              <w:t>2,255 </w:t>
            </w:r>
          </w:p>
        </w:tc>
        <w:tc>
          <w:tcPr>
            <w:tcW w:w="0" w:type="auto"/>
            <w:shd w:val="clear" w:color="auto" w:fill="E2E2E2"/>
            <w:tcMar>
              <w:top w:w="40" w:type="dxa"/>
              <w:left w:w="0" w:type="dxa"/>
              <w:bottom w:w="40" w:type="dxa"/>
              <w:right w:w="20" w:type="dxa"/>
            </w:tcMar>
            <w:vAlign w:val="bottom"/>
          </w:tcPr>
          <w:p w14:paraId="22CFC176" w14:textId="77777777" w:rsidR="002661BA" w:rsidRDefault="002661BA">
            <w:pPr>
              <w:jc w:val="right"/>
              <w:rPr>
                <w:rFonts w:ascii="宋体"/>
              </w:rPr>
            </w:pPr>
          </w:p>
        </w:tc>
      </w:tr>
      <w:tr w:rsidR="002661BA" w14:paraId="22CFC180" w14:textId="77777777">
        <w:trPr>
          <w:hidden/>
        </w:trPr>
        <w:tc>
          <w:tcPr>
            <w:tcW w:w="0" w:type="auto"/>
            <w:gridSpan w:val="3"/>
            <w:shd w:val="clear" w:color="auto" w:fill="auto"/>
            <w:vAlign w:val="bottom"/>
          </w:tcPr>
          <w:p w14:paraId="22CFC178" w14:textId="77777777" w:rsidR="002661BA" w:rsidRDefault="002661BA">
            <w:pPr>
              <w:rPr>
                <w:rFonts w:ascii="宋体"/>
                <w:vanish/>
              </w:rPr>
            </w:pPr>
          </w:p>
        </w:tc>
        <w:tc>
          <w:tcPr>
            <w:tcW w:w="0" w:type="auto"/>
            <w:gridSpan w:val="3"/>
            <w:shd w:val="clear" w:color="auto" w:fill="auto"/>
            <w:vAlign w:val="bottom"/>
          </w:tcPr>
          <w:p w14:paraId="22CFC179" w14:textId="77777777" w:rsidR="002661BA" w:rsidRDefault="002661BA">
            <w:pPr>
              <w:rPr>
                <w:rFonts w:ascii="宋体"/>
                <w:vanish/>
              </w:rPr>
            </w:pPr>
          </w:p>
        </w:tc>
        <w:tc>
          <w:tcPr>
            <w:tcW w:w="0" w:type="auto"/>
            <w:gridSpan w:val="3"/>
            <w:shd w:val="clear" w:color="auto" w:fill="auto"/>
            <w:vAlign w:val="bottom"/>
          </w:tcPr>
          <w:p w14:paraId="22CFC17A" w14:textId="77777777" w:rsidR="002661BA" w:rsidRDefault="002661BA">
            <w:pPr>
              <w:rPr>
                <w:rFonts w:ascii="宋体"/>
                <w:vanish/>
              </w:rPr>
            </w:pPr>
          </w:p>
        </w:tc>
        <w:tc>
          <w:tcPr>
            <w:tcW w:w="0" w:type="auto"/>
            <w:gridSpan w:val="3"/>
            <w:shd w:val="clear" w:color="auto" w:fill="auto"/>
            <w:vAlign w:val="bottom"/>
          </w:tcPr>
          <w:p w14:paraId="22CFC17B" w14:textId="77777777" w:rsidR="002661BA" w:rsidRDefault="002661BA">
            <w:pPr>
              <w:rPr>
                <w:rFonts w:ascii="宋体"/>
                <w:vanish/>
              </w:rPr>
            </w:pPr>
          </w:p>
        </w:tc>
        <w:tc>
          <w:tcPr>
            <w:tcW w:w="0" w:type="auto"/>
            <w:gridSpan w:val="3"/>
            <w:shd w:val="clear" w:color="auto" w:fill="auto"/>
            <w:vAlign w:val="bottom"/>
          </w:tcPr>
          <w:p w14:paraId="22CFC17C" w14:textId="77777777" w:rsidR="002661BA" w:rsidRDefault="002661BA">
            <w:pPr>
              <w:rPr>
                <w:rFonts w:ascii="宋体"/>
                <w:vanish/>
              </w:rPr>
            </w:pPr>
          </w:p>
        </w:tc>
        <w:tc>
          <w:tcPr>
            <w:tcW w:w="0" w:type="auto"/>
            <w:gridSpan w:val="3"/>
            <w:shd w:val="clear" w:color="auto" w:fill="auto"/>
            <w:vAlign w:val="bottom"/>
          </w:tcPr>
          <w:p w14:paraId="22CFC17D" w14:textId="77777777" w:rsidR="002661BA" w:rsidRDefault="002661BA">
            <w:pPr>
              <w:rPr>
                <w:rFonts w:ascii="宋体"/>
                <w:vanish/>
              </w:rPr>
            </w:pPr>
          </w:p>
        </w:tc>
        <w:tc>
          <w:tcPr>
            <w:tcW w:w="0" w:type="auto"/>
            <w:gridSpan w:val="3"/>
            <w:shd w:val="clear" w:color="auto" w:fill="auto"/>
            <w:vAlign w:val="bottom"/>
          </w:tcPr>
          <w:p w14:paraId="22CFC17E" w14:textId="77777777" w:rsidR="002661BA" w:rsidRDefault="002661BA">
            <w:pPr>
              <w:rPr>
                <w:rFonts w:ascii="宋体"/>
                <w:vanish/>
              </w:rPr>
            </w:pPr>
          </w:p>
        </w:tc>
        <w:tc>
          <w:tcPr>
            <w:tcW w:w="0" w:type="auto"/>
            <w:gridSpan w:val="3"/>
            <w:shd w:val="clear" w:color="auto" w:fill="auto"/>
            <w:vAlign w:val="bottom"/>
          </w:tcPr>
          <w:p w14:paraId="22CFC17F" w14:textId="77777777" w:rsidR="002661BA" w:rsidRDefault="002661BA">
            <w:pPr>
              <w:rPr>
                <w:rFonts w:ascii="宋体"/>
                <w:vanish/>
              </w:rPr>
            </w:pPr>
          </w:p>
        </w:tc>
      </w:tr>
      <w:tr w:rsidR="002661BA" w14:paraId="22CFC189" w14:textId="77777777">
        <w:trPr>
          <w:hidden/>
        </w:trPr>
        <w:tc>
          <w:tcPr>
            <w:tcW w:w="0" w:type="auto"/>
            <w:gridSpan w:val="3"/>
            <w:shd w:val="clear" w:color="auto" w:fill="auto"/>
            <w:vAlign w:val="bottom"/>
          </w:tcPr>
          <w:p w14:paraId="22CFC181" w14:textId="77777777" w:rsidR="002661BA" w:rsidRDefault="002661BA">
            <w:pPr>
              <w:rPr>
                <w:rFonts w:ascii="宋体"/>
                <w:vanish/>
              </w:rPr>
            </w:pPr>
          </w:p>
        </w:tc>
        <w:tc>
          <w:tcPr>
            <w:tcW w:w="0" w:type="auto"/>
            <w:gridSpan w:val="3"/>
            <w:shd w:val="clear" w:color="auto" w:fill="auto"/>
            <w:vAlign w:val="bottom"/>
          </w:tcPr>
          <w:p w14:paraId="22CFC182" w14:textId="77777777" w:rsidR="002661BA" w:rsidRDefault="002661BA">
            <w:pPr>
              <w:rPr>
                <w:rFonts w:ascii="宋体"/>
                <w:vanish/>
              </w:rPr>
            </w:pPr>
          </w:p>
        </w:tc>
        <w:tc>
          <w:tcPr>
            <w:tcW w:w="0" w:type="auto"/>
            <w:gridSpan w:val="3"/>
            <w:shd w:val="clear" w:color="auto" w:fill="auto"/>
            <w:vAlign w:val="bottom"/>
          </w:tcPr>
          <w:p w14:paraId="22CFC183" w14:textId="77777777" w:rsidR="002661BA" w:rsidRDefault="002661BA">
            <w:pPr>
              <w:rPr>
                <w:rFonts w:ascii="宋体"/>
                <w:vanish/>
              </w:rPr>
            </w:pPr>
          </w:p>
        </w:tc>
        <w:tc>
          <w:tcPr>
            <w:tcW w:w="0" w:type="auto"/>
            <w:gridSpan w:val="3"/>
            <w:shd w:val="clear" w:color="auto" w:fill="auto"/>
            <w:vAlign w:val="bottom"/>
          </w:tcPr>
          <w:p w14:paraId="22CFC184" w14:textId="77777777" w:rsidR="002661BA" w:rsidRDefault="002661BA">
            <w:pPr>
              <w:rPr>
                <w:rFonts w:ascii="宋体"/>
                <w:vanish/>
              </w:rPr>
            </w:pPr>
          </w:p>
        </w:tc>
        <w:tc>
          <w:tcPr>
            <w:tcW w:w="0" w:type="auto"/>
            <w:gridSpan w:val="3"/>
            <w:shd w:val="clear" w:color="auto" w:fill="auto"/>
            <w:vAlign w:val="bottom"/>
          </w:tcPr>
          <w:p w14:paraId="22CFC185" w14:textId="77777777" w:rsidR="002661BA" w:rsidRDefault="002661BA">
            <w:pPr>
              <w:rPr>
                <w:rFonts w:ascii="宋体"/>
                <w:vanish/>
              </w:rPr>
            </w:pPr>
          </w:p>
        </w:tc>
        <w:tc>
          <w:tcPr>
            <w:tcW w:w="0" w:type="auto"/>
            <w:gridSpan w:val="3"/>
            <w:shd w:val="clear" w:color="auto" w:fill="auto"/>
            <w:vAlign w:val="bottom"/>
          </w:tcPr>
          <w:p w14:paraId="22CFC186" w14:textId="77777777" w:rsidR="002661BA" w:rsidRDefault="002661BA">
            <w:pPr>
              <w:rPr>
                <w:rFonts w:ascii="宋体"/>
                <w:vanish/>
              </w:rPr>
            </w:pPr>
          </w:p>
        </w:tc>
        <w:tc>
          <w:tcPr>
            <w:tcW w:w="0" w:type="auto"/>
            <w:gridSpan w:val="3"/>
            <w:shd w:val="clear" w:color="auto" w:fill="auto"/>
            <w:vAlign w:val="bottom"/>
          </w:tcPr>
          <w:p w14:paraId="22CFC187" w14:textId="77777777" w:rsidR="002661BA" w:rsidRDefault="002661BA">
            <w:pPr>
              <w:rPr>
                <w:rFonts w:ascii="宋体"/>
                <w:vanish/>
              </w:rPr>
            </w:pPr>
          </w:p>
        </w:tc>
        <w:tc>
          <w:tcPr>
            <w:tcW w:w="0" w:type="auto"/>
            <w:gridSpan w:val="3"/>
            <w:shd w:val="clear" w:color="auto" w:fill="auto"/>
            <w:vAlign w:val="bottom"/>
          </w:tcPr>
          <w:p w14:paraId="22CFC188" w14:textId="77777777" w:rsidR="002661BA" w:rsidRDefault="002661BA">
            <w:pPr>
              <w:rPr>
                <w:rFonts w:ascii="宋体"/>
                <w:vanish/>
              </w:rPr>
            </w:pPr>
          </w:p>
        </w:tc>
      </w:tr>
      <w:tr w:rsidR="002661BA" w14:paraId="22CFC192" w14:textId="77777777">
        <w:trPr>
          <w:hidden/>
        </w:trPr>
        <w:tc>
          <w:tcPr>
            <w:tcW w:w="0" w:type="auto"/>
            <w:gridSpan w:val="3"/>
            <w:shd w:val="clear" w:color="auto" w:fill="auto"/>
            <w:vAlign w:val="bottom"/>
          </w:tcPr>
          <w:p w14:paraId="22CFC18A" w14:textId="77777777" w:rsidR="002661BA" w:rsidRDefault="002661BA">
            <w:pPr>
              <w:rPr>
                <w:rFonts w:ascii="宋体"/>
                <w:vanish/>
              </w:rPr>
            </w:pPr>
          </w:p>
        </w:tc>
        <w:tc>
          <w:tcPr>
            <w:tcW w:w="0" w:type="auto"/>
            <w:gridSpan w:val="3"/>
            <w:shd w:val="clear" w:color="auto" w:fill="auto"/>
            <w:vAlign w:val="bottom"/>
          </w:tcPr>
          <w:p w14:paraId="22CFC18B" w14:textId="77777777" w:rsidR="002661BA" w:rsidRDefault="002661BA">
            <w:pPr>
              <w:rPr>
                <w:rFonts w:ascii="宋体"/>
                <w:vanish/>
              </w:rPr>
            </w:pPr>
          </w:p>
        </w:tc>
        <w:tc>
          <w:tcPr>
            <w:tcW w:w="0" w:type="auto"/>
            <w:gridSpan w:val="3"/>
            <w:shd w:val="clear" w:color="auto" w:fill="auto"/>
            <w:vAlign w:val="bottom"/>
          </w:tcPr>
          <w:p w14:paraId="22CFC18C" w14:textId="77777777" w:rsidR="002661BA" w:rsidRDefault="002661BA">
            <w:pPr>
              <w:rPr>
                <w:rFonts w:ascii="宋体"/>
                <w:vanish/>
              </w:rPr>
            </w:pPr>
          </w:p>
        </w:tc>
        <w:tc>
          <w:tcPr>
            <w:tcW w:w="0" w:type="auto"/>
            <w:gridSpan w:val="3"/>
            <w:shd w:val="clear" w:color="auto" w:fill="auto"/>
            <w:vAlign w:val="bottom"/>
          </w:tcPr>
          <w:p w14:paraId="22CFC18D" w14:textId="77777777" w:rsidR="002661BA" w:rsidRDefault="002661BA">
            <w:pPr>
              <w:rPr>
                <w:rFonts w:ascii="宋体"/>
                <w:vanish/>
              </w:rPr>
            </w:pPr>
          </w:p>
        </w:tc>
        <w:tc>
          <w:tcPr>
            <w:tcW w:w="0" w:type="auto"/>
            <w:gridSpan w:val="3"/>
            <w:shd w:val="clear" w:color="auto" w:fill="auto"/>
            <w:vAlign w:val="bottom"/>
          </w:tcPr>
          <w:p w14:paraId="22CFC18E" w14:textId="77777777" w:rsidR="002661BA" w:rsidRDefault="002661BA">
            <w:pPr>
              <w:rPr>
                <w:rFonts w:ascii="宋体"/>
                <w:vanish/>
              </w:rPr>
            </w:pPr>
          </w:p>
        </w:tc>
        <w:tc>
          <w:tcPr>
            <w:tcW w:w="0" w:type="auto"/>
            <w:gridSpan w:val="3"/>
            <w:shd w:val="clear" w:color="auto" w:fill="auto"/>
            <w:vAlign w:val="bottom"/>
          </w:tcPr>
          <w:p w14:paraId="22CFC18F" w14:textId="77777777" w:rsidR="002661BA" w:rsidRDefault="002661BA">
            <w:pPr>
              <w:rPr>
                <w:rFonts w:ascii="宋体"/>
                <w:vanish/>
              </w:rPr>
            </w:pPr>
          </w:p>
        </w:tc>
        <w:tc>
          <w:tcPr>
            <w:tcW w:w="0" w:type="auto"/>
            <w:gridSpan w:val="3"/>
            <w:shd w:val="clear" w:color="auto" w:fill="auto"/>
            <w:vAlign w:val="bottom"/>
          </w:tcPr>
          <w:p w14:paraId="22CFC190" w14:textId="77777777" w:rsidR="002661BA" w:rsidRDefault="002661BA">
            <w:pPr>
              <w:rPr>
                <w:rFonts w:ascii="宋体"/>
                <w:vanish/>
              </w:rPr>
            </w:pPr>
          </w:p>
        </w:tc>
        <w:tc>
          <w:tcPr>
            <w:tcW w:w="0" w:type="auto"/>
            <w:gridSpan w:val="3"/>
            <w:shd w:val="clear" w:color="auto" w:fill="auto"/>
            <w:vAlign w:val="bottom"/>
          </w:tcPr>
          <w:p w14:paraId="22CFC191" w14:textId="77777777" w:rsidR="002661BA" w:rsidRDefault="002661BA">
            <w:pPr>
              <w:rPr>
                <w:rFonts w:ascii="宋体"/>
                <w:vanish/>
              </w:rPr>
            </w:pPr>
          </w:p>
        </w:tc>
      </w:tr>
      <w:tr w:rsidR="002661BA" w14:paraId="22CFC1A3" w14:textId="77777777">
        <w:tc>
          <w:tcPr>
            <w:tcW w:w="0" w:type="auto"/>
            <w:gridSpan w:val="3"/>
            <w:shd w:val="clear" w:color="auto" w:fill="FFFFFF"/>
            <w:tcMar>
              <w:top w:w="0" w:type="dxa"/>
              <w:left w:w="20" w:type="dxa"/>
              <w:bottom w:w="0" w:type="dxa"/>
              <w:right w:w="20" w:type="dxa"/>
            </w:tcMar>
            <w:vAlign w:val="bottom"/>
          </w:tcPr>
          <w:p w14:paraId="22CFC193"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C19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C195" w14:textId="77777777" w:rsidR="002661BA" w:rsidRDefault="00D972BC">
            <w:pPr>
              <w:jc w:val="right"/>
              <w:textAlignment w:val="bottom"/>
            </w:pPr>
            <w:r>
              <w:rPr>
                <w:rFonts w:ascii="Arial" w:eastAsia="宋体" w:hAnsi="Arial" w:cs="Arial"/>
                <w:color w:val="000000"/>
                <w:sz w:val="18"/>
                <w:szCs w:val="18"/>
              </w:rPr>
              <w:t>2,389 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19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197"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C19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C199" w14:textId="77777777" w:rsidR="002661BA" w:rsidRDefault="00D972BC">
            <w:pPr>
              <w:jc w:val="right"/>
              <w:textAlignment w:val="bottom"/>
            </w:pPr>
            <w:r>
              <w:rPr>
                <w:rFonts w:ascii="Arial" w:eastAsia="宋体" w:hAnsi="Arial" w:cs="Arial"/>
                <w:color w:val="000000"/>
                <w:sz w:val="18"/>
                <w:szCs w:val="18"/>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19A"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19B"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C19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C19D"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19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19F"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C1A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C1A1" w14:textId="77777777" w:rsidR="002661BA" w:rsidRDefault="00D972BC">
            <w:pPr>
              <w:jc w:val="right"/>
              <w:textAlignment w:val="bottom"/>
            </w:pPr>
            <w:r>
              <w:rPr>
                <w:rFonts w:ascii="Arial" w:eastAsia="宋体" w:hAnsi="Arial" w:cs="Arial"/>
                <w:color w:val="000000"/>
                <w:sz w:val="18"/>
                <w:szCs w:val="18"/>
              </w:rPr>
              <w:t>2,392 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1A2" w14:textId="77777777" w:rsidR="002661BA" w:rsidRDefault="002661BA">
            <w:pPr>
              <w:jc w:val="right"/>
              <w:rPr>
                <w:rFonts w:ascii="宋体"/>
              </w:rPr>
            </w:pPr>
          </w:p>
        </w:tc>
      </w:tr>
      <w:tr w:rsidR="002661BA" w14:paraId="22CFC1AC" w14:textId="77777777">
        <w:tc>
          <w:tcPr>
            <w:tcW w:w="0" w:type="auto"/>
            <w:gridSpan w:val="3"/>
            <w:shd w:val="clear" w:color="auto" w:fill="E2E2E2"/>
            <w:tcMar>
              <w:top w:w="40" w:type="dxa"/>
              <w:left w:w="20" w:type="dxa"/>
              <w:bottom w:w="40" w:type="dxa"/>
              <w:right w:w="20" w:type="dxa"/>
            </w:tcMar>
            <w:vAlign w:val="bottom"/>
          </w:tcPr>
          <w:p w14:paraId="22CFC1A4" w14:textId="77777777" w:rsidR="002661BA" w:rsidRDefault="00D972BC">
            <w:pPr>
              <w:textAlignment w:val="bottom"/>
            </w:pPr>
            <w:r>
              <w:rPr>
                <w:rFonts w:ascii="Arial" w:eastAsia="宋体" w:hAnsi="Arial" w:cs="Arial"/>
                <w:color w:val="000000"/>
                <w:sz w:val="18"/>
                <w:szCs w:val="18"/>
              </w:rPr>
              <w:t>Long-term investments:</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C1A5"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C1A6"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C1A7"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C1A8"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C1A9"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C1AA"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C1AB" w14:textId="77777777" w:rsidR="002661BA" w:rsidRDefault="002661BA">
            <w:pPr>
              <w:rPr>
                <w:rFonts w:ascii="宋体"/>
              </w:rPr>
            </w:pPr>
          </w:p>
        </w:tc>
      </w:tr>
      <w:tr w:rsidR="002661BA" w14:paraId="22CFC1BD" w14:textId="77777777">
        <w:tc>
          <w:tcPr>
            <w:tcW w:w="0" w:type="auto"/>
            <w:gridSpan w:val="3"/>
            <w:shd w:val="clear" w:color="auto" w:fill="FFFFFF"/>
            <w:tcMar>
              <w:top w:w="40" w:type="dxa"/>
              <w:left w:w="245" w:type="dxa"/>
              <w:bottom w:w="40" w:type="dxa"/>
              <w:right w:w="20" w:type="dxa"/>
            </w:tcMar>
            <w:vAlign w:val="bottom"/>
          </w:tcPr>
          <w:p w14:paraId="22CFC1AD" w14:textId="77777777" w:rsidR="002661BA" w:rsidRDefault="00D972BC">
            <w:pPr>
              <w:textAlignment w:val="bottom"/>
            </w:pPr>
            <w:r>
              <w:rPr>
                <w:rFonts w:ascii="Arial" w:eastAsia="宋体" w:hAnsi="Arial" w:cs="Arial"/>
                <w:color w:val="000000"/>
                <w:sz w:val="18"/>
                <w:szCs w:val="18"/>
              </w:rPr>
              <w:t>Corporate debt securities</w:t>
            </w:r>
          </w:p>
        </w:tc>
        <w:tc>
          <w:tcPr>
            <w:tcW w:w="0" w:type="auto"/>
            <w:shd w:val="clear" w:color="auto" w:fill="FFFFFF"/>
            <w:tcMar>
              <w:top w:w="40" w:type="dxa"/>
              <w:left w:w="20" w:type="dxa"/>
              <w:bottom w:w="40" w:type="dxa"/>
              <w:right w:w="0" w:type="dxa"/>
            </w:tcMar>
            <w:vAlign w:val="bottom"/>
          </w:tcPr>
          <w:p w14:paraId="22CFC1AE"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1AF" w14:textId="77777777" w:rsidR="002661BA" w:rsidRDefault="00D972BC">
            <w:pPr>
              <w:jc w:val="right"/>
              <w:textAlignment w:val="bottom"/>
            </w:pPr>
            <w:r>
              <w:rPr>
                <w:rFonts w:ascii="Arial" w:eastAsia="宋体" w:hAnsi="Arial" w:cs="Arial"/>
                <w:color w:val="000000"/>
                <w:sz w:val="18"/>
                <w:szCs w:val="18"/>
              </w:rPr>
              <w:t>284 </w:t>
            </w:r>
          </w:p>
        </w:tc>
        <w:tc>
          <w:tcPr>
            <w:tcW w:w="0" w:type="auto"/>
            <w:shd w:val="clear" w:color="auto" w:fill="FFFFFF"/>
            <w:tcMar>
              <w:top w:w="40" w:type="dxa"/>
              <w:left w:w="0" w:type="dxa"/>
              <w:bottom w:w="40" w:type="dxa"/>
              <w:right w:w="20" w:type="dxa"/>
            </w:tcMar>
            <w:vAlign w:val="bottom"/>
          </w:tcPr>
          <w:p w14:paraId="22CFC1B0"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1B1"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FFFFFF"/>
            <w:tcMar>
              <w:top w:w="40" w:type="dxa"/>
              <w:left w:w="20" w:type="dxa"/>
              <w:bottom w:w="40" w:type="dxa"/>
              <w:right w:w="0" w:type="dxa"/>
            </w:tcMar>
            <w:vAlign w:val="bottom"/>
          </w:tcPr>
          <w:p w14:paraId="22CFC1B2"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1B3" w14:textId="77777777" w:rsidR="002661BA" w:rsidRDefault="00D972BC">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22CFC1B4"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1B5"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FFFFFF"/>
            <w:tcMar>
              <w:top w:w="40" w:type="dxa"/>
              <w:left w:w="20" w:type="dxa"/>
              <w:bottom w:w="40" w:type="dxa"/>
              <w:right w:w="0" w:type="dxa"/>
            </w:tcMar>
            <w:vAlign w:val="bottom"/>
          </w:tcPr>
          <w:p w14:paraId="22CFC1B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1B7"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1B8"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1B9"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FFFFFF"/>
            <w:tcMar>
              <w:top w:w="40" w:type="dxa"/>
              <w:left w:w="20" w:type="dxa"/>
              <w:bottom w:w="40" w:type="dxa"/>
              <w:right w:w="0" w:type="dxa"/>
            </w:tcMar>
            <w:vAlign w:val="bottom"/>
          </w:tcPr>
          <w:p w14:paraId="22CFC1BA"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1BB" w14:textId="77777777" w:rsidR="002661BA" w:rsidRDefault="00D972BC">
            <w:pPr>
              <w:jc w:val="right"/>
              <w:textAlignment w:val="bottom"/>
            </w:pPr>
            <w:r>
              <w:rPr>
                <w:rFonts w:ascii="Arial" w:eastAsia="宋体" w:hAnsi="Arial" w:cs="Arial"/>
                <w:color w:val="000000"/>
                <w:sz w:val="18"/>
                <w:szCs w:val="18"/>
              </w:rPr>
              <w:t>286 </w:t>
            </w:r>
          </w:p>
        </w:tc>
        <w:tc>
          <w:tcPr>
            <w:tcW w:w="0" w:type="auto"/>
            <w:shd w:val="clear" w:color="auto" w:fill="FFFFFF"/>
            <w:tcMar>
              <w:top w:w="40" w:type="dxa"/>
              <w:left w:w="0" w:type="dxa"/>
              <w:bottom w:w="40" w:type="dxa"/>
              <w:right w:w="20" w:type="dxa"/>
            </w:tcMar>
            <w:vAlign w:val="bottom"/>
          </w:tcPr>
          <w:p w14:paraId="22CFC1BC" w14:textId="77777777" w:rsidR="002661BA" w:rsidRDefault="002661BA">
            <w:pPr>
              <w:jc w:val="right"/>
              <w:rPr>
                <w:rFonts w:ascii="宋体"/>
              </w:rPr>
            </w:pPr>
          </w:p>
        </w:tc>
      </w:tr>
      <w:tr w:rsidR="002661BA" w14:paraId="22CFC1C6" w14:textId="77777777">
        <w:trPr>
          <w:hidden/>
        </w:trPr>
        <w:tc>
          <w:tcPr>
            <w:tcW w:w="0" w:type="auto"/>
            <w:gridSpan w:val="3"/>
            <w:shd w:val="clear" w:color="auto" w:fill="auto"/>
            <w:vAlign w:val="bottom"/>
          </w:tcPr>
          <w:p w14:paraId="22CFC1BE" w14:textId="77777777" w:rsidR="002661BA" w:rsidRDefault="002661BA">
            <w:pPr>
              <w:rPr>
                <w:rFonts w:ascii="宋体"/>
                <w:vanish/>
              </w:rPr>
            </w:pPr>
          </w:p>
        </w:tc>
        <w:tc>
          <w:tcPr>
            <w:tcW w:w="0" w:type="auto"/>
            <w:gridSpan w:val="3"/>
            <w:shd w:val="clear" w:color="auto" w:fill="auto"/>
            <w:vAlign w:val="bottom"/>
          </w:tcPr>
          <w:p w14:paraId="22CFC1BF" w14:textId="77777777" w:rsidR="002661BA" w:rsidRDefault="002661BA">
            <w:pPr>
              <w:rPr>
                <w:rFonts w:ascii="宋体"/>
                <w:vanish/>
              </w:rPr>
            </w:pPr>
          </w:p>
        </w:tc>
        <w:tc>
          <w:tcPr>
            <w:tcW w:w="0" w:type="auto"/>
            <w:gridSpan w:val="3"/>
            <w:shd w:val="clear" w:color="auto" w:fill="auto"/>
            <w:vAlign w:val="bottom"/>
          </w:tcPr>
          <w:p w14:paraId="22CFC1C0" w14:textId="77777777" w:rsidR="002661BA" w:rsidRDefault="002661BA">
            <w:pPr>
              <w:rPr>
                <w:rFonts w:ascii="宋体"/>
                <w:vanish/>
              </w:rPr>
            </w:pPr>
          </w:p>
        </w:tc>
        <w:tc>
          <w:tcPr>
            <w:tcW w:w="0" w:type="auto"/>
            <w:gridSpan w:val="3"/>
            <w:shd w:val="clear" w:color="auto" w:fill="auto"/>
            <w:vAlign w:val="bottom"/>
          </w:tcPr>
          <w:p w14:paraId="22CFC1C1" w14:textId="77777777" w:rsidR="002661BA" w:rsidRDefault="002661BA">
            <w:pPr>
              <w:rPr>
                <w:rFonts w:ascii="宋体"/>
                <w:vanish/>
              </w:rPr>
            </w:pPr>
          </w:p>
        </w:tc>
        <w:tc>
          <w:tcPr>
            <w:tcW w:w="0" w:type="auto"/>
            <w:gridSpan w:val="3"/>
            <w:shd w:val="clear" w:color="auto" w:fill="auto"/>
            <w:vAlign w:val="bottom"/>
          </w:tcPr>
          <w:p w14:paraId="22CFC1C2" w14:textId="77777777" w:rsidR="002661BA" w:rsidRDefault="002661BA">
            <w:pPr>
              <w:rPr>
                <w:rFonts w:ascii="宋体"/>
                <w:vanish/>
              </w:rPr>
            </w:pPr>
          </w:p>
        </w:tc>
        <w:tc>
          <w:tcPr>
            <w:tcW w:w="0" w:type="auto"/>
            <w:gridSpan w:val="3"/>
            <w:shd w:val="clear" w:color="auto" w:fill="auto"/>
            <w:vAlign w:val="bottom"/>
          </w:tcPr>
          <w:p w14:paraId="22CFC1C3" w14:textId="77777777" w:rsidR="002661BA" w:rsidRDefault="002661BA">
            <w:pPr>
              <w:rPr>
                <w:rFonts w:ascii="宋体"/>
                <w:vanish/>
              </w:rPr>
            </w:pPr>
          </w:p>
        </w:tc>
        <w:tc>
          <w:tcPr>
            <w:tcW w:w="0" w:type="auto"/>
            <w:gridSpan w:val="3"/>
            <w:shd w:val="clear" w:color="auto" w:fill="auto"/>
            <w:vAlign w:val="bottom"/>
          </w:tcPr>
          <w:p w14:paraId="22CFC1C4" w14:textId="77777777" w:rsidR="002661BA" w:rsidRDefault="002661BA">
            <w:pPr>
              <w:rPr>
                <w:rFonts w:ascii="宋体"/>
                <w:vanish/>
              </w:rPr>
            </w:pPr>
          </w:p>
        </w:tc>
        <w:tc>
          <w:tcPr>
            <w:tcW w:w="0" w:type="auto"/>
            <w:gridSpan w:val="3"/>
            <w:shd w:val="clear" w:color="auto" w:fill="auto"/>
            <w:vAlign w:val="bottom"/>
          </w:tcPr>
          <w:p w14:paraId="22CFC1C5" w14:textId="77777777" w:rsidR="002661BA" w:rsidRDefault="002661BA">
            <w:pPr>
              <w:rPr>
                <w:rFonts w:ascii="宋体"/>
                <w:vanish/>
              </w:rPr>
            </w:pPr>
          </w:p>
        </w:tc>
      </w:tr>
      <w:tr w:rsidR="002661BA" w14:paraId="22CFC1D7" w14:textId="77777777">
        <w:tc>
          <w:tcPr>
            <w:tcW w:w="0" w:type="auto"/>
            <w:gridSpan w:val="3"/>
            <w:shd w:val="clear" w:color="auto" w:fill="E2E2E2"/>
            <w:tcMar>
              <w:top w:w="0" w:type="dxa"/>
              <w:left w:w="20" w:type="dxa"/>
              <w:bottom w:w="0" w:type="dxa"/>
              <w:right w:w="20" w:type="dxa"/>
            </w:tcMar>
            <w:vAlign w:val="bottom"/>
          </w:tcPr>
          <w:p w14:paraId="22CFC1C7"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C1C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C1C9" w14:textId="77777777" w:rsidR="002661BA" w:rsidRDefault="00D972BC">
            <w:pPr>
              <w:jc w:val="right"/>
              <w:textAlignment w:val="bottom"/>
            </w:pPr>
            <w:r>
              <w:rPr>
                <w:rFonts w:ascii="Arial" w:eastAsia="宋体" w:hAnsi="Arial" w:cs="Arial"/>
                <w:color w:val="000000"/>
                <w:sz w:val="18"/>
                <w:szCs w:val="18"/>
              </w:rPr>
              <w:t>284 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C1CA"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1CB"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C1C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C1CD" w14:textId="77777777" w:rsidR="002661BA" w:rsidRDefault="00D972BC">
            <w:pPr>
              <w:jc w:val="right"/>
              <w:textAlignment w:val="bottom"/>
            </w:pPr>
            <w:r>
              <w:rPr>
                <w:rFonts w:ascii="Arial" w:eastAsia="宋体" w:hAnsi="Arial" w:cs="Arial"/>
                <w:color w:val="000000"/>
                <w:sz w:val="18"/>
                <w:szCs w:val="18"/>
              </w:rPr>
              <w:t>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C1CE"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1CF"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C1D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C1D1"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C1D2"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1D3"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C1D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C1D5" w14:textId="77777777" w:rsidR="002661BA" w:rsidRDefault="00D972BC">
            <w:pPr>
              <w:jc w:val="right"/>
              <w:textAlignment w:val="bottom"/>
            </w:pPr>
            <w:r>
              <w:rPr>
                <w:rFonts w:ascii="Arial" w:eastAsia="宋体" w:hAnsi="Arial" w:cs="Arial"/>
                <w:color w:val="000000"/>
                <w:sz w:val="18"/>
                <w:szCs w:val="18"/>
              </w:rPr>
              <w:t>286 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C1D6" w14:textId="77777777" w:rsidR="002661BA" w:rsidRDefault="002661BA">
            <w:pPr>
              <w:jc w:val="right"/>
              <w:rPr>
                <w:rFonts w:ascii="宋体"/>
              </w:rPr>
            </w:pPr>
          </w:p>
        </w:tc>
      </w:tr>
    </w:tbl>
    <w:p w14:paraId="22CFC1D8" w14:textId="77777777" w:rsidR="002661BA" w:rsidRDefault="002661BA">
      <w:pPr>
        <w:ind w:firstLine="540"/>
        <w:jc w:val="both"/>
      </w:pPr>
    </w:p>
    <w:p w14:paraId="22CFC1D9" w14:textId="77777777" w:rsidR="002661BA" w:rsidRDefault="00D972BC">
      <w:pPr>
        <w:ind w:firstLine="540"/>
        <w:jc w:val="both"/>
      </w:pPr>
      <w:r>
        <w:rPr>
          <w:rFonts w:ascii="Arial" w:eastAsia="宋体" w:hAnsi="Arial" w:cs="Arial"/>
          <w:color w:val="000000"/>
          <w:sz w:val="20"/>
          <w:szCs w:val="20"/>
        </w:rPr>
        <w:t>We consider cash to be restricted when withdrawal or general use is legally restricted. Restricted cash is hel</w:t>
      </w:r>
      <w:r>
        <w:rPr>
          <w:rFonts w:ascii="Arial" w:eastAsia="宋体" w:hAnsi="Arial" w:cs="Arial"/>
          <w:color w:val="000000"/>
          <w:sz w:val="20"/>
          <w:szCs w:val="20"/>
        </w:rPr>
        <w:t>d primarily in interest bearing accounts for letters of credit primarily related to our global sabbatical program. In 2020, our restricted cash balance also included cash on deposit with banks restricted to safeguard seller payables. Our fixed-income inves</w:t>
      </w:r>
      <w:r>
        <w:rPr>
          <w:rFonts w:ascii="Arial" w:eastAsia="宋体" w:hAnsi="Arial" w:cs="Arial"/>
          <w:color w:val="000000"/>
          <w:sz w:val="20"/>
          <w:szCs w:val="20"/>
        </w:rPr>
        <w:t>tments consist of predominantly investment grade corporate debt securities and government and agency securities. The corporate debt and government and agency securities that we invest in are generally deemed to be low risk based on their credit ratings fro</w:t>
      </w:r>
      <w:r>
        <w:rPr>
          <w:rFonts w:ascii="Arial" w:eastAsia="宋体" w:hAnsi="Arial" w:cs="Arial"/>
          <w:color w:val="000000"/>
          <w:sz w:val="20"/>
          <w:szCs w:val="20"/>
        </w:rPr>
        <w:t xml:space="preserve">m the major rating agencies. </w:t>
      </w:r>
    </w:p>
    <w:p w14:paraId="22CFC1DA" w14:textId="77777777" w:rsidR="002661BA" w:rsidRDefault="002661BA">
      <w:pPr>
        <w:ind w:firstLine="540"/>
        <w:jc w:val="both"/>
      </w:pPr>
    </w:p>
    <w:p w14:paraId="22CFC1DB" w14:textId="77777777" w:rsidR="002661BA" w:rsidRDefault="00D972BC">
      <w:pPr>
        <w:ind w:firstLine="540"/>
        <w:jc w:val="both"/>
      </w:pPr>
      <w:r>
        <w:rPr>
          <w:rFonts w:ascii="Arial" w:eastAsia="宋体" w:hAnsi="Arial" w:cs="Arial"/>
          <w:color w:val="000000"/>
          <w:sz w:val="20"/>
          <w:szCs w:val="20"/>
        </w:rPr>
        <w:t>The longer the duration of these securities, the more susceptible they are to changes in market interest rates and bond yields. As interest rates increase, those securities purchased at a lower yield show a mark-to-market unr</w:t>
      </w:r>
      <w:r>
        <w:rPr>
          <w:rFonts w:ascii="Arial" w:eastAsia="宋体" w:hAnsi="Arial" w:cs="Arial"/>
          <w:color w:val="000000"/>
          <w:sz w:val="20"/>
          <w:szCs w:val="20"/>
        </w:rPr>
        <w:t>ealized loss. The unrealized losses are due primarily to changes in credit spreads and interest rates. We regularly review investment securities for other-than-temporary impairment using both qualitative and quantitative criteria</w:t>
      </w:r>
      <w:r>
        <w:rPr>
          <w:rFonts w:ascii="Arial" w:eastAsia="宋体" w:hAnsi="Arial" w:cs="Arial"/>
          <w:color w:val="EE2724"/>
          <w:sz w:val="20"/>
          <w:szCs w:val="20"/>
        </w:rPr>
        <w:t>.</w:t>
      </w:r>
      <w:r>
        <w:rPr>
          <w:rFonts w:ascii="Arial" w:eastAsia="宋体" w:hAnsi="Arial" w:cs="Arial"/>
          <w:color w:val="000000"/>
          <w:sz w:val="20"/>
          <w:szCs w:val="20"/>
        </w:rPr>
        <w:t xml:space="preserve"> Investments classified as available-for-sale debt securities are carried at fair value with changes reflected in other comprehensive income. Where there is an intention or a requirement to sell an impaired available-for-sale debt security, the entire impa</w:t>
      </w:r>
      <w:r>
        <w:rPr>
          <w:rFonts w:ascii="Arial" w:eastAsia="宋体" w:hAnsi="Arial" w:cs="Arial"/>
          <w:color w:val="000000"/>
          <w:sz w:val="20"/>
          <w:szCs w:val="20"/>
        </w:rPr>
        <w:t>irment is recognized in earnings with a corresponding adjustment to the amortized cost basis of the security. We presently do not intend to sell any of the available-for-sale debt securities in an unrealized loss position and expect to realize the full val</w:t>
      </w:r>
      <w:r>
        <w:rPr>
          <w:rFonts w:ascii="Arial" w:eastAsia="宋体" w:hAnsi="Arial" w:cs="Arial"/>
          <w:color w:val="000000"/>
          <w:sz w:val="20"/>
          <w:szCs w:val="20"/>
        </w:rPr>
        <w:t xml:space="preserve">ue of all these investments upon maturity or sale. </w:t>
      </w:r>
    </w:p>
    <w:p w14:paraId="22CFC1DC" w14:textId="77777777" w:rsidR="002661BA" w:rsidRDefault="002661BA">
      <w:pPr>
        <w:ind w:firstLine="540"/>
        <w:jc w:val="both"/>
      </w:pPr>
    </w:p>
    <w:p w14:paraId="22CFC1DD" w14:textId="77777777" w:rsidR="002661BA" w:rsidRDefault="00D972BC">
      <w:pPr>
        <w:ind w:firstLine="540"/>
        <w:jc w:val="both"/>
      </w:pPr>
      <w:r>
        <w:rPr>
          <w:rFonts w:ascii="Arial" w:eastAsia="宋体" w:hAnsi="Arial" w:cs="Arial"/>
          <w:color w:val="000000"/>
          <w:sz w:val="20"/>
          <w:szCs w:val="20"/>
        </w:rPr>
        <w:t>We regularly review investment securities for credit impairment using both qualitative and quantitative criteria. In making this assessment, we consider the extent to which fair value is less than amorti</w:t>
      </w:r>
      <w:r>
        <w:rPr>
          <w:rFonts w:ascii="Arial" w:eastAsia="宋体" w:hAnsi="Arial" w:cs="Arial"/>
          <w:color w:val="000000"/>
          <w:sz w:val="20"/>
          <w:szCs w:val="20"/>
        </w:rPr>
        <w:t>zed cost, any changes to the rating of the security by a rating agency, any adverse conditions specifically related to the security, among other factors. If this assessment indicates that a credit loss exists, the present value of cash flows expected to be</w:t>
      </w:r>
      <w:r>
        <w:rPr>
          <w:rFonts w:ascii="Arial" w:eastAsia="宋体" w:hAnsi="Arial" w:cs="Arial"/>
          <w:color w:val="000000"/>
          <w:sz w:val="20"/>
          <w:szCs w:val="20"/>
        </w:rPr>
        <w:t xml:space="preserve"> collected from the security are compared to the amortized cost basis of the security. If the present value of cash flows expected to be collected is less than the amortized cost basis, a credit loss exists and an allowance for credit losses will be record</w:t>
      </w:r>
      <w:r>
        <w:rPr>
          <w:rFonts w:ascii="Arial" w:eastAsia="宋体" w:hAnsi="Arial" w:cs="Arial"/>
          <w:color w:val="000000"/>
          <w:sz w:val="20"/>
          <w:szCs w:val="20"/>
        </w:rPr>
        <w:t xml:space="preserve">ed through interest and other, net for the credit loss, limited by the amount that the fair value is </w:t>
      </w:r>
    </w:p>
    <w:p w14:paraId="22CFC1DE" w14:textId="77777777" w:rsidR="002661BA" w:rsidRDefault="00D972BC">
      <w:pPr>
        <w:jc w:val="center"/>
      </w:pPr>
      <w:r>
        <w:rPr>
          <w:rFonts w:ascii="Arial" w:eastAsia="宋体" w:hAnsi="Arial" w:cs="Arial"/>
          <w:color w:val="000000"/>
          <w:sz w:val="18"/>
          <w:szCs w:val="18"/>
        </w:rPr>
        <w:t>80</w:t>
      </w:r>
    </w:p>
    <w:p w14:paraId="22CFC1DF" w14:textId="77777777" w:rsidR="002661BA" w:rsidRDefault="00D972BC">
      <w:r>
        <w:pict w14:anchorId="22CFE501">
          <v:rect id="_x0000_i1104" style="width:415.3pt;height:1.5pt" o:hralign="center" o:hrstd="t" o:hr="t" fillcolor="#a0a0a0" stroked="f"/>
        </w:pict>
      </w:r>
    </w:p>
    <w:p w14:paraId="22CFC1E0" w14:textId="77777777" w:rsidR="002661BA" w:rsidRDefault="00D972BC">
      <w:hyperlink r:id="rId115" w:anchor="id0d7a71b05ce452ea9fdb54f3cb359c7_7" w:history="1">
        <w:r>
          <w:rPr>
            <w:rStyle w:val="a5"/>
            <w:rFonts w:ascii="Arial" w:eastAsia="宋体" w:hAnsi="Arial" w:cs="Arial"/>
            <w:sz w:val="18"/>
            <w:szCs w:val="18"/>
          </w:rPr>
          <w:t>Table of Contents</w:t>
        </w:r>
      </w:hyperlink>
    </w:p>
    <w:p w14:paraId="22CFC1E1" w14:textId="77777777" w:rsidR="002661BA" w:rsidRDefault="00D972BC">
      <w:pPr>
        <w:jc w:val="center"/>
      </w:pPr>
      <w:r>
        <w:rPr>
          <w:rFonts w:ascii="Arial" w:eastAsia="宋体" w:hAnsi="Arial" w:cs="Arial"/>
          <w:b/>
          <w:bCs/>
          <w:color w:val="000000"/>
          <w:sz w:val="20"/>
          <w:szCs w:val="20"/>
        </w:rPr>
        <w:t>eBay Inc.</w:t>
      </w:r>
    </w:p>
    <w:p w14:paraId="22CFC1E2"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1E3" w14:textId="77777777" w:rsidR="002661BA" w:rsidRDefault="00D972BC">
      <w:pPr>
        <w:jc w:val="both"/>
      </w:pPr>
      <w:r>
        <w:rPr>
          <w:rFonts w:ascii="Arial" w:eastAsia="宋体" w:hAnsi="Arial" w:cs="Arial"/>
          <w:color w:val="000000"/>
          <w:sz w:val="20"/>
          <w:szCs w:val="20"/>
        </w:rPr>
        <w:t xml:space="preserve">less than the amortized cost basis. Any impairment that has not been recorded through an allowance for credit losses is recognized in other comprehensive income. We did </w:t>
      </w:r>
      <w:r>
        <w:rPr>
          <w:rFonts w:ascii="Arial" w:eastAsia="宋体" w:hAnsi="Arial" w:cs="Arial"/>
          <w:color w:val="000000"/>
          <w:sz w:val="20"/>
          <w:szCs w:val="20"/>
        </w:rPr>
        <w:t>not recognize any credit-related impairment through an allowance for credit losses as of December 31, 2021.</w:t>
      </w:r>
    </w:p>
    <w:p w14:paraId="22CFC1E4" w14:textId="77777777" w:rsidR="002661BA" w:rsidRDefault="002661BA">
      <w:pPr>
        <w:ind w:firstLine="540"/>
        <w:jc w:val="both"/>
      </w:pPr>
    </w:p>
    <w:p w14:paraId="22CFC1E5" w14:textId="77777777" w:rsidR="002661BA" w:rsidRDefault="00D972BC">
      <w:pPr>
        <w:ind w:firstLine="540"/>
        <w:jc w:val="both"/>
      </w:pPr>
      <w:r>
        <w:rPr>
          <w:rFonts w:ascii="Arial" w:eastAsia="宋体" w:hAnsi="Arial" w:cs="Arial"/>
          <w:color w:val="000000"/>
          <w:sz w:val="20"/>
          <w:szCs w:val="20"/>
        </w:rPr>
        <w:t>Investment securities in a continuous loss position for less than 12 months had an estimated fair value of $3.1 billion and an immaterial amount of unrealized losses as of December 31, 2021, and an estimated fair value of $261 million and an immaterial amo</w:t>
      </w:r>
      <w:r>
        <w:rPr>
          <w:rFonts w:ascii="Arial" w:eastAsia="宋体" w:hAnsi="Arial" w:cs="Arial"/>
          <w:color w:val="000000"/>
          <w:sz w:val="20"/>
          <w:szCs w:val="20"/>
        </w:rPr>
        <w:t>unt of unrealized losses as of December 31, 2020. As of December 31, 2021 and December 31, 2020, there were no investment securities in a continuous loss position for greater than 12 months. Refer to “Note 17 — Accumulated Other Comprehensive Income” for a</w:t>
      </w:r>
      <w:r>
        <w:rPr>
          <w:rFonts w:ascii="Arial" w:eastAsia="宋体" w:hAnsi="Arial" w:cs="Arial"/>
          <w:color w:val="000000"/>
          <w:sz w:val="20"/>
          <w:szCs w:val="20"/>
        </w:rPr>
        <w:t xml:space="preserve">mounts reclassified to earnings from unrealized gains and losses. </w:t>
      </w:r>
    </w:p>
    <w:p w14:paraId="22CFC1E6" w14:textId="77777777" w:rsidR="002661BA" w:rsidRDefault="00D972BC">
      <w:pPr>
        <w:ind w:firstLine="540"/>
        <w:jc w:val="both"/>
      </w:pPr>
      <w:r>
        <w:rPr>
          <w:rFonts w:ascii="Arial" w:eastAsia="宋体" w:hAnsi="Arial" w:cs="Arial"/>
          <w:color w:val="000000"/>
          <w:sz w:val="14"/>
          <w:szCs w:val="14"/>
        </w:rPr>
        <w:t> </w:t>
      </w:r>
    </w:p>
    <w:p w14:paraId="22CFC1E7" w14:textId="77777777" w:rsidR="002661BA" w:rsidRDefault="00D972BC">
      <w:pPr>
        <w:spacing w:after="120"/>
        <w:ind w:firstLine="540"/>
        <w:jc w:val="both"/>
      </w:pPr>
      <w:r>
        <w:rPr>
          <w:rFonts w:ascii="Arial" w:eastAsia="宋体" w:hAnsi="Arial" w:cs="Arial"/>
          <w:color w:val="000000"/>
          <w:sz w:val="20"/>
          <w:szCs w:val="20"/>
        </w:rPr>
        <w:t xml:space="preserve">The following table presents estimated fair values of our short-term and long-term investments classified as available-for-sale debt securities and restricted cash by date of contractual </w:t>
      </w:r>
      <w:r>
        <w:rPr>
          <w:rFonts w:ascii="Arial" w:eastAsia="宋体" w:hAnsi="Arial" w:cs="Arial"/>
          <w:color w:val="000000"/>
          <w:sz w:val="20"/>
          <w:szCs w:val="20"/>
        </w:rPr>
        <w:t>maturity as of the date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52"/>
        <w:gridCol w:w="7081"/>
        <w:gridCol w:w="36"/>
        <w:gridCol w:w="122"/>
        <w:gridCol w:w="1009"/>
        <w:gridCol w:w="36"/>
      </w:tblGrid>
      <w:tr w:rsidR="002661BA" w14:paraId="22CFC1EE" w14:textId="77777777">
        <w:tc>
          <w:tcPr>
            <w:tcW w:w="50" w:type="pct"/>
            <w:shd w:val="clear" w:color="auto" w:fill="auto"/>
            <w:vAlign w:val="bottom"/>
          </w:tcPr>
          <w:p w14:paraId="22CFC1E8" w14:textId="77777777" w:rsidR="002661BA" w:rsidRDefault="002661BA">
            <w:pPr>
              <w:rPr>
                <w:rFonts w:ascii="宋体"/>
              </w:rPr>
            </w:pPr>
          </w:p>
        </w:tc>
        <w:tc>
          <w:tcPr>
            <w:tcW w:w="4265" w:type="pct"/>
            <w:shd w:val="clear" w:color="auto" w:fill="auto"/>
            <w:vAlign w:val="bottom"/>
          </w:tcPr>
          <w:p w14:paraId="22CFC1E9" w14:textId="77777777" w:rsidR="002661BA" w:rsidRDefault="002661BA">
            <w:pPr>
              <w:rPr>
                <w:rFonts w:ascii="宋体"/>
              </w:rPr>
            </w:pPr>
          </w:p>
        </w:tc>
        <w:tc>
          <w:tcPr>
            <w:tcW w:w="5" w:type="pct"/>
            <w:shd w:val="clear" w:color="auto" w:fill="auto"/>
            <w:vAlign w:val="bottom"/>
          </w:tcPr>
          <w:p w14:paraId="22CFC1EA" w14:textId="77777777" w:rsidR="002661BA" w:rsidRDefault="002661BA">
            <w:pPr>
              <w:rPr>
                <w:rFonts w:ascii="宋体"/>
              </w:rPr>
            </w:pPr>
          </w:p>
        </w:tc>
        <w:tc>
          <w:tcPr>
            <w:tcW w:w="50" w:type="pct"/>
            <w:shd w:val="clear" w:color="auto" w:fill="auto"/>
            <w:vAlign w:val="bottom"/>
          </w:tcPr>
          <w:p w14:paraId="22CFC1EB" w14:textId="77777777" w:rsidR="002661BA" w:rsidRDefault="002661BA">
            <w:pPr>
              <w:rPr>
                <w:rFonts w:ascii="宋体"/>
              </w:rPr>
            </w:pPr>
          </w:p>
        </w:tc>
        <w:tc>
          <w:tcPr>
            <w:tcW w:w="624" w:type="pct"/>
            <w:shd w:val="clear" w:color="auto" w:fill="auto"/>
            <w:vAlign w:val="bottom"/>
          </w:tcPr>
          <w:p w14:paraId="22CFC1EC" w14:textId="77777777" w:rsidR="002661BA" w:rsidRDefault="002661BA">
            <w:pPr>
              <w:rPr>
                <w:rFonts w:ascii="宋体"/>
              </w:rPr>
            </w:pPr>
          </w:p>
        </w:tc>
        <w:tc>
          <w:tcPr>
            <w:tcW w:w="5" w:type="pct"/>
            <w:shd w:val="clear" w:color="auto" w:fill="auto"/>
            <w:vAlign w:val="bottom"/>
          </w:tcPr>
          <w:p w14:paraId="22CFC1ED" w14:textId="77777777" w:rsidR="002661BA" w:rsidRDefault="002661BA">
            <w:pPr>
              <w:rPr>
                <w:rFonts w:ascii="宋体"/>
              </w:rPr>
            </w:pPr>
          </w:p>
        </w:tc>
      </w:tr>
      <w:tr w:rsidR="002661BA" w14:paraId="22CFC1F1" w14:textId="77777777">
        <w:tc>
          <w:tcPr>
            <w:tcW w:w="0" w:type="auto"/>
            <w:gridSpan w:val="3"/>
            <w:shd w:val="clear" w:color="auto" w:fill="auto"/>
            <w:tcMar>
              <w:top w:w="40" w:type="dxa"/>
              <w:left w:w="20" w:type="dxa"/>
              <w:bottom w:w="40" w:type="dxa"/>
              <w:right w:w="20" w:type="dxa"/>
            </w:tcMar>
            <w:vAlign w:val="bottom"/>
          </w:tcPr>
          <w:p w14:paraId="22CFC1EF" w14:textId="77777777" w:rsidR="002661BA" w:rsidRDefault="00D972BC">
            <w:pPr>
              <w:textAlignment w:val="bottom"/>
            </w:pPr>
            <w:r>
              <w:rPr>
                <w:rFonts w:ascii="Arial" w:eastAsia="宋体" w:hAnsi="Arial" w:cs="Arial"/>
                <w:color w:val="000000"/>
                <w:sz w:val="14"/>
                <w:szCs w:val="14"/>
              </w:rPr>
              <w:t> </w:t>
            </w:r>
          </w:p>
        </w:tc>
        <w:tc>
          <w:tcPr>
            <w:tcW w:w="0" w:type="auto"/>
            <w:gridSpan w:val="3"/>
            <w:shd w:val="clear" w:color="auto" w:fill="auto"/>
            <w:tcMar>
              <w:top w:w="40" w:type="dxa"/>
              <w:left w:w="20" w:type="dxa"/>
              <w:bottom w:w="40" w:type="dxa"/>
              <w:right w:w="20" w:type="dxa"/>
            </w:tcMar>
            <w:vAlign w:val="bottom"/>
          </w:tcPr>
          <w:p w14:paraId="22CFC1F0" w14:textId="77777777" w:rsidR="002661BA" w:rsidRDefault="00D972BC">
            <w:pPr>
              <w:jc w:val="center"/>
              <w:textAlignment w:val="bottom"/>
            </w:pPr>
            <w:r>
              <w:rPr>
                <w:rFonts w:ascii="Arial" w:eastAsia="宋体" w:hAnsi="Arial" w:cs="Arial"/>
                <w:b/>
                <w:bCs/>
                <w:color w:val="000000"/>
                <w:sz w:val="17"/>
                <w:szCs w:val="17"/>
              </w:rPr>
              <w:t>December 31, 2021</w:t>
            </w:r>
          </w:p>
        </w:tc>
      </w:tr>
      <w:tr w:rsidR="002661BA" w14:paraId="22CFC1F6" w14:textId="77777777">
        <w:tc>
          <w:tcPr>
            <w:tcW w:w="0" w:type="auto"/>
            <w:gridSpan w:val="3"/>
            <w:shd w:val="clear" w:color="auto" w:fill="E2E2E2"/>
            <w:tcMar>
              <w:top w:w="40" w:type="dxa"/>
              <w:left w:w="20" w:type="dxa"/>
              <w:bottom w:w="40" w:type="dxa"/>
              <w:right w:w="20" w:type="dxa"/>
            </w:tcMar>
            <w:vAlign w:val="bottom"/>
          </w:tcPr>
          <w:p w14:paraId="22CFC1F2" w14:textId="77777777" w:rsidR="002661BA" w:rsidRDefault="00D972BC">
            <w:pPr>
              <w:textAlignment w:val="bottom"/>
            </w:pPr>
            <w:r>
              <w:rPr>
                <w:rFonts w:ascii="Arial" w:eastAsia="宋体" w:hAnsi="Arial" w:cs="Arial"/>
                <w:color w:val="000000"/>
                <w:sz w:val="18"/>
                <w:szCs w:val="18"/>
              </w:rPr>
              <w:t>One year or less (including restricted cash of $22)</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C1F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1F4" w14:textId="77777777" w:rsidR="002661BA" w:rsidRDefault="00D972BC">
            <w:pPr>
              <w:jc w:val="right"/>
              <w:textAlignment w:val="bottom"/>
            </w:pPr>
            <w:r>
              <w:rPr>
                <w:rFonts w:ascii="Arial" w:eastAsia="宋体" w:hAnsi="Arial" w:cs="Arial"/>
                <w:color w:val="000000"/>
                <w:sz w:val="18"/>
                <w:szCs w:val="18"/>
              </w:rPr>
              <w:t>4,199 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1F5" w14:textId="77777777" w:rsidR="002661BA" w:rsidRDefault="002661BA">
            <w:pPr>
              <w:jc w:val="right"/>
              <w:rPr>
                <w:rFonts w:ascii="宋体"/>
              </w:rPr>
            </w:pPr>
          </w:p>
        </w:tc>
      </w:tr>
      <w:tr w:rsidR="002661BA" w14:paraId="22CFC1FA" w14:textId="77777777">
        <w:tc>
          <w:tcPr>
            <w:tcW w:w="0" w:type="auto"/>
            <w:gridSpan w:val="3"/>
            <w:shd w:val="clear" w:color="auto" w:fill="FFFFFF"/>
            <w:tcMar>
              <w:top w:w="40" w:type="dxa"/>
              <w:left w:w="20" w:type="dxa"/>
              <w:bottom w:w="40" w:type="dxa"/>
              <w:right w:w="20" w:type="dxa"/>
            </w:tcMar>
            <w:vAlign w:val="bottom"/>
          </w:tcPr>
          <w:p w14:paraId="22CFC1F7" w14:textId="77777777" w:rsidR="002661BA" w:rsidRDefault="00D972BC">
            <w:pPr>
              <w:textAlignment w:val="bottom"/>
            </w:pPr>
            <w:r>
              <w:rPr>
                <w:rFonts w:ascii="Arial" w:eastAsia="宋体" w:hAnsi="Arial" w:cs="Arial"/>
                <w:color w:val="000000"/>
                <w:sz w:val="18"/>
                <w:szCs w:val="18"/>
              </w:rPr>
              <w:t>One year through two years</w:t>
            </w:r>
          </w:p>
        </w:tc>
        <w:tc>
          <w:tcPr>
            <w:tcW w:w="0" w:type="auto"/>
            <w:gridSpan w:val="2"/>
            <w:shd w:val="clear" w:color="auto" w:fill="FFFFFF"/>
            <w:tcMar>
              <w:top w:w="40" w:type="dxa"/>
              <w:left w:w="20" w:type="dxa"/>
              <w:bottom w:w="40" w:type="dxa"/>
              <w:right w:w="0" w:type="dxa"/>
            </w:tcMar>
            <w:vAlign w:val="bottom"/>
          </w:tcPr>
          <w:p w14:paraId="22CFC1F8" w14:textId="77777777" w:rsidR="002661BA" w:rsidRDefault="00D972BC">
            <w:pPr>
              <w:jc w:val="right"/>
              <w:textAlignment w:val="bottom"/>
            </w:pPr>
            <w:r>
              <w:rPr>
                <w:rFonts w:ascii="Arial" w:eastAsia="宋体" w:hAnsi="Arial" w:cs="Arial"/>
                <w:color w:val="000000"/>
                <w:sz w:val="18"/>
                <w:szCs w:val="18"/>
              </w:rPr>
              <w:t>442 </w:t>
            </w:r>
          </w:p>
        </w:tc>
        <w:tc>
          <w:tcPr>
            <w:tcW w:w="0" w:type="auto"/>
            <w:shd w:val="clear" w:color="auto" w:fill="FFFFFF"/>
            <w:tcMar>
              <w:top w:w="40" w:type="dxa"/>
              <w:left w:w="0" w:type="dxa"/>
              <w:bottom w:w="40" w:type="dxa"/>
              <w:right w:w="20" w:type="dxa"/>
            </w:tcMar>
            <w:vAlign w:val="bottom"/>
          </w:tcPr>
          <w:p w14:paraId="22CFC1F9" w14:textId="77777777" w:rsidR="002661BA" w:rsidRDefault="002661BA">
            <w:pPr>
              <w:jc w:val="right"/>
              <w:rPr>
                <w:rFonts w:ascii="宋体"/>
              </w:rPr>
            </w:pPr>
          </w:p>
        </w:tc>
      </w:tr>
      <w:tr w:rsidR="002661BA" w14:paraId="22CFC1FE" w14:textId="77777777">
        <w:tc>
          <w:tcPr>
            <w:tcW w:w="0" w:type="auto"/>
            <w:gridSpan w:val="3"/>
            <w:shd w:val="clear" w:color="auto" w:fill="E2E2E2"/>
            <w:tcMar>
              <w:top w:w="40" w:type="dxa"/>
              <w:left w:w="20" w:type="dxa"/>
              <w:bottom w:w="40" w:type="dxa"/>
              <w:right w:w="20" w:type="dxa"/>
            </w:tcMar>
            <w:vAlign w:val="bottom"/>
          </w:tcPr>
          <w:p w14:paraId="22CFC1FB" w14:textId="77777777" w:rsidR="002661BA" w:rsidRDefault="00D972BC">
            <w:pPr>
              <w:textAlignment w:val="bottom"/>
            </w:pPr>
            <w:r>
              <w:rPr>
                <w:rFonts w:ascii="Arial" w:eastAsia="宋体" w:hAnsi="Arial" w:cs="Arial"/>
                <w:color w:val="000000"/>
                <w:sz w:val="18"/>
                <w:szCs w:val="18"/>
              </w:rPr>
              <w:t>Two years through three years</w:t>
            </w:r>
          </w:p>
        </w:tc>
        <w:tc>
          <w:tcPr>
            <w:tcW w:w="0" w:type="auto"/>
            <w:gridSpan w:val="2"/>
            <w:shd w:val="clear" w:color="auto" w:fill="E2E2E2"/>
            <w:tcMar>
              <w:top w:w="40" w:type="dxa"/>
              <w:left w:w="20" w:type="dxa"/>
              <w:bottom w:w="40" w:type="dxa"/>
              <w:right w:w="0" w:type="dxa"/>
            </w:tcMar>
            <w:vAlign w:val="bottom"/>
          </w:tcPr>
          <w:p w14:paraId="22CFC1FC" w14:textId="77777777" w:rsidR="002661BA" w:rsidRDefault="00D972BC">
            <w:pPr>
              <w:jc w:val="right"/>
              <w:textAlignment w:val="bottom"/>
            </w:pPr>
            <w:r>
              <w:rPr>
                <w:rFonts w:ascii="Arial" w:eastAsia="宋体" w:hAnsi="Arial" w:cs="Arial"/>
                <w:color w:val="000000"/>
                <w:sz w:val="18"/>
                <w:szCs w:val="18"/>
              </w:rPr>
              <w:t>752 </w:t>
            </w:r>
          </w:p>
        </w:tc>
        <w:tc>
          <w:tcPr>
            <w:tcW w:w="0" w:type="auto"/>
            <w:shd w:val="clear" w:color="auto" w:fill="E2E2E2"/>
            <w:tcMar>
              <w:top w:w="40" w:type="dxa"/>
              <w:left w:w="0" w:type="dxa"/>
              <w:bottom w:w="40" w:type="dxa"/>
              <w:right w:w="20" w:type="dxa"/>
            </w:tcMar>
            <w:vAlign w:val="bottom"/>
          </w:tcPr>
          <w:p w14:paraId="22CFC1FD" w14:textId="77777777" w:rsidR="002661BA" w:rsidRDefault="002661BA">
            <w:pPr>
              <w:jc w:val="right"/>
              <w:rPr>
                <w:rFonts w:ascii="宋体"/>
              </w:rPr>
            </w:pPr>
          </w:p>
        </w:tc>
      </w:tr>
      <w:tr w:rsidR="002661BA" w14:paraId="22CFC202" w14:textId="77777777">
        <w:tc>
          <w:tcPr>
            <w:tcW w:w="0" w:type="auto"/>
            <w:gridSpan w:val="3"/>
            <w:shd w:val="clear" w:color="auto" w:fill="FFFFFF"/>
            <w:tcMar>
              <w:top w:w="40" w:type="dxa"/>
              <w:left w:w="20" w:type="dxa"/>
              <w:bottom w:w="40" w:type="dxa"/>
              <w:right w:w="20" w:type="dxa"/>
            </w:tcMar>
            <w:vAlign w:val="bottom"/>
          </w:tcPr>
          <w:p w14:paraId="22CFC1FF" w14:textId="77777777" w:rsidR="002661BA" w:rsidRDefault="00D972BC">
            <w:pPr>
              <w:textAlignment w:val="bottom"/>
            </w:pPr>
            <w:r>
              <w:rPr>
                <w:rFonts w:ascii="Arial" w:eastAsia="宋体" w:hAnsi="Arial" w:cs="Arial"/>
                <w:color w:val="000000"/>
                <w:sz w:val="18"/>
                <w:szCs w:val="18"/>
              </w:rPr>
              <w:t>Three years through four years</w:t>
            </w:r>
          </w:p>
        </w:tc>
        <w:tc>
          <w:tcPr>
            <w:tcW w:w="0" w:type="auto"/>
            <w:gridSpan w:val="2"/>
            <w:shd w:val="clear" w:color="auto" w:fill="FFFFFF"/>
            <w:tcMar>
              <w:top w:w="40" w:type="dxa"/>
              <w:left w:w="20" w:type="dxa"/>
              <w:bottom w:w="40" w:type="dxa"/>
              <w:right w:w="0" w:type="dxa"/>
            </w:tcMar>
            <w:vAlign w:val="bottom"/>
          </w:tcPr>
          <w:p w14:paraId="22CFC200" w14:textId="77777777" w:rsidR="002661BA" w:rsidRDefault="00D972BC">
            <w:pPr>
              <w:jc w:val="right"/>
              <w:textAlignment w:val="bottom"/>
            </w:pPr>
            <w:r>
              <w:rPr>
                <w:rFonts w:ascii="Arial" w:eastAsia="宋体" w:hAnsi="Arial" w:cs="Arial"/>
                <w:color w:val="000000"/>
                <w:sz w:val="18"/>
                <w:szCs w:val="18"/>
              </w:rPr>
              <w:t>391 </w:t>
            </w:r>
          </w:p>
        </w:tc>
        <w:tc>
          <w:tcPr>
            <w:tcW w:w="0" w:type="auto"/>
            <w:shd w:val="clear" w:color="auto" w:fill="FFFFFF"/>
            <w:tcMar>
              <w:top w:w="40" w:type="dxa"/>
              <w:left w:w="0" w:type="dxa"/>
              <w:bottom w:w="40" w:type="dxa"/>
              <w:right w:w="20" w:type="dxa"/>
            </w:tcMar>
            <w:vAlign w:val="bottom"/>
          </w:tcPr>
          <w:p w14:paraId="22CFC201" w14:textId="77777777" w:rsidR="002661BA" w:rsidRDefault="002661BA">
            <w:pPr>
              <w:jc w:val="right"/>
              <w:rPr>
                <w:rFonts w:ascii="宋体"/>
              </w:rPr>
            </w:pPr>
          </w:p>
        </w:tc>
      </w:tr>
      <w:tr w:rsidR="002661BA" w14:paraId="22CFC206" w14:textId="77777777">
        <w:tc>
          <w:tcPr>
            <w:tcW w:w="0" w:type="auto"/>
            <w:gridSpan w:val="3"/>
            <w:shd w:val="clear" w:color="auto" w:fill="E2E2E2"/>
            <w:tcMar>
              <w:top w:w="40" w:type="dxa"/>
              <w:left w:w="20" w:type="dxa"/>
              <w:bottom w:w="40" w:type="dxa"/>
              <w:right w:w="20" w:type="dxa"/>
            </w:tcMar>
            <w:vAlign w:val="bottom"/>
          </w:tcPr>
          <w:p w14:paraId="22CFC203" w14:textId="77777777" w:rsidR="002661BA" w:rsidRDefault="00D972BC">
            <w:pPr>
              <w:textAlignment w:val="bottom"/>
            </w:pPr>
            <w:r>
              <w:rPr>
                <w:rFonts w:ascii="Arial" w:eastAsia="宋体" w:hAnsi="Arial" w:cs="Arial"/>
                <w:color w:val="000000"/>
                <w:sz w:val="18"/>
                <w:szCs w:val="18"/>
              </w:rPr>
              <w:t>Four years through five years</w:t>
            </w:r>
          </w:p>
        </w:tc>
        <w:tc>
          <w:tcPr>
            <w:tcW w:w="0" w:type="auto"/>
            <w:gridSpan w:val="2"/>
            <w:shd w:val="clear" w:color="auto" w:fill="E2E2E2"/>
            <w:tcMar>
              <w:top w:w="40" w:type="dxa"/>
              <w:left w:w="20" w:type="dxa"/>
              <w:bottom w:w="40" w:type="dxa"/>
              <w:right w:w="0" w:type="dxa"/>
            </w:tcMar>
            <w:vAlign w:val="bottom"/>
          </w:tcPr>
          <w:p w14:paraId="22CFC204" w14:textId="77777777" w:rsidR="002661BA" w:rsidRDefault="00D972BC">
            <w:pPr>
              <w:jc w:val="right"/>
              <w:textAlignment w:val="bottom"/>
            </w:pPr>
            <w:r>
              <w:rPr>
                <w:rFonts w:ascii="Arial" w:eastAsia="宋体" w:hAnsi="Arial" w:cs="Arial"/>
                <w:color w:val="000000"/>
                <w:sz w:val="18"/>
                <w:szCs w:val="18"/>
              </w:rPr>
              <w:t>124 </w:t>
            </w:r>
          </w:p>
        </w:tc>
        <w:tc>
          <w:tcPr>
            <w:tcW w:w="0" w:type="auto"/>
            <w:shd w:val="clear" w:color="auto" w:fill="E2E2E2"/>
            <w:tcMar>
              <w:top w:w="40" w:type="dxa"/>
              <w:left w:w="0" w:type="dxa"/>
              <w:bottom w:w="40" w:type="dxa"/>
              <w:right w:w="20" w:type="dxa"/>
            </w:tcMar>
            <w:vAlign w:val="bottom"/>
          </w:tcPr>
          <w:p w14:paraId="22CFC205" w14:textId="77777777" w:rsidR="002661BA" w:rsidRDefault="002661BA">
            <w:pPr>
              <w:jc w:val="right"/>
              <w:rPr>
                <w:rFonts w:ascii="宋体"/>
              </w:rPr>
            </w:pPr>
          </w:p>
        </w:tc>
      </w:tr>
      <w:tr w:rsidR="002661BA" w14:paraId="22CFC20A" w14:textId="77777777">
        <w:tc>
          <w:tcPr>
            <w:tcW w:w="0" w:type="auto"/>
            <w:gridSpan w:val="3"/>
            <w:shd w:val="clear" w:color="auto" w:fill="FFFFFF"/>
            <w:tcMar>
              <w:top w:w="40" w:type="dxa"/>
              <w:left w:w="20" w:type="dxa"/>
              <w:bottom w:w="40" w:type="dxa"/>
              <w:right w:w="20" w:type="dxa"/>
            </w:tcMar>
            <w:vAlign w:val="bottom"/>
          </w:tcPr>
          <w:p w14:paraId="22CFC207" w14:textId="77777777" w:rsidR="002661BA" w:rsidRDefault="00D972BC">
            <w:pPr>
              <w:textAlignment w:val="bottom"/>
            </w:pPr>
            <w:r>
              <w:rPr>
                <w:rFonts w:ascii="Arial" w:eastAsia="宋体" w:hAnsi="Arial" w:cs="Arial"/>
                <w:color w:val="000000"/>
                <w:sz w:val="18"/>
                <w:szCs w:val="18"/>
              </w:rPr>
              <w:t>Thereafter</w:t>
            </w:r>
          </w:p>
        </w:tc>
        <w:tc>
          <w:tcPr>
            <w:tcW w:w="0" w:type="auto"/>
            <w:gridSpan w:val="2"/>
            <w:shd w:val="clear" w:color="auto" w:fill="FFFFFF"/>
            <w:tcMar>
              <w:top w:w="40" w:type="dxa"/>
              <w:left w:w="20" w:type="dxa"/>
              <w:bottom w:w="40" w:type="dxa"/>
              <w:right w:w="0" w:type="dxa"/>
            </w:tcMar>
            <w:vAlign w:val="bottom"/>
          </w:tcPr>
          <w:p w14:paraId="22CFC208" w14:textId="77777777" w:rsidR="002661BA" w:rsidRDefault="00D972BC">
            <w:pPr>
              <w:jc w:val="right"/>
              <w:textAlignment w:val="bottom"/>
            </w:pPr>
            <w:r>
              <w:rPr>
                <w:rFonts w:ascii="Arial" w:eastAsia="宋体" w:hAnsi="Arial" w:cs="Arial"/>
                <w:color w:val="000000"/>
                <w:sz w:val="18"/>
                <w:szCs w:val="18"/>
              </w:rPr>
              <w:t>18 </w:t>
            </w:r>
          </w:p>
        </w:tc>
        <w:tc>
          <w:tcPr>
            <w:tcW w:w="0" w:type="auto"/>
            <w:shd w:val="clear" w:color="auto" w:fill="FFFFFF"/>
            <w:tcMar>
              <w:top w:w="40" w:type="dxa"/>
              <w:left w:w="0" w:type="dxa"/>
              <w:bottom w:w="40" w:type="dxa"/>
              <w:right w:w="20" w:type="dxa"/>
            </w:tcMar>
            <w:vAlign w:val="bottom"/>
          </w:tcPr>
          <w:p w14:paraId="22CFC209" w14:textId="77777777" w:rsidR="002661BA" w:rsidRDefault="002661BA">
            <w:pPr>
              <w:jc w:val="right"/>
              <w:rPr>
                <w:rFonts w:ascii="宋体"/>
              </w:rPr>
            </w:pPr>
          </w:p>
        </w:tc>
      </w:tr>
      <w:tr w:rsidR="002661BA" w14:paraId="22CFC20F" w14:textId="77777777">
        <w:tc>
          <w:tcPr>
            <w:tcW w:w="0" w:type="auto"/>
            <w:gridSpan w:val="3"/>
            <w:shd w:val="clear" w:color="auto" w:fill="E2E2E2"/>
            <w:tcMar>
              <w:top w:w="40" w:type="dxa"/>
              <w:left w:w="245" w:type="dxa"/>
              <w:bottom w:w="40" w:type="dxa"/>
              <w:right w:w="20" w:type="dxa"/>
            </w:tcMar>
            <w:vAlign w:val="bottom"/>
          </w:tcPr>
          <w:p w14:paraId="22CFC20B" w14:textId="77777777" w:rsidR="002661BA" w:rsidRDefault="00D972BC">
            <w:pPr>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C20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C20D" w14:textId="77777777" w:rsidR="002661BA" w:rsidRDefault="00D972BC">
            <w:pPr>
              <w:jc w:val="right"/>
              <w:textAlignment w:val="bottom"/>
            </w:pPr>
            <w:r>
              <w:rPr>
                <w:rFonts w:ascii="Arial" w:eastAsia="宋体" w:hAnsi="Arial" w:cs="Arial"/>
                <w:color w:val="000000"/>
                <w:sz w:val="18"/>
                <w:szCs w:val="18"/>
              </w:rPr>
              <w:t>5,926 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C20E" w14:textId="77777777" w:rsidR="002661BA" w:rsidRDefault="002661BA">
            <w:pPr>
              <w:jc w:val="right"/>
              <w:rPr>
                <w:rFonts w:ascii="宋体"/>
              </w:rPr>
            </w:pPr>
          </w:p>
        </w:tc>
      </w:tr>
    </w:tbl>
    <w:p w14:paraId="22CFC210" w14:textId="77777777" w:rsidR="002661BA" w:rsidRDefault="002661BA"/>
    <w:p w14:paraId="22CFC211" w14:textId="77777777" w:rsidR="002661BA" w:rsidRDefault="00D972BC">
      <w:r>
        <w:rPr>
          <w:rFonts w:ascii="Arial" w:eastAsia="宋体" w:hAnsi="Arial" w:cs="Arial"/>
          <w:b/>
          <w:bCs/>
          <w:color w:val="000000"/>
          <w:sz w:val="20"/>
          <w:szCs w:val="20"/>
        </w:rPr>
        <w:t xml:space="preserve">Equity Investments </w:t>
      </w:r>
    </w:p>
    <w:p w14:paraId="22CFC212" w14:textId="77777777" w:rsidR="002661BA" w:rsidRDefault="002661BA">
      <w:pPr>
        <w:ind w:firstLine="495"/>
      </w:pPr>
    </w:p>
    <w:p w14:paraId="22CFC213" w14:textId="77777777" w:rsidR="002661BA" w:rsidRDefault="00D972BC">
      <w:pPr>
        <w:spacing w:after="120"/>
        <w:ind w:firstLine="540"/>
        <w:jc w:val="both"/>
      </w:pPr>
      <w:r>
        <w:rPr>
          <w:rFonts w:ascii="Arial" w:eastAsia="宋体" w:hAnsi="Arial" w:cs="Arial"/>
          <w:color w:val="000000"/>
          <w:sz w:val="20"/>
          <w:szCs w:val="20"/>
        </w:rPr>
        <w:t>The following table summarizes our equity investments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764"/>
        <w:gridCol w:w="37"/>
        <w:gridCol w:w="41"/>
        <w:gridCol w:w="1907"/>
        <w:gridCol w:w="37"/>
        <w:gridCol w:w="36"/>
        <w:gridCol w:w="36"/>
        <w:gridCol w:w="36"/>
        <w:gridCol w:w="121"/>
        <w:gridCol w:w="990"/>
        <w:gridCol w:w="36"/>
        <w:gridCol w:w="36"/>
        <w:gridCol w:w="36"/>
        <w:gridCol w:w="36"/>
        <w:gridCol w:w="121"/>
        <w:gridCol w:w="992"/>
        <w:gridCol w:w="36"/>
      </w:tblGrid>
      <w:tr w:rsidR="002661BA" w14:paraId="22CFC226" w14:textId="77777777">
        <w:tc>
          <w:tcPr>
            <w:tcW w:w="50" w:type="pct"/>
            <w:shd w:val="clear" w:color="auto" w:fill="auto"/>
            <w:vAlign w:val="bottom"/>
          </w:tcPr>
          <w:p w14:paraId="22CFC214" w14:textId="77777777" w:rsidR="002661BA" w:rsidRDefault="002661BA">
            <w:pPr>
              <w:rPr>
                <w:rFonts w:ascii="宋体"/>
              </w:rPr>
            </w:pPr>
          </w:p>
        </w:tc>
        <w:tc>
          <w:tcPr>
            <w:tcW w:w="2291" w:type="pct"/>
            <w:shd w:val="clear" w:color="auto" w:fill="auto"/>
            <w:vAlign w:val="bottom"/>
          </w:tcPr>
          <w:p w14:paraId="22CFC215" w14:textId="77777777" w:rsidR="002661BA" w:rsidRDefault="002661BA">
            <w:pPr>
              <w:rPr>
                <w:rFonts w:ascii="宋体"/>
              </w:rPr>
            </w:pPr>
          </w:p>
        </w:tc>
        <w:tc>
          <w:tcPr>
            <w:tcW w:w="5" w:type="pct"/>
            <w:shd w:val="clear" w:color="auto" w:fill="auto"/>
            <w:vAlign w:val="bottom"/>
          </w:tcPr>
          <w:p w14:paraId="22CFC216" w14:textId="77777777" w:rsidR="002661BA" w:rsidRDefault="002661BA">
            <w:pPr>
              <w:rPr>
                <w:rFonts w:ascii="宋体"/>
              </w:rPr>
            </w:pPr>
          </w:p>
        </w:tc>
        <w:tc>
          <w:tcPr>
            <w:tcW w:w="50" w:type="pct"/>
            <w:shd w:val="clear" w:color="auto" w:fill="auto"/>
            <w:vAlign w:val="bottom"/>
          </w:tcPr>
          <w:p w14:paraId="22CFC217" w14:textId="77777777" w:rsidR="002661BA" w:rsidRDefault="002661BA">
            <w:pPr>
              <w:rPr>
                <w:rFonts w:ascii="宋体"/>
              </w:rPr>
            </w:pPr>
          </w:p>
        </w:tc>
        <w:tc>
          <w:tcPr>
            <w:tcW w:w="1180" w:type="pct"/>
            <w:shd w:val="clear" w:color="auto" w:fill="auto"/>
            <w:vAlign w:val="bottom"/>
          </w:tcPr>
          <w:p w14:paraId="22CFC218" w14:textId="77777777" w:rsidR="002661BA" w:rsidRDefault="002661BA">
            <w:pPr>
              <w:rPr>
                <w:rFonts w:ascii="宋体"/>
              </w:rPr>
            </w:pPr>
          </w:p>
        </w:tc>
        <w:tc>
          <w:tcPr>
            <w:tcW w:w="5" w:type="pct"/>
            <w:shd w:val="clear" w:color="auto" w:fill="auto"/>
            <w:vAlign w:val="bottom"/>
          </w:tcPr>
          <w:p w14:paraId="22CFC219" w14:textId="77777777" w:rsidR="002661BA" w:rsidRDefault="002661BA">
            <w:pPr>
              <w:rPr>
                <w:rFonts w:ascii="宋体"/>
              </w:rPr>
            </w:pPr>
          </w:p>
        </w:tc>
        <w:tc>
          <w:tcPr>
            <w:tcW w:w="5" w:type="pct"/>
            <w:shd w:val="clear" w:color="auto" w:fill="auto"/>
            <w:vAlign w:val="bottom"/>
          </w:tcPr>
          <w:p w14:paraId="22CFC21A" w14:textId="77777777" w:rsidR="002661BA" w:rsidRDefault="002661BA">
            <w:pPr>
              <w:rPr>
                <w:rFonts w:ascii="宋体"/>
              </w:rPr>
            </w:pPr>
          </w:p>
        </w:tc>
        <w:tc>
          <w:tcPr>
            <w:tcW w:w="19" w:type="pct"/>
            <w:shd w:val="clear" w:color="auto" w:fill="auto"/>
            <w:vAlign w:val="bottom"/>
          </w:tcPr>
          <w:p w14:paraId="22CFC21B" w14:textId="77777777" w:rsidR="002661BA" w:rsidRDefault="002661BA">
            <w:pPr>
              <w:rPr>
                <w:rFonts w:ascii="宋体"/>
              </w:rPr>
            </w:pPr>
          </w:p>
        </w:tc>
        <w:tc>
          <w:tcPr>
            <w:tcW w:w="5" w:type="pct"/>
            <w:shd w:val="clear" w:color="auto" w:fill="auto"/>
            <w:vAlign w:val="bottom"/>
          </w:tcPr>
          <w:p w14:paraId="22CFC21C" w14:textId="77777777" w:rsidR="002661BA" w:rsidRDefault="002661BA">
            <w:pPr>
              <w:rPr>
                <w:rFonts w:ascii="宋体"/>
              </w:rPr>
            </w:pPr>
          </w:p>
        </w:tc>
        <w:tc>
          <w:tcPr>
            <w:tcW w:w="50" w:type="pct"/>
            <w:shd w:val="clear" w:color="auto" w:fill="auto"/>
            <w:vAlign w:val="bottom"/>
          </w:tcPr>
          <w:p w14:paraId="22CFC21D" w14:textId="77777777" w:rsidR="002661BA" w:rsidRDefault="002661BA">
            <w:pPr>
              <w:rPr>
                <w:rFonts w:ascii="宋体"/>
              </w:rPr>
            </w:pPr>
          </w:p>
        </w:tc>
        <w:tc>
          <w:tcPr>
            <w:tcW w:w="624" w:type="pct"/>
            <w:shd w:val="clear" w:color="auto" w:fill="auto"/>
            <w:vAlign w:val="bottom"/>
          </w:tcPr>
          <w:p w14:paraId="22CFC21E" w14:textId="77777777" w:rsidR="002661BA" w:rsidRDefault="002661BA">
            <w:pPr>
              <w:rPr>
                <w:rFonts w:ascii="宋体"/>
              </w:rPr>
            </w:pPr>
          </w:p>
        </w:tc>
        <w:tc>
          <w:tcPr>
            <w:tcW w:w="5" w:type="pct"/>
            <w:shd w:val="clear" w:color="auto" w:fill="auto"/>
            <w:vAlign w:val="bottom"/>
          </w:tcPr>
          <w:p w14:paraId="22CFC21F" w14:textId="77777777" w:rsidR="002661BA" w:rsidRDefault="002661BA">
            <w:pPr>
              <w:rPr>
                <w:rFonts w:ascii="宋体"/>
              </w:rPr>
            </w:pPr>
          </w:p>
        </w:tc>
        <w:tc>
          <w:tcPr>
            <w:tcW w:w="5" w:type="pct"/>
            <w:shd w:val="clear" w:color="auto" w:fill="auto"/>
            <w:vAlign w:val="bottom"/>
          </w:tcPr>
          <w:p w14:paraId="22CFC220" w14:textId="77777777" w:rsidR="002661BA" w:rsidRDefault="002661BA">
            <w:pPr>
              <w:rPr>
                <w:rFonts w:ascii="宋体"/>
              </w:rPr>
            </w:pPr>
          </w:p>
        </w:tc>
        <w:tc>
          <w:tcPr>
            <w:tcW w:w="19" w:type="pct"/>
            <w:shd w:val="clear" w:color="auto" w:fill="auto"/>
            <w:vAlign w:val="bottom"/>
          </w:tcPr>
          <w:p w14:paraId="22CFC221" w14:textId="77777777" w:rsidR="002661BA" w:rsidRDefault="002661BA">
            <w:pPr>
              <w:rPr>
                <w:rFonts w:ascii="宋体"/>
              </w:rPr>
            </w:pPr>
          </w:p>
        </w:tc>
        <w:tc>
          <w:tcPr>
            <w:tcW w:w="5" w:type="pct"/>
            <w:shd w:val="clear" w:color="auto" w:fill="auto"/>
            <w:vAlign w:val="bottom"/>
          </w:tcPr>
          <w:p w14:paraId="22CFC222" w14:textId="77777777" w:rsidR="002661BA" w:rsidRDefault="002661BA">
            <w:pPr>
              <w:rPr>
                <w:rFonts w:ascii="宋体"/>
              </w:rPr>
            </w:pPr>
          </w:p>
        </w:tc>
        <w:tc>
          <w:tcPr>
            <w:tcW w:w="50" w:type="pct"/>
            <w:shd w:val="clear" w:color="auto" w:fill="auto"/>
            <w:vAlign w:val="bottom"/>
          </w:tcPr>
          <w:p w14:paraId="22CFC223" w14:textId="77777777" w:rsidR="002661BA" w:rsidRDefault="002661BA">
            <w:pPr>
              <w:rPr>
                <w:rFonts w:ascii="宋体"/>
              </w:rPr>
            </w:pPr>
          </w:p>
        </w:tc>
        <w:tc>
          <w:tcPr>
            <w:tcW w:w="625" w:type="pct"/>
            <w:shd w:val="clear" w:color="auto" w:fill="auto"/>
            <w:vAlign w:val="bottom"/>
          </w:tcPr>
          <w:p w14:paraId="22CFC224" w14:textId="77777777" w:rsidR="002661BA" w:rsidRDefault="002661BA">
            <w:pPr>
              <w:rPr>
                <w:rFonts w:ascii="宋体"/>
              </w:rPr>
            </w:pPr>
          </w:p>
        </w:tc>
        <w:tc>
          <w:tcPr>
            <w:tcW w:w="5" w:type="pct"/>
            <w:shd w:val="clear" w:color="auto" w:fill="auto"/>
            <w:vAlign w:val="bottom"/>
          </w:tcPr>
          <w:p w14:paraId="22CFC225" w14:textId="77777777" w:rsidR="002661BA" w:rsidRDefault="002661BA">
            <w:pPr>
              <w:rPr>
                <w:rFonts w:ascii="宋体"/>
              </w:rPr>
            </w:pPr>
          </w:p>
        </w:tc>
      </w:tr>
      <w:tr w:rsidR="002661BA" w14:paraId="22CFC22B" w14:textId="77777777">
        <w:tc>
          <w:tcPr>
            <w:tcW w:w="0" w:type="auto"/>
            <w:gridSpan w:val="3"/>
            <w:shd w:val="clear" w:color="auto" w:fill="auto"/>
            <w:tcMar>
              <w:top w:w="0" w:type="dxa"/>
              <w:left w:w="20" w:type="dxa"/>
              <w:bottom w:w="0" w:type="dxa"/>
              <w:right w:w="20" w:type="dxa"/>
            </w:tcMar>
            <w:vAlign w:val="bottom"/>
          </w:tcPr>
          <w:p w14:paraId="22CFC22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C22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C229"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C22A" w14:textId="77777777" w:rsidR="002661BA" w:rsidRDefault="00D972BC">
            <w:pPr>
              <w:jc w:val="center"/>
              <w:textAlignment w:val="bottom"/>
            </w:pPr>
            <w:r>
              <w:rPr>
                <w:rFonts w:ascii="Arial" w:eastAsia="宋体" w:hAnsi="Arial" w:cs="Arial"/>
                <w:b/>
                <w:bCs/>
                <w:color w:val="000000"/>
                <w:sz w:val="17"/>
                <w:szCs w:val="17"/>
              </w:rPr>
              <w:t>December 31,</w:t>
            </w:r>
          </w:p>
        </w:tc>
      </w:tr>
      <w:tr w:rsidR="002661BA" w14:paraId="22CFC232" w14:textId="77777777">
        <w:tc>
          <w:tcPr>
            <w:tcW w:w="0" w:type="auto"/>
            <w:gridSpan w:val="3"/>
            <w:shd w:val="clear" w:color="auto" w:fill="auto"/>
            <w:tcMar>
              <w:top w:w="40" w:type="dxa"/>
              <w:left w:w="20" w:type="dxa"/>
              <w:bottom w:w="40" w:type="dxa"/>
              <w:right w:w="20" w:type="dxa"/>
            </w:tcMar>
            <w:vAlign w:val="bottom"/>
          </w:tcPr>
          <w:p w14:paraId="22CFC22C" w14:textId="77777777" w:rsidR="002661BA" w:rsidRDefault="00D972BC">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22CFC22D" w14:textId="77777777" w:rsidR="002661BA" w:rsidRDefault="00D972BC">
            <w:pPr>
              <w:jc w:val="right"/>
              <w:textAlignment w:val="bottom"/>
            </w:pPr>
            <w:r>
              <w:rPr>
                <w:rFonts w:ascii="Arial" w:eastAsia="宋体" w:hAnsi="Arial" w:cs="Arial"/>
                <w:b/>
                <w:bCs/>
                <w:color w:val="000000"/>
                <w:sz w:val="17"/>
                <w:szCs w:val="17"/>
              </w:rPr>
              <w:t>Balance Sheet Location</w:t>
            </w:r>
          </w:p>
        </w:tc>
        <w:tc>
          <w:tcPr>
            <w:tcW w:w="0" w:type="auto"/>
            <w:gridSpan w:val="3"/>
            <w:shd w:val="clear" w:color="auto" w:fill="auto"/>
            <w:tcMar>
              <w:top w:w="0" w:type="dxa"/>
              <w:left w:w="20" w:type="dxa"/>
              <w:bottom w:w="0" w:type="dxa"/>
              <w:right w:w="20" w:type="dxa"/>
            </w:tcMar>
            <w:vAlign w:val="bottom"/>
          </w:tcPr>
          <w:p w14:paraId="22CFC22E"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22F"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230"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231" w14:textId="77777777" w:rsidR="002661BA" w:rsidRDefault="00D972BC">
            <w:pPr>
              <w:jc w:val="center"/>
              <w:textAlignment w:val="bottom"/>
            </w:pPr>
            <w:r>
              <w:rPr>
                <w:rFonts w:ascii="Arial" w:eastAsia="宋体" w:hAnsi="Arial" w:cs="Arial"/>
                <w:b/>
                <w:bCs/>
                <w:color w:val="000000"/>
                <w:sz w:val="17"/>
                <w:szCs w:val="17"/>
              </w:rPr>
              <w:t>2020</w:t>
            </w:r>
          </w:p>
        </w:tc>
      </w:tr>
      <w:tr w:rsidR="002661BA" w14:paraId="22CFC23D" w14:textId="77777777">
        <w:tc>
          <w:tcPr>
            <w:tcW w:w="0" w:type="auto"/>
            <w:gridSpan w:val="3"/>
            <w:shd w:val="clear" w:color="auto" w:fill="E2E2E2"/>
            <w:tcMar>
              <w:top w:w="40" w:type="dxa"/>
              <w:left w:w="20" w:type="dxa"/>
              <w:bottom w:w="40" w:type="dxa"/>
              <w:right w:w="20" w:type="dxa"/>
            </w:tcMar>
            <w:vAlign w:val="bottom"/>
          </w:tcPr>
          <w:p w14:paraId="22CFC233" w14:textId="77777777" w:rsidR="002661BA" w:rsidRDefault="00D972BC">
            <w:pPr>
              <w:textAlignment w:val="bottom"/>
            </w:pPr>
            <w:r>
              <w:rPr>
                <w:rFonts w:ascii="Arial" w:eastAsia="宋体" w:hAnsi="Arial" w:cs="Arial"/>
                <w:color w:val="000000"/>
                <w:sz w:val="18"/>
                <w:szCs w:val="18"/>
              </w:rPr>
              <w:t>Equity investments with readily determinable fair values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22CFC234" w14:textId="77777777" w:rsidR="002661BA" w:rsidRDefault="00D972BC">
            <w:pPr>
              <w:jc w:val="right"/>
              <w:textAlignment w:val="bottom"/>
            </w:pPr>
            <w:r>
              <w:rPr>
                <w:rFonts w:ascii="Arial" w:eastAsia="宋体" w:hAnsi="Arial" w:cs="Arial"/>
                <w:color w:val="000000"/>
                <w:sz w:val="18"/>
                <w:szCs w:val="18"/>
              </w:rPr>
              <w:t>Short-term investments</w:t>
            </w:r>
          </w:p>
        </w:tc>
        <w:tc>
          <w:tcPr>
            <w:tcW w:w="0" w:type="auto"/>
            <w:gridSpan w:val="3"/>
            <w:shd w:val="clear" w:color="auto" w:fill="E2E2E2"/>
            <w:tcMar>
              <w:top w:w="0" w:type="dxa"/>
              <w:left w:w="20" w:type="dxa"/>
              <w:bottom w:w="0" w:type="dxa"/>
              <w:right w:w="20" w:type="dxa"/>
            </w:tcMar>
            <w:vAlign w:val="bottom"/>
          </w:tcPr>
          <w:p w14:paraId="22CFC235"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236"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237" w14:textId="77777777" w:rsidR="002661BA" w:rsidRDefault="00D972BC">
            <w:pPr>
              <w:jc w:val="right"/>
              <w:textAlignment w:val="bottom"/>
            </w:pPr>
            <w:r>
              <w:rPr>
                <w:rFonts w:ascii="Arial" w:eastAsia="宋体" w:hAnsi="Arial" w:cs="Arial"/>
                <w:color w:val="000000"/>
                <w:sz w:val="18"/>
                <w:szCs w:val="18"/>
              </w:rPr>
              <w:t>1,745 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238"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239"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23A"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23B"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23C" w14:textId="77777777" w:rsidR="002661BA" w:rsidRDefault="002661BA">
            <w:pPr>
              <w:jc w:val="right"/>
              <w:rPr>
                <w:rFonts w:ascii="宋体"/>
              </w:rPr>
            </w:pPr>
          </w:p>
        </w:tc>
      </w:tr>
      <w:tr w:rsidR="002661BA" w14:paraId="22CFC246" w14:textId="77777777">
        <w:tc>
          <w:tcPr>
            <w:tcW w:w="0" w:type="auto"/>
            <w:gridSpan w:val="3"/>
            <w:shd w:val="clear" w:color="auto" w:fill="FFFFFF"/>
            <w:tcMar>
              <w:top w:w="40" w:type="dxa"/>
              <w:left w:w="20" w:type="dxa"/>
              <w:bottom w:w="40" w:type="dxa"/>
              <w:right w:w="20" w:type="dxa"/>
            </w:tcMar>
            <w:vAlign w:val="bottom"/>
          </w:tcPr>
          <w:p w14:paraId="22CFC23E" w14:textId="77777777" w:rsidR="002661BA" w:rsidRDefault="00D972BC">
            <w:pPr>
              <w:textAlignment w:val="bottom"/>
            </w:pPr>
            <w:r>
              <w:rPr>
                <w:rFonts w:ascii="Arial" w:eastAsia="宋体" w:hAnsi="Arial" w:cs="Arial"/>
                <w:color w:val="000000"/>
                <w:sz w:val="18"/>
                <w:szCs w:val="18"/>
              </w:rPr>
              <w:t>Equity investment in Adevinta</w:t>
            </w:r>
          </w:p>
        </w:tc>
        <w:tc>
          <w:tcPr>
            <w:tcW w:w="0" w:type="auto"/>
            <w:gridSpan w:val="3"/>
            <w:shd w:val="clear" w:color="auto" w:fill="FFFFFF"/>
            <w:tcMar>
              <w:top w:w="40" w:type="dxa"/>
              <w:left w:w="20" w:type="dxa"/>
              <w:bottom w:w="40" w:type="dxa"/>
              <w:right w:w="20" w:type="dxa"/>
            </w:tcMar>
            <w:vAlign w:val="bottom"/>
          </w:tcPr>
          <w:p w14:paraId="22CFC23F" w14:textId="77777777" w:rsidR="002661BA" w:rsidRDefault="00D972BC">
            <w:pPr>
              <w:jc w:val="right"/>
              <w:textAlignment w:val="bottom"/>
            </w:pPr>
            <w:r>
              <w:rPr>
                <w:rFonts w:ascii="Arial" w:eastAsia="宋体" w:hAnsi="Arial" w:cs="Arial"/>
                <w:color w:val="000000"/>
                <w:sz w:val="18"/>
                <w:szCs w:val="18"/>
              </w:rPr>
              <w:t>Equity investment in Adevinta</w:t>
            </w:r>
          </w:p>
        </w:tc>
        <w:tc>
          <w:tcPr>
            <w:tcW w:w="0" w:type="auto"/>
            <w:gridSpan w:val="3"/>
            <w:shd w:val="clear" w:color="auto" w:fill="FFFFFF"/>
            <w:tcMar>
              <w:top w:w="0" w:type="dxa"/>
              <w:left w:w="20" w:type="dxa"/>
              <w:bottom w:w="0" w:type="dxa"/>
              <w:right w:w="20" w:type="dxa"/>
            </w:tcMar>
            <w:vAlign w:val="bottom"/>
          </w:tcPr>
          <w:p w14:paraId="22CFC24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241" w14:textId="77777777" w:rsidR="002661BA" w:rsidRDefault="00D972BC">
            <w:pPr>
              <w:jc w:val="right"/>
              <w:textAlignment w:val="bottom"/>
            </w:pPr>
            <w:r>
              <w:rPr>
                <w:rFonts w:ascii="Arial" w:eastAsia="宋体" w:hAnsi="Arial" w:cs="Arial"/>
                <w:color w:val="000000"/>
                <w:sz w:val="18"/>
                <w:szCs w:val="18"/>
              </w:rPr>
              <w:t>5,391 </w:t>
            </w:r>
          </w:p>
        </w:tc>
        <w:tc>
          <w:tcPr>
            <w:tcW w:w="0" w:type="auto"/>
            <w:shd w:val="clear" w:color="auto" w:fill="FFFFFF"/>
            <w:tcMar>
              <w:top w:w="40" w:type="dxa"/>
              <w:left w:w="0" w:type="dxa"/>
              <w:bottom w:w="40" w:type="dxa"/>
              <w:right w:w="20" w:type="dxa"/>
            </w:tcMar>
            <w:vAlign w:val="bottom"/>
          </w:tcPr>
          <w:p w14:paraId="22CFC24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243"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244"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245" w14:textId="77777777" w:rsidR="002661BA" w:rsidRDefault="002661BA">
            <w:pPr>
              <w:jc w:val="right"/>
              <w:rPr>
                <w:rFonts w:ascii="宋体"/>
              </w:rPr>
            </w:pPr>
          </w:p>
        </w:tc>
      </w:tr>
      <w:tr w:rsidR="002661BA" w14:paraId="22CFC24F" w14:textId="77777777">
        <w:tc>
          <w:tcPr>
            <w:tcW w:w="0" w:type="auto"/>
            <w:gridSpan w:val="3"/>
            <w:shd w:val="clear" w:color="auto" w:fill="E2E2E2"/>
            <w:tcMar>
              <w:top w:w="40" w:type="dxa"/>
              <w:left w:w="20" w:type="dxa"/>
              <w:bottom w:w="40" w:type="dxa"/>
              <w:right w:w="20" w:type="dxa"/>
            </w:tcMar>
            <w:vAlign w:val="bottom"/>
          </w:tcPr>
          <w:p w14:paraId="22CFC247" w14:textId="77777777" w:rsidR="002661BA" w:rsidRDefault="00D972BC">
            <w:pPr>
              <w:textAlignment w:val="bottom"/>
            </w:pPr>
            <w:r>
              <w:rPr>
                <w:rFonts w:ascii="Arial" w:eastAsia="宋体" w:hAnsi="Arial" w:cs="Arial"/>
                <w:color w:val="000000"/>
                <w:sz w:val="18"/>
                <w:szCs w:val="18"/>
              </w:rPr>
              <w:t>Equity investment under the fair value option</w:t>
            </w:r>
          </w:p>
        </w:tc>
        <w:tc>
          <w:tcPr>
            <w:tcW w:w="0" w:type="auto"/>
            <w:gridSpan w:val="3"/>
            <w:shd w:val="clear" w:color="auto" w:fill="E2E2E2"/>
            <w:tcMar>
              <w:top w:w="40" w:type="dxa"/>
              <w:left w:w="20" w:type="dxa"/>
              <w:bottom w:w="40" w:type="dxa"/>
              <w:right w:w="20" w:type="dxa"/>
            </w:tcMar>
            <w:vAlign w:val="bottom"/>
          </w:tcPr>
          <w:p w14:paraId="22CFC248" w14:textId="77777777" w:rsidR="002661BA" w:rsidRDefault="00D972BC">
            <w:pPr>
              <w:jc w:val="right"/>
              <w:textAlignment w:val="bottom"/>
            </w:pPr>
            <w:r>
              <w:rPr>
                <w:rFonts w:ascii="Arial" w:eastAsia="宋体" w:hAnsi="Arial" w:cs="Arial"/>
                <w:color w:val="000000"/>
                <w:sz w:val="18"/>
                <w:szCs w:val="18"/>
              </w:rPr>
              <w:t xml:space="preserve">Long-term </w:t>
            </w:r>
            <w:r>
              <w:rPr>
                <w:rFonts w:ascii="Arial" w:eastAsia="宋体" w:hAnsi="Arial" w:cs="Arial"/>
                <w:color w:val="000000"/>
                <w:sz w:val="18"/>
                <w:szCs w:val="18"/>
              </w:rPr>
              <w:t>investments</w:t>
            </w:r>
          </w:p>
        </w:tc>
        <w:tc>
          <w:tcPr>
            <w:tcW w:w="0" w:type="auto"/>
            <w:gridSpan w:val="3"/>
            <w:shd w:val="clear" w:color="auto" w:fill="E2E2E2"/>
            <w:tcMar>
              <w:top w:w="0" w:type="dxa"/>
              <w:left w:w="20" w:type="dxa"/>
              <w:bottom w:w="0" w:type="dxa"/>
              <w:right w:w="20" w:type="dxa"/>
            </w:tcMar>
            <w:vAlign w:val="bottom"/>
          </w:tcPr>
          <w:p w14:paraId="22CFC249"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24A" w14:textId="77777777" w:rsidR="002661BA" w:rsidRDefault="00D972BC">
            <w:pPr>
              <w:jc w:val="right"/>
              <w:textAlignment w:val="bottom"/>
            </w:pPr>
            <w:r>
              <w:rPr>
                <w:rFonts w:ascii="Arial" w:eastAsia="宋体" w:hAnsi="Arial" w:cs="Arial"/>
                <w:color w:val="000000"/>
                <w:sz w:val="18"/>
                <w:szCs w:val="18"/>
              </w:rPr>
              <w:t>725 </w:t>
            </w:r>
          </w:p>
        </w:tc>
        <w:tc>
          <w:tcPr>
            <w:tcW w:w="0" w:type="auto"/>
            <w:shd w:val="clear" w:color="auto" w:fill="E2E2E2"/>
            <w:tcMar>
              <w:top w:w="40" w:type="dxa"/>
              <w:left w:w="0" w:type="dxa"/>
              <w:bottom w:w="40" w:type="dxa"/>
              <w:right w:w="20" w:type="dxa"/>
            </w:tcMar>
            <w:vAlign w:val="bottom"/>
          </w:tcPr>
          <w:p w14:paraId="22CFC24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24C"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24D"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C24E" w14:textId="77777777" w:rsidR="002661BA" w:rsidRDefault="002661BA">
            <w:pPr>
              <w:jc w:val="right"/>
              <w:rPr>
                <w:rFonts w:ascii="宋体"/>
              </w:rPr>
            </w:pPr>
          </w:p>
        </w:tc>
      </w:tr>
      <w:tr w:rsidR="002661BA" w14:paraId="22CFC258" w14:textId="77777777">
        <w:tc>
          <w:tcPr>
            <w:tcW w:w="0" w:type="auto"/>
            <w:gridSpan w:val="3"/>
            <w:shd w:val="clear" w:color="auto" w:fill="FFFFFF"/>
            <w:tcMar>
              <w:top w:w="40" w:type="dxa"/>
              <w:left w:w="20" w:type="dxa"/>
              <w:bottom w:w="40" w:type="dxa"/>
              <w:right w:w="20" w:type="dxa"/>
            </w:tcMar>
            <w:vAlign w:val="bottom"/>
          </w:tcPr>
          <w:p w14:paraId="22CFC250" w14:textId="77777777" w:rsidR="002661BA" w:rsidRDefault="00D972BC">
            <w:pPr>
              <w:textAlignment w:val="bottom"/>
            </w:pPr>
            <w:r>
              <w:rPr>
                <w:rFonts w:ascii="Arial" w:eastAsia="宋体" w:hAnsi="Arial" w:cs="Arial"/>
                <w:color w:val="000000"/>
                <w:sz w:val="18"/>
                <w:szCs w:val="18"/>
              </w:rPr>
              <w:t>Equity investments under the equity method of accounting</w:t>
            </w:r>
          </w:p>
        </w:tc>
        <w:tc>
          <w:tcPr>
            <w:tcW w:w="0" w:type="auto"/>
            <w:gridSpan w:val="3"/>
            <w:shd w:val="clear" w:color="auto" w:fill="FFFFFF"/>
            <w:tcMar>
              <w:top w:w="40" w:type="dxa"/>
              <w:left w:w="20" w:type="dxa"/>
              <w:bottom w:w="40" w:type="dxa"/>
              <w:right w:w="20" w:type="dxa"/>
            </w:tcMar>
            <w:vAlign w:val="bottom"/>
          </w:tcPr>
          <w:p w14:paraId="22CFC251" w14:textId="77777777" w:rsidR="002661BA" w:rsidRDefault="00D972BC">
            <w:pPr>
              <w:jc w:val="right"/>
              <w:textAlignment w:val="bottom"/>
            </w:pPr>
            <w:r>
              <w:rPr>
                <w:rFonts w:ascii="Arial" w:eastAsia="宋体" w:hAnsi="Arial" w:cs="Arial"/>
                <w:color w:val="000000"/>
                <w:sz w:val="18"/>
                <w:szCs w:val="18"/>
              </w:rPr>
              <w:t>Long-term investments</w:t>
            </w:r>
          </w:p>
        </w:tc>
        <w:tc>
          <w:tcPr>
            <w:tcW w:w="0" w:type="auto"/>
            <w:gridSpan w:val="3"/>
            <w:shd w:val="clear" w:color="auto" w:fill="FFFFFF"/>
            <w:tcMar>
              <w:top w:w="0" w:type="dxa"/>
              <w:left w:w="20" w:type="dxa"/>
              <w:bottom w:w="0" w:type="dxa"/>
              <w:right w:w="20" w:type="dxa"/>
            </w:tcMar>
            <w:vAlign w:val="bottom"/>
          </w:tcPr>
          <w:p w14:paraId="22CFC252"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253" w14:textId="77777777" w:rsidR="002661BA" w:rsidRDefault="00D972BC">
            <w:pPr>
              <w:jc w:val="right"/>
              <w:textAlignment w:val="bottom"/>
            </w:pPr>
            <w:r>
              <w:rPr>
                <w:rFonts w:ascii="Arial" w:eastAsia="宋体" w:hAnsi="Arial" w:cs="Arial"/>
                <w:color w:val="000000"/>
                <w:sz w:val="18"/>
                <w:szCs w:val="18"/>
              </w:rPr>
              <w:t>38 </w:t>
            </w:r>
          </w:p>
        </w:tc>
        <w:tc>
          <w:tcPr>
            <w:tcW w:w="0" w:type="auto"/>
            <w:shd w:val="clear" w:color="auto" w:fill="FFFFFF"/>
            <w:tcMar>
              <w:top w:w="40" w:type="dxa"/>
              <w:left w:w="0" w:type="dxa"/>
              <w:bottom w:w="40" w:type="dxa"/>
              <w:right w:w="20" w:type="dxa"/>
            </w:tcMar>
            <w:vAlign w:val="bottom"/>
          </w:tcPr>
          <w:p w14:paraId="22CFC25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255"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256" w14:textId="77777777" w:rsidR="002661BA" w:rsidRDefault="00D972BC">
            <w:pPr>
              <w:jc w:val="right"/>
              <w:textAlignment w:val="bottom"/>
            </w:pPr>
            <w:r>
              <w:rPr>
                <w:rFonts w:ascii="Arial" w:eastAsia="宋体" w:hAnsi="Arial" w:cs="Arial"/>
                <w:color w:val="000000"/>
                <w:sz w:val="18"/>
                <w:szCs w:val="18"/>
              </w:rPr>
              <w:t>8 </w:t>
            </w:r>
          </w:p>
        </w:tc>
        <w:tc>
          <w:tcPr>
            <w:tcW w:w="0" w:type="auto"/>
            <w:shd w:val="clear" w:color="auto" w:fill="FFFFFF"/>
            <w:tcMar>
              <w:top w:w="40" w:type="dxa"/>
              <w:left w:w="0" w:type="dxa"/>
              <w:bottom w:w="40" w:type="dxa"/>
              <w:right w:w="20" w:type="dxa"/>
            </w:tcMar>
            <w:vAlign w:val="bottom"/>
          </w:tcPr>
          <w:p w14:paraId="22CFC257" w14:textId="77777777" w:rsidR="002661BA" w:rsidRDefault="002661BA">
            <w:pPr>
              <w:jc w:val="right"/>
              <w:rPr>
                <w:rFonts w:ascii="宋体"/>
              </w:rPr>
            </w:pPr>
          </w:p>
        </w:tc>
      </w:tr>
      <w:tr w:rsidR="002661BA" w14:paraId="22CFC261" w14:textId="77777777">
        <w:tc>
          <w:tcPr>
            <w:tcW w:w="0" w:type="auto"/>
            <w:gridSpan w:val="3"/>
            <w:shd w:val="clear" w:color="auto" w:fill="E2E2E2"/>
            <w:tcMar>
              <w:top w:w="40" w:type="dxa"/>
              <w:left w:w="20" w:type="dxa"/>
              <w:bottom w:w="40" w:type="dxa"/>
              <w:right w:w="20" w:type="dxa"/>
            </w:tcMar>
            <w:vAlign w:val="bottom"/>
          </w:tcPr>
          <w:p w14:paraId="22CFC259" w14:textId="77777777" w:rsidR="002661BA" w:rsidRDefault="00D972BC">
            <w:pPr>
              <w:textAlignment w:val="bottom"/>
            </w:pPr>
            <w:r>
              <w:rPr>
                <w:rFonts w:ascii="Arial" w:eastAsia="宋体" w:hAnsi="Arial" w:cs="Arial"/>
                <w:color w:val="000000"/>
                <w:sz w:val="18"/>
                <w:szCs w:val="18"/>
              </w:rPr>
              <w:t>Equity investments without readily determinable fair values</w:t>
            </w:r>
          </w:p>
        </w:tc>
        <w:tc>
          <w:tcPr>
            <w:tcW w:w="0" w:type="auto"/>
            <w:gridSpan w:val="3"/>
            <w:shd w:val="clear" w:color="auto" w:fill="E2E2E2"/>
            <w:tcMar>
              <w:top w:w="40" w:type="dxa"/>
              <w:left w:w="20" w:type="dxa"/>
              <w:bottom w:w="40" w:type="dxa"/>
              <w:right w:w="20" w:type="dxa"/>
            </w:tcMar>
            <w:vAlign w:val="bottom"/>
          </w:tcPr>
          <w:p w14:paraId="22CFC25A" w14:textId="77777777" w:rsidR="002661BA" w:rsidRDefault="00D972BC">
            <w:pPr>
              <w:jc w:val="right"/>
              <w:textAlignment w:val="bottom"/>
            </w:pPr>
            <w:r>
              <w:rPr>
                <w:rFonts w:ascii="Arial" w:eastAsia="宋体" w:hAnsi="Arial" w:cs="Arial"/>
                <w:color w:val="000000"/>
                <w:sz w:val="18"/>
                <w:szCs w:val="18"/>
              </w:rPr>
              <w:t>Long-term investments</w:t>
            </w:r>
          </w:p>
        </w:tc>
        <w:tc>
          <w:tcPr>
            <w:tcW w:w="0" w:type="auto"/>
            <w:gridSpan w:val="3"/>
            <w:shd w:val="clear" w:color="auto" w:fill="E2E2E2"/>
            <w:tcMar>
              <w:top w:w="0" w:type="dxa"/>
              <w:left w:w="20" w:type="dxa"/>
              <w:bottom w:w="0" w:type="dxa"/>
              <w:right w:w="20" w:type="dxa"/>
            </w:tcMar>
            <w:vAlign w:val="bottom"/>
          </w:tcPr>
          <w:p w14:paraId="22CFC25B"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25C" w14:textId="77777777" w:rsidR="002661BA" w:rsidRDefault="00D972BC">
            <w:pPr>
              <w:jc w:val="right"/>
              <w:textAlignment w:val="bottom"/>
            </w:pPr>
            <w:r>
              <w:rPr>
                <w:rFonts w:ascii="Arial" w:eastAsia="宋体" w:hAnsi="Arial" w:cs="Arial"/>
                <w:color w:val="000000"/>
                <w:sz w:val="18"/>
                <w:szCs w:val="18"/>
              </w:rPr>
              <w:t>85 </w:t>
            </w:r>
          </w:p>
        </w:tc>
        <w:tc>
          <w:tcPr>
            <w:tcW w:w="0" w:type="auto"/>
            <w:shd w:val="clear" w:color="auto" w:fill="E2E2E2"/>
            <w:tcMar>
              <w:top w:w="40" w:type="dxa"/>
              <w:left w:w="0" w:type="dxa"/>
              <w:bottom w:w="40" w:type="dxa"/>
              <w:right w:w="20" w:type="dxa"/>
            </w:tcMar>
            <w:vAlign w:val="bottom"/>
          </w:tcPr>
          <w:p w14:paraId="22CFC25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25E"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25F" w14:textId="77777777" w:rsidR="002661BA" w:rsidRDefault="00D972BC">
            <w:pPr>
              <w:jc w:val="right"/>
              <w:textAlignment w:val="bottom"/>
            </w:pPr>
            <w:r>
              <w:rPr>
                <w:rFonts w:ascii="Arial" w:eastAsia="宋体" w:hAnsi="Arial" w:cs="Arial"/>
                <w:color w:val="000000"/>
                <w:sz w:val="18"/>
                <w:szCs w:val="18"/>
              </w:rPr>
              <w:t>539 </w:t>
            </w:r>
          </w:p>
        </w:tc>
        <w:tc>
          <w:tcPr>
            <w:tcW w:w="0" w:type="auto"/>
            <w:shd w:val="clear" w:color="auto" w:fill="E2E2E2"/>
            <w:tcMar>
              <w:top w:w="40" w:type="dxa"/>
              <w:left w:w="0" w:type="dxa"/>
              <w:bottom w:w="40" w:type="dxa"/>
              <w:right w:w="20" w:type="dxa"/>
            </w:tcMar>
            <w:vAlign w:val="bottom"/>
          </w:tcPr>
          <w:p w14:paraId="22CFC260" w14:textId="77777777" w:rsidR="002661BA" w:rsidRDefault="002661BA">
            <w:pPr>
              <w:jc w:val="right"/>
              <w:rPr>
                <w:rFonts w:ascii="宋体"/>
              </w:rPr>
            </w:pPr>
          </w:p>
        </w:tc>
      </w:tr>
      <w:tr w:rsidR="002661BA" w14:paraId="22CFC26C" w14:textId="77777777">
        <w:tc>
          <w:tcPr>
            <w:tcW w:w="0" w:type="auto"/>
            <w:gridSpan w:val="3"/>
            <w:shd w:val="clear" w:color="auto" w:fill="FFFFFF"/>
            <w:tcMar>
              <w:top w:w="40" w:type="dxa"/>
              <w:left w:w="245" w:type="dxa"/>
              <w:bottom w:w="40" w:type="dxa"/>
              <w:right w:w="20" w:type="dxa"/>
            </w:tcMar>
            <w:vAlign w:val="bottom"/>
          </w:tcPr>
          <w:p w14:paraId="22CFC262" w14:textId="77777777" w:rsidR="002661BA" w:rsidRDefault="00D972BC">
            <w:pPr>
              <w:textAlignment w:val="bottom"/>
            </w:pPr>
            <w:r>
              <w:rPr>
                <w:rFonts w:ascii="Arial" w:eastAsia="宋体" w:hAnsi="Arial" w:cs="Arial"/>
                <w:color w:val="000000"/>
                <w:sz w:val="18"/>
                <w:szCs w:val="18"/>
              </w:rPr>
              <w:t>Total equity investments</w:t>
            </w:r>
          </w:p>
        </w:tc>
        <w:tc>
          <w:tcPr>
            <w:tcW w:w="0" w:type="auto"/>
            <w:gridSpan w:val="3"/>
            <w:shd w:val="clear" w:color="auto" w:fill="FFFFFF"/>
            <w:tcMar>
              <w:top w:w="0" w:type="dxa"/>
              <w:left w:w="20" w:type="dxa"/>
              <w:bottom w:w="0" w:type="dxa"/>
              <w:right w:w="20" w:type="dxa"/>
            </w:tcMar>
            <w:vAlign w:val="bottom"/>
          </w:tcPr>
          <w:p w14:paraId="22CFC263"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264"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26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266" w14:textId="77777777" w:rsidR="002661BA" w:rsidRDefault="00D972BC">
            <w:pPr>
              <w:jc w:val="right"/>
              <w:textAlignment w:val="bottom"/>
            </w:pPr>
            <w:r>
              <w:rPr>
                <w:rFonts w:ascii="Arial" w:eastAsia="宋体" w:hAnsi="Arial" w:cs="Arial"/>
                <w:color w:val="000000"/>
                <w:sz w:val="18"/>
                <w:szCs w:val="18"/>
              </w:rPr>
              <w:t>7,984 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26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268"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26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26A" w14:textId="77777777" w:rsidR="002661BA" w:rsidRDefault="00D972BC">
            <w:pPr>
              <w:jc w:val="right"/>
              <w:textAlignment w:val="bottom"/>
            </w:pPr>
            <w:r>
              <w:rPr>
                <w:rFonts w:ascii="Arial" w:eastAsia="宋体" w:hAnsi="Arial" w:cs="Arial"/>
                <w:color w:val="000000"/>
                <w:sz w:val="18"/>
                <w:szCs w:val="18"/>
              </w:rPr>
              <w:t>547 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26B" w14:textId="77777777" w:rsidR="002661BA" w:rsidRDefault="002661BA">
            <w:pPr>
              <w:jc w:val="right"/>
              <w:rPr>
                <w:rFonts w:ascii="宋体"/>
              </w:rPr>
            </w:pPr>
          </w:p>
        </w:tc>
      </w:tr>
    </w:tbl>
    <w:p w14:paraId="22CFC26D" w14:textId="77777777" w:rsidR="002661BA" w:rsidRDefault="002661BA">
      <w:pPr>
        <w:jc w:val="both"/>
      </w:pPr>
    </w:p>
    <w:p w14:paraId="22CFC26E" w14:textId="77777777" w:rsidR="002661BA" w:rsidRDefault="00D972BC">
      <w:pPr>
        <w:ind w:firstLine="270"/>
        <w:jc w:val="both"/>
      </w:pPr>
      <w:r>
        <w:rPr>
          <w:rFonts w:ascii="Arial" w:eastAsia="宋体" w:hAnsi="Arial" w:cs="Arial"/>
          <w:b/>
          <w:bCs/>
          <w:i/>
          <w:iCs/>
          <w:color w:val="000000"/>
          <w:sz w:val="20"/>
          <w:szCs w:val="20"/>
        </w:rPr>
        <w:t>Equity investment in Adevinta</w:t>
      </w:r>
    </w:p>
    <w:p w14:paraId="22CFC26F" w14:textId="77777777" w:rsidR="002661BA" w:rsidRDefault="002661BA">
      <w:pPr>
        <w:ind w:firstLine="540"/>
        <w:jc w:val="both"/>
      </w:pPr>
    </w:p>
    <w:p w14:paraId="22CFC270" w14:textId="77777777" w:rsidR="002661BA" w:rsidRDefault="00D972BC">
      <w:pPr>
        <w:ind w:firstLine="540"/>
        <w:jc w:val="both"/>
      </w:pPr>
      <w:r>
        <w:rPr>
          <w:rFonts w:ascii="Arial" w:eastAsia="宋体" w:hAnsi="Arial" w:cs="Arial"/>
          <w:color w:val="222222"/>
          <w:sz w:val="20"/>
          <w:szCs w:val="20"/>
        </w:rPr>
        <w:t>We account for equity investments through which we exercise significant influence but do not have control over the investee under the fair value option or under the equity method. O</w:t>
      </w:r>
      <w:r>
        <w:rPr>
          <w:rFonts w:ascii="Arial" w:eastAsia="宋体" w:hAnsi="Arial" w:cs="Arial"/>
          <w:color w:val="000000"/>
          <w:sz w:val="20"/>
          <w:szCs w:val="20"/>
        </w:rPr>
        <w:t xml:space="preserve">ur equity investment in Adevinta is accounted for under the fair value option. </w:t>
      </w:r>
    </w:p>
    <w:p w14:paraId="22CFC271" w14:textId="77777777" w:rsidR="002661BA" w:rsidRDefault="002661BA">
      <w:pPr>
        <w:ind w:firstLine="540"/>
        <w:jc w:val="both"/>
      </w:pPr>
    </w:p>
    <w:p w14:paraId="22CFC272" w14:textId="77777777" w:rsidR="002661BA" w:rsidRDefault="00D972BC">
      <w:pPr>
        <w:ind w:firstLine="540"/>
        <w:jc w:val="both"/>
      </w:pPr>
      <w:r>
        <w:rPr>
          <w:rFonts w:ascii="Arial" w:eastAsia="宋体" w:hAnsi="Arial" w:cs="Arial"/>
          <w:color w:val="222222"/>
          <w:sz w:val="20"/>
          <w:szCs w:val="20"/>
        </w:rPr>
        <w:t>Upon completion of the transfer of our Classifieds business to Adevinta on June 24, 2021, we received an equity investment of 44% in Adevinta valued at $10.8 billion at the cl</w:t>
      </w:r>
      <w:r>
        <w:rPr>
          <w:rFonts w:ascii="Arial" w:eastAsia="宋体" w:hAnsi="Arial" w:cs="Arial"/>
          <w:color w:val="222222"/>
          <w:sz w:val="20"/>
          <w:szCs w:val="20"/>
        </w:rPr>
        <w:t>ose of the transfer. On November 18, 2021, we completed the sale of approximately 135 million of our voting shares in Adevinta to Permira, inclusive of the option exercised by Permira to purchase additional voting shares, for total cash consideration of ap</w:t>
      </w:r>
      <w:r>
        <w:rPr>
          <w:rFonts w:ascii="Arial" w:eastAsia="宋体" w:hAnsi="Arial" w:cs="Arial"/>
          <w:color w:val="222222"/>
          <w:sz w:val="20"/>
          <w:szCs w:val="20"/>
        </w:rPr>
        <w:t xml:space="preserve">proximately $2.3 billion. Additionally, we recognized a gain on the settlement of a related non-designated foreign exchange instrument of $84 million in interest and other, net </w:t>
      </w:r>
      <w:r>
        <w:rPr>
          <w:rFonts w:ascii="Arial" w:eastAsia="宋体" w:hAnsi="Arial" w:cs="Arial"/>
          <w:color w:val="000000"/>
          <w:sz w:val="20"/>
          <w:szCs w:val="20"/>
        </w:rPr>
        <w:t>in the consolidated statement of income</w:t>
      </w:r>
      <w:r>
        <w:rPr>
          <w:rFonts w:ascii="Arial" w:eastAsia="宋体" w:hAnsi="Arial" w:cs="Arial"/>
          <w:color w:val="222222"/>
          <w:sz w:val="20"/>
          <w:szCs w:val="20"/>
        </w:rPr>
        <w:t xml:space="preserve">. At the close of the sale inclusive of </w:t>
      </w:r>
      <w:r>
        <w:rPr>
          <w:rFonts w:ascii="Arial" w:eastAsia="宋体" w:hAnsi="Arial" w:cs="Arial"/>
          <w:color w:val="222222"/>
          <w:sz w:val="20"/>
          <w:szCs w:val="20"/>
        </w:rPr>
        <w:t xml:space="preserve">the option exercised, our ownership in Adevinta was reduced to 33%. Following the sale in November 2021, our equity investment in Adevinta is reported in the long-term assets section on the consolidated balance sheet to reflect our contractual requirement </w:t>
      </w:r>
      <w:r>
        <w:rPr>
          <w:rFonts w:ascii="Arial" w:eastAsia="宋体" w:hAnsi="Arial" w:cs="Arial"/>
          <w:color w:val="222222"/>
          <w:sz w:val="20"/>
          <w:szCs w:val="20"/>
        </w:rPr>
        <w:t>to retain at least 25% of the total number of issued and outstanding equity securities of Adevinta until October 14, 2023, subject to certain exceptions specified in the agreement.</w:t>
      </w:r>
    </w:p>
    <w:p w14:paraId="22CFC273" w14:textId="77777777" w:rsidR="002661BA" w:rsidRDefault="002661BA">
      <w:pPr>
        <w:ind w:firstLine="540"/>
        <w:jc w:val="both"/>
      </w:pPr>
    </w:p>
    <w:p w14:paraId="22CFC274" w14:textId="77777777" w:rsidR="002661BA" w:rsidRDefault="00D972BC">
      <w:pPr>
        <w:jc w:val="center"/>
      </w:pPr>
      <w:r>
        <w:rPr>
          <w:rFonts w:ascii="Arial" w:eastAsia="宋体" w:hAnsi="Arial" w:cs="Arial"/>
          <w:color w:val="000000"/>
          <w:sz w:val="18"/>
          <w:szCs w:val="18"/>
        </w:rPr>
        <w:t>81</w:t>
      </w:r>
    </w:p>
    <w:p w14:paraId="22CFC275" w14:textId="77777777" w:rsidR="002661BA" w:rsidRDefault="00D972BC">
      <w:r>
        <w:pict w14:anchorId="22CFE502">
          <v:rect id="_x0000_i1105" style="width:415.3pt;height:1.5pt" o:hralign="center" o:hrstd="t" o:hr="t" fillcolor="#a0a0a0" stroked="f"/>
        </w:pict>
      </w:r>
    </w:p>
    <w:p w14:paraId="22CFC276" w14:textId="77777777" w:rsidR="002661BA" w:rsidRDefault="00D972BC">
      <w:hyperlink r:id="rId116" w:anchor="id0d7a71b05ce452ea9fdb54f3cb359c7_7" w:history="1">
        <w:r>
          <w:rPr>
            <w:rStyle w:val="a5"/>
            <w:rFonts w:ascii="Arial" w:eastAsia="宋体" w:hAnsi="Arial" w:cs="Arial"/>
            <w:sz w:val="18"/>
            <w:szCs w:val="18"/>
          </w:rPr>
          <w:t>Table of Contents</w:t>
        </w:r>
      </w:hyperlink>
    </w:p>
    <w:p w14:paraId="22CFC277" w14:textId="77777777" w:rsidR="002661BA" w:rsidRDefault="00D972BC">
      <w:pPr>
        <w:jc w:val="center"/>
      </w:pPr>
      <w:r>
        <w:rPr>
          <w:rFonts w:ascii="Arial" w:eastAsia="宋体" w:hAnsi="Arial" w:cs="Arial"/>
          <w:b/>
          <w:bCs/>
          <w:color w:val="000000"/>
          <w:sz w:val="20"/>
          <w:szCs w:val="20"/>
        </w:rPr>
        <w:t>eBay Inc.</w:t>
      </w:r>
    </w:p>
    <w:p w14:paraId="22CFC278"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279" w14:textId="77777777" w:rsidR="002661BA" w:rsidRDefault="00D972BC">
      <w:pPr>
        <w:ind w:firstLine="540"/>
        <w:jc w:val="both"/>
      </w:pPr>
      <w:r>
        <w:rPr>
          <w:rFonts w:ascii="Arial" w:eastAsia="宋体" w:hAnsi="Arial" w:cs="Arial"/>
          <w:color w:val="000000"/>
          <w:sz w:val="20"/>
          <w:szCs w:val="20"/>
        </w:rPr>
        <w:t xml:space="preserve">At the initial recognition of the equity investment, we elected the fair value </w:t>
      </w:r>
      <w:r>
        <w:rPr>
          <w:rFonts w:ascii="Arial" w:eastAsia="宋体" w:hAnsi="Arial" w:cs="Arial"/>
          <w:color w:val="000000"/>
          <w:sz w:val="20"/>
          <w:szCs w:val="20"/>
        </w:rPr>
        <w:t>option where subsequent changes in fair value are recognized in earnings. The investment is classified within Level 1 in the fair value hierarchy as the valuation can be obtained from real time quotes in active markets. The fair value of the equity investm</w:t>
      </w:r>
      <w:r>
        <w:rPr>
          <w:rFonts w:ascii="Arial" w:eastAsia="宋体" w:hAnsi="Arial" w:cs="Arial"/>
          <w:color w:val="000000"/>
          <w:sz w:val="20"/>
          <w:szCs w:val="20"/>
        </w:rPr>
        <w:t>ent is measured based on Adevinta’s closing stock price and prevailing foreign exchange rate at each balance sheet date and the changes in fair value are reflected in gain (loss) on equity investments and warrant, net in the consolidated statement of incom</w:t>
      </w:r>
      <w:r>
        <w:rPr>
          <w:rFonts w:ascii="Arial" w:eastAsia="宋体" w:hAnsi="Arial" w:cs="Arial"/>
          <w:color w:val="000000"/>
          <w:sz w:val="20"/>
          <w:szCs w:val="20"/>
        </w:rPr>
        <w:t xml:space="preserve">e. We believe the fair value option election creates more transparency of the current value in the equity investment in Adevinta. Our non-voting shares are convertible to voting shares on a one-to-one basis, subject to a limitation of 33% voting interest. </w:t>
      </w:r>
      <w:r>
        <w:rPr>
          <w:rFonts w:ascii="Arial" w:eastAsia="宋体" w:hAnsi="Arial" w:cs="Arial"/>
          <w:color w:val="000000"/>
          <w:sz w:val="20"/>
          <w:szCs w:val="20"/>
        </w:rPr>
        <w:t xml:space="preserve">For the year ended December 31, 2021, an unrealized loss of $3,070 million and a realized gain on sale of $9 million were recorded in gain (loss) on equity investments and warrant, net on our consolidated statement of income related to the investment. The </w:t>
      </w:r>
      <w:r>
        <w:rPr>
          <w:rFonts w:ascii="Arial" w:eastAsia="宋体" w:hAnsi="Arial" w:cs="Arial"/>
          <w:color w:val="000000"/>
          <w:sz w:val="20"/>
          <w:szCs w:val="20"/>
        </w:rPr>
        <w:t>realized gain on sale of $9 million included an $88 million gain recognized on the sale of the shares offset by a $79 million loss from the change in fair value of the shares sold through the date of sale.</w:t>
      </w:r>
    </w:p>
    <w:p w14:paraId="22CFC27A" w14:textId="77777777" w:rsidR="002661BA" w:rsidRDefault="002661BA">
      <w:pPr>
        <w:ind w:firstLine="540"/>
        <w:jc w:val="both"/>
      </w:pPr>
    </w:p>
    <w:p w14:paraId="22CFC27B" w14:textId="77777777" w:rsidR="002661BA" w:rsidRDefault="00D972BC">
      <w:pPr>
        <w:spacing w:after="120"/>
        <w:ind w:firstLine="540"/>
        <w:jc w:val="both"/>
      </w:pPr>
      <w:r>
        <w:rPr>
          <w:rFonts w:ascii="Arial" w:eastAsia="宋体" w:hAnsi="Arial" w:cs="Arial"/>
          <w:color w:val="000000"/>
          <w:sz w:val="20"/>
          <w:szCs w:val="20"/>
        </w:rPr>
        <w:t>The following tables present Adevinta’s summarize</w:t>
      </w:r>
      <w:r>
        <w:rPr>
          <w:rFonts w:ascii="Arial" w:eastAsia="宋体" w:hAnsi="Arial" w:cs="Arial"/>
          <w:color w:val="000000"/>
          <w:sz w:val="20"/>
          <w:szCs w:val="20"/>
        </w:rPr>
        <w:t>d financial information on a one-quarter lag. Adevinta’s financial information is prepared on the basis of International Financial Reporting Standards (“IFRS”). We have made certain adjustments to Adevinta’s summarized financial information to address diff</w:t>
      </w:r>
      <w:r>
        <w:rPr>
          <w:rFonts w:ascii="Arial" w:eastAsia="宋体" w:hAnsi="Arial" w:cs="Arial"/>
          <w:color w:val="000000"/>
          <w:sz w:val="20"/>
          <w:szCs w:val="20"/>
        </w:rPr>
        <w:t>erences between IFRS and GAAP that materially impact the summarized financial information presented below. Any other differences between IFRS and GAAP did not have a material impact on Adevinta’s summarized financial information. The period presented in th</w:t>
      </w:r>
      <w:r>
        <w:rPr>
          <w:rFonts w:ascii="Arial" w:eastAsia="宋体" w:hAnsi="Arial" w:cs="Arial"/>
          <w:color w:val="000000"/>
          <w:sz w:val="20"/>
          <w:szCs w:val="20"/>
        </w:rPr>
        <w:t>e table below commenced on June 24, 2021 when we retained an equity investment in Adevinta upon completion of the transfer of our Classifieds business (in millions):</w:t>
      </w:r>
    </w:p>
    <w:tbl>
      <w:tblPr>
        <w:tblW w:w="5000" w:type="pct"/>
        <w:tblCellMar>
          <w:top w:w="15" w:type="dxa"/>
          <w:left w:w="15" w:type="dxa"/>
          <w:bottom w:w="15" w:type="dxa"/>
          <w:right w:w="15" w:type="dxa"/>
        </w:tblCellMar>
        <w:tblLook w:val="04A0" w:firstRow="1" w:lastRow="0" w:firstColumn="1" w:lastColumn="0" w:noHBand="0" w:noVBand="1"/>
      </w:tblPr>
      <w:tblGrid>
        <w:gridCol w:w="51"/>
        <w:gridCol w:w="6836"/>
        <w:gridCol w:w="37"/>
        <w:gridCol w:w="122"/>
        <w:gridCol w:w="1254"/>
        <w:gridCol w:w="36"/>
      </w:tblGrid>
      <w:tr w:rsidR="002661BA" w14:paraId="22CFC282" w14:textId="77777777">
        <w:tc>
          <w:tcPr>
            <w:tcW w:w="50" w:type="pct"/>
            <w:shd w:val="clear" w:color="auto" w:fill="auto"/>
            <w:vAlign w:val="bottom"/>
          </w:tcPr>
          <w:p w14:paraId="22CFC27C" w14:textId="77777777" w:rsidR="002661BA" w:rsidRDefault="002661BA">
            <w:pPr>
              <w:rPr>
                <w:rFonts w:ascii="宋体"/>
              </w:rPr>
            </w:pPr>
          </w:p>
        </w:tc>
        <w:tc>
          <w:tcPr>
            <w:tcW w:w="4118" w:type="pct"/>
            <w:shd w:val="clear" w:color="auto" w:fill="auto"/>
            <w:vAlign w:val="bottom"/>
          </w:tcPr>
          <w:p w14:paraId="22CFC27D" w14:textId="77777777" w:rsidR="002661BA" w:rsidRDefault="002661BA">
            <w:pPr>
              <w:rPr>
                <w:rFonts w:ascii="宋体"/>
              </w:rPr>
            </w:pPr>
          </w:p>
        </w:tc>
        <w:tc>
          <w:tcPr>
            <w:tcW w:w="5" w:type="pct"/>
            <w:shd w:val="clear" w:color="auto" w:fill="auto"/>
            <w:vAlign w:val="bottom"/>
          </w:tcPr>
          <w:p w14:paraId="22CFC27E" w14:textId="77777777" w:rsidR="002661BA" w:rsidRDefault="002661BA">
            <w:pPr>
              <w:rPr>
                <w:rFonts w:ascii="宋体"/>
              </w:rPr>
            </w:pPr>
          </w:p>
        </w:tc>
        <w:tc>
          <w:tcPr>
            <w:tcW w:w="50" w:type="pct"/>
            <w:shd w:val="clear" w:color="auto" w:fill="auto"/>
            <w:vAlign w:val="bottom"/>
          </w:tcPr>
          <w:p w14:paraId="22CFC27F" w14:textId="77777777" w:rsidR="002661BA" w:rsidRDefault="002661BA">
            <w:pPr>
              <w:rPr>
                <w:rFonts w:ascii="宋体"/>
              </w:rPr>
            </w:pPr>
          </w:p>
        </w:tc>
        <w:tc>
          <w:tcPr>
            <w:tcW w:w="771" w:type="pct"/>
            <w:shd w:val="clear" w:color="auto" w:fill="auto"/>
            <w:vAlign w:val="bottom"/>
          </w:tcPr>
          <w:p w14:paraId="22CFC280" w14:textId="77777777" w:rsidR="002661BA" w:rsidRDefault="002661BA">
            <w:pPr>
              <w:rPr>
                <w:rFonts w:ascii="宋体"/>
              </w:rPr>
            </w:pPr>
          </w:p>
        </w:tc>
        <w:tc>
          <w:tcPr>
            <w:tcW w:w="5" w:type="pct"/>
            <w:shd w:val="clear" w:color="auto" w:fill="auto"/>
            <w:vAlign w:val="bottom"/>
          </w:tcPr>
          <w:p w14:paraId="22CFC281" w14:textId="77777777" w:rsidR="002661BA" w:rsidRDefault="002661BA">
            <w:pPr>
              <w:rPr>
                <w:rFonts w:ascii="宋体"/>
              </w:rPr>
            </w:pPr>
          </w:p>
        </w:tc>
      </w:tr>
      <w:tr w:rsidR="002661BA" w14:paraId="22CFC286" w14:textId="77777777">
        <w:tc>
          <w:tcPr>
            <w:tcW w:w="0" w:type="auto"/>
            <w:gridSpan w:val="3"/>
            <w:shd w:val="clear" w:color="auto" w:fill="auto"/>
            <w:tcMar>
              <w:top w:w="0" w:type="dxa"/>
              <w:left w:w="20" w:type="dxa"/>
              <w:bottom w:w="0" w:type="dxa"/>
              <w:right w:w="20" w:type="dxa"/>
            </w:tcMar>
            <w:vAlign w:val="bottom"/>
          </w:tcPr>
          <w:p w14:paraId="22CFC28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284" w14:textId="77777777" w:rsidR="002661BA" w:rsidRDefault="00D972BC">
            <w:pPr>
              <w:jc w:val="center"/>
              <w:textAlignment w:val="bottom"/>
            </w:pPr>
            <w:r>
              <w:rPr>
                <w:rFonts w:ascii="Arial" w:eastAsia="宋体" w:hAnsi="Arial" w:cs="Arial"/>
                <w:b/>
                <w:bCs/>
                <w:color w:val="000000"/>
                <w:sz w:val="17"/>
                <w:szCs w:val="17"/>
              </w:rPr>
              <w:t>July 1, 2021</w:t>
            </w:r>
            <w:r>
              <w:rPr>
                <w:rFonts w:ascii="Arial" w:eastAsia="宋体" w:hAnsi="Arial" w:cs="Arial"/>
                <w:b/>
                <w:bCs/>
                <w:color w:val="000000"/>
                <w:sz w:val="11"/>
                <w:szCs w:val="11"/>
              </w:rPr>
              <w:t xml:space="preserve">(1) </w:t>
            </w:r>
            <w:r>
              <w:rPr>
                <w:rFonts w:ascii="Arial" w:eastAsia="宋体" w:hAnsi="Arial" w:cs="Arial"/>
                <w:b/>
                <w:bCs/>
                <w:color w:val="000000"/>
                <w:sz w:val="17"/>
                <w:szCs w:val="17"/>
              </w:rPr>
              <w:t xml:space="preserve">through </w:t>
            </w:r>
          </w:p>
          <w:p w14:paraId="22CFC285" w14:textId="77777777" w:rsidR="002661BA" w:rsidRDefault="00D972BC">
            <w:pPr>
              <w:jc w:val="center"/>
              <w:textAlignment w:val="bottom"/>
            </w:pPr>
            <w:r>
              <w:rPr>
                <w:rFonts w:ascii="Arial" w:eastAsia="宋体" w:hAnsi="Arial" w:cs="Arial"/>
                <w:b/>
                <w:bCs/>
                <w:color w:val="000000"/>
                <w:sz w:val="17"/>
                <w:szCs w:val="17"/>
              </w:rPr>
              <w:t>September 30, 2021</w:t>
            </w:r>
          </w:p>
        </w:tc>
      </w:tr>
      <w:tr w:rsidR="002661BA" w14:paraId="22CFC28B" w14:textId="77777777">
        <w:tc>
          <w:tcPr>
            <w:tcW w:w="0" w:type="auto"/>
            <w:gridSpan w:val="3"/>
            <w:shd w:val="clear" w:color="auto" w:fill="DBDBDB"/>
            <w:tcMar>
              <w:top w:w="40" w:type="dxa"/>
              <w:left w:w="20" w:type="dxa"/>
              <w:bottom w:w="40" w:type="dxa"/>
              <w:right w:w="20" w:type="dxa"/>
            </w:tcMar>
            <w:vAlign w:val="bottom"/>
          </w:tcPr>
          <w:p w14:paraId="22CFC287" w14:textId="77777777" w:rsidR="002661BA" w:rsidRDefault="00D972BC">
            <w:pPr>
              <w:textAlignment w:val="bottom"/>
            </w:pPr>
            <w:r>
              <w:rPr>
                <w:rFonts w:ascii="Arial" w:eastAsia="宋体" w:hAnsi="Arial" w:cs="Arial"/>
                <w:color w:val="000000"/>
                <w:sz w:val="18"/>
                <w:szCs w:val="18"/>
              </w:rPr>
              <w:t>Revenue</w:t>
            </w:r>
          </w:p>
        </w:tc>
        <w:tc>
          <w:tcPr>
            <w:tcW w:w="0" w:type="auto"/>
            <w:tcBorders>
              <w:top w:val="single" w:sz="8" w:space="0" w:color="000000"/>
            </w:tcBorders>
            <w:shd w:val="clear" w:color="auto" w:fill="DBDBDB"/>
            <w:tcMar>
              <w:top w:w="40" w:type="dxa"/>
              <w:left w:w="20" w:type="dxa"/>
              <w:bottom w:w="40" w:type="dxa"/>
              <w:right w:w="0" w:type="dxa"/>
            </w:tcMar>
            <w:vAlign w:val="bottom"/>
          </w:tcPr>
          <w:p w14:paraId="22CFC28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C289" w14:textId="77777777" w:rsidR="002661BA" w:rsidRDefault="00D972BC">
            <w:pPr>
              <w:jc w:val="right"/>
              <w:textAlignment w:val="bottom"/>
            </w:pPr>
            <w:r>
              <w:rPr>
                <w:rFonts w:ascii="Arial" w:eastAsia="宋体" w:hAnsi="Arial" w:cs="Arial"/>
                <w:color w:val="000000"/>
                <w:sz w:val="18"/>
                <w:szCs w:val="18"/>
              </w:rPr>
              <w:t>450 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C28A" w14:textId="77777777" w:rsidR="002661BA" w:rsidRDefault="002661BA">
            <w:pPr>
              <w:jc w:val="right"/>
              <w:rPr>
                <w:rFonts w:ascii="宋体"/>
              </w:rPr>
            </w:pPr>
          </w:p>
        </w:tc>
      </w:tr>
      <w:tr w:rsidR="002661BA" w14:paraId="22CFC290" w14:textId="77777777">
        <w:tc>
          <w:tcPr>
            <w:tcW w:w="0" w:type="auto"/>
            <w:gridSpan w:val="3"/>
            <w:shd w:val="clear" w:color="auto" w:fill="FFFFFF"/>
            <w:tcMar>
              <w:top w:w="40" w:type="dxa"/>
              <w:left w:w="20" w:type="dxa"/>
              <w:bottom w:w="40" w:type="dxa"/>
              <w:right w:w="20" w:type="dxa"/>
            </w:tcMar>
            <w:vAlign w:val="bottom"/>
          </w:tcPr>
          <w:p w14:paraId="22CFC28C" w14:textId="77777777" w:rsidR="002661BA" w:rsidRDefault="00D972BC">
            <w:pPr>
              <w:textAlignment w:val="bottom"/>
            </w:pPr>
            <w:r>
              <w:rPr>
                <w:rFonts w:ascii="Arial" w:eastAsia="宋体" w:hAnsi="Arial" w:cs="Arial"/>
                <w:color w:val="000000"/>
                <w:sz w:val="18"/>
                <w:szCs w:val="18"/>
              </w:rPr>
              <w:t>Gross profit</w:t>
            </w:r>
          </w:p>
        </w:tc>
        <w:tc>
          <w:tcPr>
            <w:tcW w:w="0" w:type="auto"/>
            <w:shd w:val="clear" w:color="auto" w:fill="FFFFFF"/>
            <w:tcMar>
              <w:top w:w="40" w:type="dxa"/>
              <w:left w:w="20" w:type="dxa"/>
              <w:bottom w:w="40" w:type="dxa"/>
              <w:right w:w="0" w:type="dxa"/>
            </w:tcMar>
            <w:vAlign w:val="bottom"/>
          </w:tcPr>
          <w:p w14:paraId="22CFC28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28E" w14:textId="77777777" w:rsidR="002661BA" w:rsidRDefault="00D972BC">
            <w:pPr>
              <w:jc w:val="right"/>
              <w:textAlignment w:val="bottom"/>
            </w:pPr>
            <w:r>
              <w:rPr>
                <w:rFonts w:ascii="Arial" w:eastAsia="宋体" w:hAnsi="Arial" w:cs="Arial"/>
                <w:color w:val="000000"/>
                <w:sz w:val="18"/>
                <w:szCs w:val="18"/>
              </w:rPr>
              <w:t>147 </w:t>
            </w:r>
          </w:p>
        </w:tc>
        <w:tc>
          <w:tcPr>
            <w:tcW w:w="0" w:type="auto"/>
            <w:shd w:val="clear" w:color="auto" w:fill="FFFFFF"/>
            <w:tcMar>
              <w:top w:w="40" w:type="dxa"/>
              <w:left w:w="0" w:type="dxa"/>
              <w:bottom w:w="40" w:type="dxa"/>
              <w:right w:w="20" w:type="dxa"/>
            </w:tcMar>
            <w:vAlign w:val="bottom"/>
          </w:tcPr>
          <w:p w14:paraId="22CFC28F" w14:textId="77777777" w:rsidR="002661BA" w:rsidRDefault="002661BA">
            <w:pPr>
              <w:jc w:val="right"/>
              <w:rPr>
                <w:rFonts w:ascii="宋体"/>
              </w:rPr>
            </w:pPr>
          </w:p>
        </w:tc>
      </w:tr>
      <w:tr w:rsidR="002661BA" w14:paraId="22CFC295" w14:textId="77777777">
        <w:tc>
          <w:tcPr>
            <w:tcW w:w="0" w:type="auto"/>
            <w:gridSpan w:val="3"/>
            <w:shd w:val="clear" w:color="auto" w:fill="DBDBDB"/>
            <w:tcMar>
              <w:top w:w="40" w:type="dxa"/>
              <w:left w:w="20" w:type="dxa"/>
              <w:bottom w:w="40" w:type="dxa"/>
              <w:right w:w="20" w:type="dxa"/>
            </w:tcMar>
            <w:vAlign w:val="bottom"/>
          </w:tcPr>
          <w:p w14:paraId="22CFC291" w14:textId="77777777" w:rsidR="002661BA" w:rsidRDefault="00D972BC">
            <w:pPr>
              <w:textAlignment w:val="bottom"/>
            </w:pPr>
            <w:r>
              <w:rPr>
                <w:rFonts w:ascii="Arial" w:eastAsia="宋体" w:hAnsi="Arial" w:cs="Arial"/>
                <w:color w:val="000000"/>
                <w:sz w:val="18"/>
                <w:szCs w:val="18"/>
              </w:rPr>
              <w:t>Income (loss) from continuing operations</w:t>
            </w:r>
          </w:p>
        </w:tc>
        <w:tc>
          <w:tcPr>
            <w:tcW w:w="0" w:type="auto"/>
            <w:shd w:val="clear" w:color="auto" w:fill="DBDBDB"/>
            <w:tcMar>
              <w:top w:w="40" w:type="dxa"/>
              <w:left w:w="20" w:type="dxa"/>
              <w:bottom w:w="40" w:type="dxa"/>
              <w:right w:w="0" w:type="dxa"/>
            </w:tcMar>
            <w:vAlign w:val="bottom"/>
          </w:tcPr>
          <w:p w14:paraId="22CFC292"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293" w14:textId="77777777" w:rsidR="002661BA" w:rsidRDefault="00D972BC">
            <w:pPr>
              <w:jc w:val="right"/>
              <w:textAlignment w:val="bottom"/>
            </w:pPr>
            <w:r>
              <w:rPr>
                <w:rFonts w:ascii="Arial" w:eastAsia="宋体" w:hAnsi="Arial" w:cs="Arial"/>
                <w:color w:val="000000"/>
                <w:sz w:val="18"/>
                <w:szCs w:val="18"/>
              </w:rPr>
              <w:t>3 </w:t>
            </w:r>
          </w:p>
        </w:tc>
        <w:tc>
          <w:tcPr>
            <w:tcW w:w="0" w:type="auto"/>
            <w:shd w:val="clear" w:color="auto" w:fill="DBDBDB"/>
            <w:tcMar>
              <w:top w:w="40" w:type="dxa"/>
              <w:left w:w="0" w:type="dxa"/>
              <w:bottom w:w="40" w:type="dxa"/>
              <w:right w:w="20" w:type="dxa"/>
            </w:tcMar>
            <w:vAlign w:val="bottom"/>
          </w:tcPr>
          <w:p w14:paraId="22CFC294" w14:textId="77777777" w:rsidR="002661BA" w:rsidRDefault="002661BA">
            <w:pPr>
              <w:jc w:val="right"/>
              <w:rPr>
                <w:rFonts w:ascii="宋体"/>
              </w:rPr>
            </w:pPr>
          </w:p>
        </w:tc>
      </w:tr>
      <w:tr w:rsidR="002661BA" w14:paraId="22CFC29A" w14:textId="77777777">
        <w:tc>
          <w:tcPr>
            <w:tcW w:w="0" w:type="auto"/>
            <w:gridSpan w:val="3"/>
            <w:shd w:val="clear" w:color="auto" w:fill="FFFFFF"/>
            <w:tcMar>
              <w:top w:w="40" w:type="dxa"/>
              <w:left w:w="20" w:type="dxa"/>
              <w:bottom w:w="40" w:type="dxa"/>
              <w:right w:w="20" w:type="dxa"/>
            </w:tcMar>
            <w:vAlign w:val="bottom"/>
          </w:tcPr>
          <w:p w14:paraId="22CFC296" w14:textId="77777777" w:rsidR="002661BA" w:rsidRDefault="00D972BC">
            <w:pPr>
              <w:textAlignment w:val="bottom"/>
            </w:pPr>
            <w:r>
              <w:rPr>
                <w:rFonts w:ascii="Arial" w:eastAsia="宋体" w:hAnsi="Arial" w:cs="Arial"/>
                <w:color w:val="000000"/>
                <w:sz w:val="18"/>
                <w:szCs w:val="18"/>
              </w:rPr>
              <w:t>Net income (loss)</w:t>
            </w:r>
          </w:p>
        </w:tc>
        <w:tc>
          <w:tcPr>
            <w:tcW w:w="0" w:type="auto"/>
            <w:shd w:val="clear" w:color="auto" w:fill="FFFFFF"/>
            <w:tcMar>
              <w:top w:w="40" w:type="dxa"/>
              <w:left w:w="20" w:type="dxa"/>
              <w:bottom w:w="40" w:type="dxa"/>
              <w:right w:w="0" w:type="dxa"/>
            </w:tcMar>
            <w:vAlign w:val="bottom"/>
          </w:tcPr>
          <w:p w14:paraId="22CFC29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298" w14:textId="77777777" w:rsidR="002661BA" w:rsidRDefault="00D972BC">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22CFC299" w14:textId="77777777" w:rsidR="002661BA" w:rsidRDefault="002661BA">
            <w:pPr>
              <w:jc w:val="right"/>
              <w:rPr>
                <w:rFonts w:ascii="宋体"/>
              </w:rPr>
            </w:pPr>
          </w:p>
        </w:tc>
      </w:tr>
      <w:tr w:rsidR="002661BA" w14:paraId="22CFC29F" w14:textId="77777777">
        <w:tc>
          <w:tcPr>
            <w:tcW w:w="0" w:type="auto"/>
            <w:gridSpan w:val="3"/>
            <w:shd w:val="clear" w:color="auto" w:fill="DBDBDB"/>
            <w:tcMar>
              <w:top w:w="40" w:type="dxa"/>
              <w:left w:w="20" w:type="dxa"/>
              <w:bottom w:w="40" w:type="dxa"/>
              <w:right w:w="20" w:type="dxa"/>
            </w:tcMar>
            <w:vAlign w:val="bottom"/>
          </w:tcPr>
          <w:p w14:paraId="22CFC29B" w14:textId="77777777" w:rsidR="002661BA" w:rsidRDefault="00D972BC">
            <w:pPr>
              <w:textAlignment w:val="bottom"/>
            </w:pPr>
            <w:r>
              <w:rPr>
                <w:rFonts w:ascii="Arial" w:eastAsia="宋体" w:hAnsi="Arial" w:cs="Arial"/>
                <w:color w:val="000000"/>
                <w:sz w:val="18"/>
                <w:szCs w:val="18"/>
              </w:rPr>
              <w:t>Net income (loss) attributable to Adevinta</w:t>
            </w:r>
          </w:p>
        </w:tc>
        <w:tc>
          <w:tcPr>
            <w:tcW w:w="0" w:type="auto"/>
            <w:shd w:val="clear" w:color="auto" w:fill="DBDBDB"/>
            <w:tcMar>
              <w:top w:w="40" w:type="dxa"/>
              <w:left w:w="20" w:type="dxa"/>
              <w:bottom w:w="40" w:type="dxa"/>
              <w:right w:w="0" w:type="dxa"/>
            </w:tcMar>
            <w:vAlign w:val="bottom"/>
          </w:tcPr>
          <w:p w14:paraId="22CFC29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29D" w14:textId="77777777" w:rsidR="002661BA" w:rsidRDefault="00D972BC">
            <w:pPr>
              <w:jc w:val="right"/>
              <w:textAlignment w:val="bottom"/>
            </w:pPr>
            <w:r>
              <w:rPr>
                <w:rFonts w:ascii="Arial" w:eastAsia="宋体" w:hAnsi="Arial" w:cs="Arial"/>
                <w:color w:val="000000"/>
                <w:sz w:val="18"/>
                <w:szCs w:val="18"/>
              </w:rPr>
              <w:t>3 </w:t>
            </w:r>
          </w:p>
        </w:tc>
        <w:tc>
          <w:tcPr>
            <w:tcW w:w="0" w:type="auto"/>
            <w:shd w:val="clear" w:color="auto" w:fill="DBDBDB"/>
            <w:tcMar>
              <w:top w:w="40" w:type="dxa"/>
              <w:left w:w="0" w:type="dxa"/>
              <w:bottom w:w="40" w:type="dxa"/>
              <w:right w:w="20" w:type="dxa"/>
            </w:tcMar>
            <w:vAlign w:val="bottom"/>
          </w:tcPr>
          <w:p w14:paraId="22CFC29E" w14:textId="77777777" w:rsidR="002661BA" w:rsidRDefault="002661BA">
            <w:pPr>
              <w:jc w:val="right"/>
              <w:rPr>
                <w:rFonts w:ascii="宋体"/>
              </w:rPr>
            </w:pPr>
          </w:p>
        </w:tc>
      </w:tr>
    </w:tbl>
    <w:p w14:paraId="22CFC2A0" w14:textId="77777777" w:rsidR="002661BA" w:rsidRDefault="00D972BC">
      <w:pPr>
        <w:ind w:hanging="360"/>
        <w:jc w:val="both"/>
      </w:pPr>
      <w:r>
        <w:rPr>
          <w:rFonts w:ascii="Arial" w:eastAsia="宋体" w:hAnsi="Arial" w:cs="Arial"/>
          <w:color w:val="222222"/>
          <w:sz w:val="16"/>
          <w:szCs w:val="16"/>
        </w:rPr>
        <w:t>(1)</w:t>
      </w:r>
      <w:r>
        <w:rPr>
          <w:rFonts w:ascii="Arial" w:eastAsia="宋体" w:hAnsi="Arial" w:cs="Arial"/>
          <w:color w:val="000000"/>
          <w:sz w:val="16"/>
          <w:szCs w:val="16"/>
        </w:rPr>
        <w:t xml:space="preserve">Adevinta’s income statement activity for the stub period of June 24, 2021 to June 30, 2021 was excluded from the </w:t>
      </w:r>
      <w:r>
        <w:rPr>
          <w:rFonts w:ascii="Arial" w:eastAsia="宋体" w:hAnsi="Arial" w:cs="Arial"/>
          <w:color w:val="000000"/>
          <w:sz w:val="16"/>
          <w:szCs w:val="16"/>
        </w:rPr>
        <w:t>summarized financial information as the impact was considered to be immaterial.</w:t>
      </w:r>
    </w:p>
    <w:p w14:paraId="22CFC2A1" w14:textId="77777777" w:rsidR="002661BA" w:rsidRDefault="002661BA">
      <w:pPr>
        <w:jc w:val="both"/>
      </w:pPr>
    </w:p>
    <w:tbl>
      <w:tblPr>
        <w:tblW w:w="5000" w:type="pct"/>
        <w:tblCellMar>
          <w:top w:w="15" w:type="dxa"/>
          <w:left w:w="15" w:type="dxa"/>
          <w:bottom w:w="15" w:type="dxa"/>
          <w:right w:w="15" w:type="dxa"/>
        </w:tblCellMar>
        <w:tblLook w:val="04A0" w:firstRow="1" w:lastRow="0" w:firstColumn="1" w:lastColumn="0" w:noHBand="0" w:noVBand="1"/>
      </w:tblPr>
      <w:tblGrid>
        <w:gridCol w:w="51"/>
        <w:gridCol w:w="6835"/>
        <w:gridCol w:w="38"/>
        <w:gridCol w:w="122"/>
        <w:gridCol w:w="1254"/>
        <w:gridCol w:w="36"/>
      </w:tblGrid>
      <w:tr w:rsidR="002661BA" w14:paraId="22CFC2A8" w14:textId="77777777">
        <w:tc>
          <w:tcPr>
            <w:tcW w:w="50" w:type="pct"/>
            <w:shd w:val="clear" w:color="auto" w:fill="auto"/>
            <w:vAlign w:val="bottom"/>
          </w:tcPr>
          <w:p w14:paraId="22CFC2A2" w14:textId="77777777" w:rsidR="002661BA" w:rsidRDefault="002661BA">
            <w:pPr>
              <w:rPr>
                <w:rFonts w:ascii="宋体"/>
              </w:rPr>
            </w:pPr>
          </w:p>
        </w:tc>
        <w:tc>
          <w:tcPr>
            <w:tcW w:w="4118" w:type="pct"/>
            <w:shd w:val="clear" w:color="auto" w:fill="auto"/>
            <w:vAlign w:val="bottom"/>
          </w:tcPr>
          <w:p w14:paraId="22CFC2A3" w14:textId="77777777" w:rsidR="002661BA" w:rsidRDefault="002661BA">
            <w:pPr>
              <w:rPr>
                <w:rFonts w:ascii="宋体"/>
              </w:rPr>
            </w:pPr>
          </w:p>
        </w:tc>
        <w:tc>
          <w:tcPr>
            <w:tcW w:w="5" w:type="pct"/>
            <w:shd w:val="clear" w:color="auto" w:fill="auto"/>
            <w:vAlign w:val="bottom"/>
          </w:tcPr>
          <w:p w14:paraId="22CFC2A4" w14:textId="77777777" w:rsidR="002661BA" w:rsidRDefault="002661BA">
            <w:pPr>
              <w:rPr>
                <w:rFonts w:ascii="宋体"/>
              </w:rPr>
            </w:pPr>
          </w:p>
        </w:tc>
        <w:tc>
          <w:tcPr>
            <w:tcW w:w="50" w:type="pct"/>
            <w:shd w:val="clear" w:color="auto" w:fill="auto"/>
            <w:vAlign w:val="bottom"/>
          </w:tcPr>
          <w:p w14:paraId="22CFC2A5" w14:textId="77777777" w:rsidR="002661BA" w:rsidRDefault="002661BA">
            <w:pPr>
              <w:rPr>
                <w:rFonts w:ascii="宋体"/>
              </w:rPr>
            </w:pPr>
          </w:p>
        </w:tc>
        <w:tc>
          <w:tcPr>
            <w:tcW w:w="771" w:type="pct"/>
            <w:shd w:val="clear" w:color="auto" w:fill="auto"/>
            <w:vAlign w:val="bottom"/>
          </w:tcPr>
          <w:p w14:paraId="22CFC2A6" w14:textId="77777777" w:rsidR="002661BA" w:rsidRDefault="002661BA">
            <w:pPr>
              <w:rPr>
                <w:rFonts w:ascii="宋体"/>
              </w:rPr>
            </w:pPr>
          </w:p>
        </w:tc>
        <w:tc>
          <w:tcPr>
            <w:tcW w:w="5" w:type="pct"/>
            <w:shd w:val="clear" w:color="auto" w:fill="auto"/>
            <w:vAlign w:val="bottom"/>
          </w:tcPr>
          <w:p w14:paraId="22CFC2A7" w14:textId="77777777" w:rsidR="002661BA" w:rsidRDefault="002661BA">
            <w:pPr>
              <w:rPr>
                <w:rFonts w:ascii="宋体"/>
              </w:rPr>
            </w:pPr>
          </w:p>
        </w:tc>
      </w:tr>
      <w:tr w:rsidR="002661BA" w14:paraId="22CFC2AB" w14:textId="77777777">
        <w:tc>
          <w:tcPr>
            <w:tcW w:w="0" w:type="auto"/>
            <w:gridSpan w:val="3"/>
            <w:shd w:val="clear" w:color="auto" w:fill="auto"/>
            <w:tcMar>
              <w:top w:w="0" w:type="dxa"/>
              <w:left w:w="20" w:type="dxa"/>
              <w:bottom w:w="0" w:type="dxa"/>
              <w:right w:w="20" w:type="dxa"/>
            </w:tcMar>
            <w:vAlign w:val="bottom"/>
          </w:tcPr>
          <w:p w14:paraId="22CFC2A9"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2AA" w14:textId="77777777" w:rsidR="002661BA" w:rsidRDefault="00D972BC">
            <w:pPr>
              <w:jc w:val="center"/>
              <w:textAlignment w:val="bottom"/>
            </w:pPr>
            <w:r>
              <w:rPr>
                <w:rFonts w:ascii="Arial" w:eastAsia="宋体" w:hAnsi="Arial" w:cs="Arial"/>
                <w:b/>
                <w:bCs/>
                <w:color w:val="000000"/>
                <w:sz w:val="17"/>
                <w:szCs w:val="17"/>
              </w:rPr>
              <w:t>September 30, 2021</w:t>
            </w:r>
          </w:p>
        </w:tc>
      </w:tr>
      <w:tr w:rsidR="002661BA" w14:paraId="22CFC2B0" w14:textId="77777777">
        <w:tc>
          <w:tcPr>
            <w:tcW w:w="0" w:type="auto"/>
            <w:gridSpan w:val="3"/>
            <w:shd w:val="clear" w:color="auto" w:fill="DBDBDB"/>
            <w:tcMar>
              <w:top w:w="40" w:type="dxa"/>
              <w:left w:w="20" w:type="dxa"/>
              <w:bottom w:w="40" w:type="dxa"/>
              <w:right w:w="20" w:type="dxa"/>
            </w:tcMar>
            <w:vAlign w:val="bottom"/>
          </w:tcPr>
          <w:p w14:paraId="22CFC2AC" w14:textId="77777777" w:rsidR="002661BA" w:rsidRDefault="00D972BC">
            <w:pPr>
              <w:textAlignment w:val="bottom"/>
            </w:pPr>
            <w:r>
              <w:rPr>
                <w:rFonts w:ascii="Arial" w:eastAsia="宋体" w:hAnsi="Arial" w:cs="Arial"/>
                <w:color w:val="000000"/>
                <w:sz w:val="18"/>
                <w:szCs w:val="18"/>
              </w:rPr>
              <w:t>Current assets</w:t>
            </w:r>
          </w:p>
        </w:tc>
        <w:tc>
          <w:tcPr>
            <w:tcW w:w="0" w:type="auto"/>
            <w:tcBorders>
              <w:top w:val="single" w:sz="8" w:space="0" w:color="000000"/>
            </w:tcBorders>
            <w:shd w:val="clear" w:color="auto" w:fill="DBDBDB"/>
            <w:tcMar>
              <w:top w:w="40" w:type="dxa"/>
              <w:left w:w="20" w:type="dxa"/>
              <w:bottom w:w="40" w:type="dxa"/>
              <w:right w:w="0" w:type="dxa"/>
            </w:tcMar>
            <w:vAlign w:val="bottom"/>
          </w:tcPr>
          <w:p w14:paraId="22CFC2A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C2AE" w14:textId="77777777" w:rsidR="002661BA" w:rsidRDefault="00D972BC">
            <w:pPr>
              <w:jc w:val="right"/>
              <w:textAlignment w:val="bottom"/>
            </w:pPr>
            <w:r>
              <w:rPr>
                <w:rFonts w:ascii="Arial" w:eastAsia="宋体" w:hAnsi="Arial" w:cs="Arial"/>
                <w:color w:val="000000"/>
                <w:sz w:val="18"/>
                <w:szCs w:val="18"/>
              </w:rPr>
              <w:t>613 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C2AF" w14:textId="77777777" w:rsidR="002661BA" w:rsidRDefault="002661BA">
            <w:pPr>
              <w:jc w:val="right"/>
              <w:rPr>
                <w:rFonts w:ascii="宋体"/>
              </w:rPr>
            </w:pPr>
          </w:p>
        </w:tc>
      </w:tr>
      <w:tr w:rsidR="002661BA" w14:paraId="22CFC2B5" w14:textId="77777777">
        <w:tc>
          <w:tcPr>
            <w:tcW w:w="0" w:type="auto"/>
            <w:gridSpan w:val="3"/>
            <w:shd w:val="clear" w:color="auto" w:fill="FFFFFF"/>
            <w:tcMar>
              <w:top w:w="40" w:type="dxa"/>
              <w:left w:w="20" w:type="dxa"/>
              <w:bottom w:w="40" w:type="dxa"/>
              <w:right w:w="20" w:type="dxa"/>
            </w:tcMar>
            <w:vAlign w:val="bottom"/>
          </w:tcPr>
          <w:p w14:paraId="22CFC2B1" w14:textId="77777777" w:rsidR="002661BA" w:rsidRDefault="00D972BC">
            <w:pPr>
              <w:textAlignment w:val="bottom"/>
            </w:pPr>
            <w:r>
              <w:rPr>
                <w:rFonts w:ascii="Arial" w:eastAsia="宋体" w:hAnsi="Arial" w:cs="Arial"/>
                <w:color w:val="000000"/>
                <w:sz w:val="18"/>
                <w:szCs w:val="18"/>
              </w:rPr>
              <w:t>Noncurrent assets</w:t>
            </w:r>
          </w:p>
        </w:tc>
        <w:tc>
          <w:tcPr>
            <w:tcW w:w="0" w:type="auto"/>
            <w:shd w:val="clear" w:color="auto" w:fill="FFFFFF"/>
            <w:tcMar>
              <w:top w:w="40" w:type="dxa"/>
              <w:left w:w="20" w:type="dxa"/>
              <w:bottom w:w="40" w:type="dxa"/>
              <w:right w:w="0" w:type="dxa"/>
            </w:tcMar>
            <w:vAlign w:val="bottom"/>
          </w:tcPr>
          <w:p w14:paraId="22CFC2B2"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2B3" w14:textId="77777777" w:rsidR="002661BA" w:rsidRDefault="00D972BC">
            <w:pPr>
              <w:jc w:val="right"/>
              <w:textAlignment w:val="bottom"/>
            </w:pPr>
            <w:r>
              <w:rPr>
                <w:rFonts w:ascii="Arial" w:eastAsia="宋体" w:hAnsi="Arial" w:cs="Arial"/>
                <w:color w:val="000000"/>
                <w:sz w:val="18"/>
                <w:szCs w:val="18"/>
              </w:rPr>
              <w:t>16,424 </w:t>
            </w:r>
          </w:p>
        </w:tc>
        <w:tc>
          <w:tcPr>
            <w:tcW w:w="0" w:type="auto"/>
            <w:shd w:val="clear" w:color="auto" w:fill="FFFFFF"/>
            <w:tcMar>
              <w:top w:w="40" w:type="dxa"/>
              <w:left w:w="0" w:type="dxa"/>
              <w:bottom w:w="40" w:type="dxa"/>
              <w:right w:w="20" w:type="dxa"/>
            </w:tcMar>
            <w:vAlign w:val="bottom"/>
          </w:tcPr>
          <w:p w14:paraId="22CFC2B4" w14:textId="77777777" w:rsidR="002661BA" w:rsidRDefault="002661BA">
            <w:pPr>
              <w:jc w:val="right"/>
              <w:rPr>
                <w:rFonts w:ascii="宋体"/>
              </w:rPr>
            </w:pPr>
          </w:p>
        </w:tc>
      </w:tr>
      <w:tr w:rsidR="002661BA" w14:paraId="22CFC2BA" w14:textId="77777777">
        <w:tc>
          <w:tcPr>
            <w:tcW w:w="0" w:type="auto"/>
            <w:gridSpan w:val="3"/>
            <w:shd w:val="clear" w:color="auto" w:fill="DBDBDB"/>
            <w:tcMar>
              <w:top w:w="40" w:type="dxa"/>
              <w:left w:w="20" w:type="dxa"/>
              <w:bottom w:w="40" w:type="dxa"/>
              <w:right w:w="20" w:type="dxa"/>
            </w:tcMar>
            <w:vAlign w:val="bottom"/>
          </w:tcPr>
          <w:p w14:paraId="22CFC2B6" w14:textId="77777777" w:rsidR="002661BA" w:rsidRDefault="00D972BC">
            <w:pPr>
              <w:textAlignment w:val="bottom"/>
            </w:pPr>
            <w:r>
              <w:rPr>
                <w:rFonts w:ascii="Arial" w:eastAsia="宋体" w:hAnsi="Arial" w:cs="Arial"/>
                <w:color w:val="000000"/>
                <w:sz w:val="18"/>
                <w:szCs w:val="18"/>
              </w:rPr>
              <w:t>Current liabilities</w:t>
            </w:r>
          </w:p>
        </w:tc>
        <w:tc>
          <w:tcPr>
            <w:tcW w:w="0" w:type="auto"/>
            <w:shd w:val="clear" w:color="auto" w:fill="DBDBDB"/>
            <w:tcMar>
              <w:top w:w="40" w:type="dxa"/>
              <w:left w:w="20" w:type="dxa"/>
              <w:bottom w:w="40" w:type="dxa"/>
              <w:right w:w="0" w:type="dxa"/>
            </w:tcMar>
            <w:vAlign w:val="bottom"/>
          </w:tcPr>
          <w:p w14:paraId="22CFC2B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2B8" w14:textId="77777777" w:rsidR="002661BA" w:rsidRDefault="00D972BC">
            <w:pPr>
              <w:jc w:val="right"/>
              <w:textAlignment w:val="bottom"/>
            </w:pPr>
            <w:r>
              <w:rPr>
                <w:rFonts w:ascii="Arial" w:eastAsia="宋体" w:hAnsi="Arial" w:cs="Arial"/>
                <w:color w:val="000000"/>
                <w:sz w:val="18"/>
                <w:szCs w:val="18"/>
              </w:rPr>
              <w:t>679 </w:t>
            </w:r>
          </w:p>
        </w:tc>
        <w:tc>
          <w:tcPr>
            <w:tcW w:w="0" w:type="auto"/>
            <w:shd w:val="clear" w:color="auto" w:fill="DBDBDB"/>
            <w:tcMar>
              <w:top w:w="40" w:type="dxa"/>
              <w:left w:w="0" w:type="dxa"/>
              <w:bottom w:w="40" w:type="dxa"/>
              <w:right w:w="20" w:type="dxa"/>
            </w:tcMar>
            <w:vAlign w:val="bottom"/>
          </w:tcPr>
          <w:p w14:paraId="22CFC2B9" w14:textId="77777777" w:rsidR="002661BA" w:rsidRDefault="002661BA">
            <w:pPr>
              <w:jc w:val="right"/>
              <w:rPr>
                <w:rFonts w:ascii="宋体"/>
              </w:rPr>
            </w:pPr>
          </w:p>
        </w:tc>
      </w:tr>
      <w:tr w:rsidR="002661BA" w14:paraId="22CFC2BF" w14:textId="77777777">
        <w:tc>
          <w:tcPr>
            <w:tcW w:w="0" w:type="auto"/>
            <w:gridSpan w:val="3"/>
            <w:shd w:val="clear" w:color="auto" w:fill="FFFFFF"/>
            <w:tcMar>
              <w:top w:w="40" w:type="dxa"/>
              <w:left w:w="20" w:type="dxa"/>
              <w:bottom w:w="40" w:type="dxa"/>
              <w:right w:w="20" w:type="dxa"/>
            </w:tcMar>
            <w:vAlign w:val="bottom"/>
          </w:tcPr>
          <w:p w14:paraId="22CFC2BB" w14:textId="77777777" w:rsidR="002661BA" w:rsidRDefault="00D972BC">
            <w:pPr>
              <w:textAlignment w:val="bottom"/>
            </w:pPr>
            <w:r>
              <w:rPr>
                <w:rFonts w:ascii="Arial" w:eastAsia="宋体" w:hAnsi="Arial" w:cs="Arial"/>
                <w:color w:val="000000"/>
                <w:sz w:val="18"/>
                <w:szCs w:val="18"/>
              </w:rPr>
              <w:t>Noncurrent liabilities</w:t>
            </w:r>
          </w:p>
        </w:tc>
        <w:tc>
          <w:tcPr>
            <w:tcW w:w="0" w:type="auto"/>
            <w:shd w:val="clear" w:color="auto" w:fill="FFFFFF"/>
            <w:tcMar>
              <w:top w:w="40" w:type="dxa"/>
              <w:left w:w="20" w:type="dxa"/>
              <w:bottom w:w="40" w:type="dxa"/>
              <w:right w:w="0" w:type="dxa"/>
            </w:tcMar>
            <w:vAlign w:val="bottom"/>
          </w:tcPr>
          <w:p w14:paraId="22CFC2B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2BD" w14:textId="77777777" w:rsidR="002661BA" w:rsidRDefault="00D972BC">
            <w:pPr>
              <w:jc w:val="right"/>
              <w:textAlignment w:val="bottom"/>
            </w:pPr>
            <w:r>
              <w:rPr>
                <w:rFonts w:ascii="Arial" w:eastAsia="宋体" w:hAnsi="Arial" w:cs="Arial"/>
                <w:color w:val="000000"/>
                <w:sz w:val="18"/>
                <w:szCs w:val="18"/>
              </w:rPr>
              <w:t>4,044 </w:t>
            </w:r>
          </w:p>
        </w:tc>
        <w:tc>
          <w:tcPr>
            <w:tcW w:w="0" w:type="auto"/>
            <w:shd w:val="clear" w:color="auto" w:fill="FFFFFF"/>
            <w:tcMar>
              <w:top w:w="40" w:type="dxa"/>
              <w:left w:w="0" w:type="dxa"/>
              <w:bottom w:w="40" w:type="dxa"/>
              <w:right w:w="20" w:type="dxa"/>
            </w:tcMar>
            <w:vAlign w:val="bottom"/>
          </w:tcPr>
          <w:p w14:paraId="22CFC2BE" w14:textId="77777777" w:rsidR="002661BA" w:rsidRDefault="002661BA">
            <w:pPr>
              <w:jc w:val="right"/>
              <w:rPr>
                <w:rFonts w:ascii="宋体"/>
              </w:rPr>
            </w:pPr>
          </w:p>
        </w:tc>
      </w:tr>
      <w:tr w:rsidR="002661BA" w14:paraId="22CFC2C2" w14:textId="77777777">
        <w:trPr>
          <w:hidden/>
        </w:trPr>
        <w:tc>
          <w:tcPr>
            <w:tcW w:w="0" w:type="auto"/>
            <w:gridSpan w:val="3"/>
            <w:shd w:val="clear" w:color="auto" w:fill="auto"/>
            <w:vAlign w:val="bottom"/>
          </w:tcPr>
          <w:p w14:paraId="22CFC2C0" w14:textId="77777777" w:rsidR="002661BA" w:rsidRDefault="002661BA">
            <w:pPr>
              <w:rPr>
                <w:rFonts w:ascii="宋体"/>
                <w:vanish/>
              </w:rPr>
            </w:pPr>
          </w:p>
        </w:tc>
        <w:tc>
          <w:tcPr>
            <w:tcW w:w="0" w:type="auto"/>
            <w:gridSpan w:val="3"/>
            <w:shd w:val="clear" w:color="auto" w:fill="auto"/>
            <w:vAlign w:val="bottom"/>
          </w:tcPr>
          <w:p w14:paraId="22CFC2C1" w14:textId="77777777" w:rsidR="002661BA" w:rsidRDefault="002661BA">
            <w:pPr>
              <w:rPr>
                <w:rFonts w:ascii="宋体"/>
                <w:vanish/>
              </w:rPr>
            </w:pPr>
          </w:p>
        </w:tc>
      </w:tr>
      <w:tr w:rsidR="002661BA" w14:paraId="22CFC2C7" w14:textId="77777777">
        <w:tc>
          <w:tcPr>
            <w:tcW w:w="0" w:type="auto"/>
            <w:gridSpan w:val="3"/>
            <w:shd w:val="clear" w:color="auto" w:fill="DBDBDB"/>
            <w:tcMar>
              <w:top w:w="40" w:type="dxa"/>
              <w:left w:w="20" w:type="dxa"/>
              <w:bottom w:w="40" w:type="dxa"/>
              <w:right w:w="20" w:type="dxa"/>
            </w:tcMar>
            <w:vAlign w:val="bottom"/>
          </w:tcPr>
          <w:p w14:paraId="22CFC2C3" w14:textId="77777777" w:rsidR="002661BA" w:rsidRDefault="00D972BC">
            <w:pPr>
              <w:textAlignment w:val="bottom"/>
            </w:pPr>
            <w:r>
              <w:rPr>
                <w:rFonts w:ascii="Arial" w:eastAsia="宋体" w:hAnsi="Arial" w:cs="Arial"/>
                <w:color w:val="000000"/>
                <w:sz w:val="18"/>
                <w:szCs w:val="18"/>
              </w:rPr>
              <w:t>Noncontrolling interests</w:t>
            </w:r>
          </w:p>
        </w:tc>
        <w:tc>
          <w:tcPr>
            <w:tcW w:w="0" w:type="auto"/>
            <w:shd w:val="clear" w:color="auto" w:fill="DBDBDB"/>
            <w:tcMar>
              <w:top w:w="40" w:type="dxa"/>
              <w:left w:w="20" w:type="dxa"/>
              <w:bottom w:w="40" w:type="dxa"/>
              <w:right w:w="0" w:type="dxa"/>
            </w:tcMar>
            <w:vAlign w:val="bottom"/>
          </w:tcPr>
          <w:p w14:paraId="22CFC2C4"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2C5" w14:textId="77777777" w:rsidR="002661BA" w:rsidRDefault="00D972BC">
            <w:pPr>
              <w:jc w:val="right"/>
              <w:textAlignment w:val="bottom"/>
            </w:pPr>
            <w:r>
              <w:rPr>
                <w:rFonts w:ascii="Arial" w:eastAsia="宋体" w:hAnsi="Arial" w:cs="Arial"/>
                <w:color w:val="000000"/>
                <w:sz w:val="18"/>
                <w:szCs w:val="18"/>
              </w:rPr>
              <w:t>20 </w:t>
            </w:r>
          </w:p>
        </w:tc>
        <w:tc>
          <w:tcPr>
            <w:tcW w:w="0" w:type="auto"/>
            <w:shd w:val="clear" w:color="auto" w:fill="DBDBDB"/>
            <w:tcMar>
              <w:top w:w="40" w:type="dxa"/>
              <w:left w:w="0" w:type="dxa"/>
              <w:bottom w:w="40" w:type="dxa"/>
              <w:right w:w="20" w:type="dxa"/>
            </w:tcMar>
            <w:vAlign w:val="bottom"/>
          </w:tcPr>
          <w:p w14:paraId="22CFC2C6" w14:textId="77777777" w:rsidR="002661BA" w:rsidRDefault="002661BA">
            <w:pPr>
              <w:jc w:val="right"/>
              <w:rPr>
                <w:rFonts w:ascii="宋体"/>
              </w:rPr>
            </w:pPr>
          </w:p>
        </w:tc>
      </w:tr>
    </w:tbl>
    <w:p w14:paraId="22CFC2C8" w14:textId="77777777" w:rsidR="002661BA" w:rsidRDefault="002661BA">
      <w:pPr>
        <w:ind w:firstLine="270"/>
        <w:jc w:val="both"/>
      </w:pPr>
    </w:p>
    <w:p w14:paraId="22CFC2C9" w14:textId="77777777" w:rsidR="002661BA" w:rsidRDefault="00D972BC">
      <w:pPr>
        <w:ind w:firstLine="270"/>
      </w:pPr>
      <w:r>
        <w:rPr>
          <w:rFonts w:ascii="Arial" w:eastAsia="宋体" w:hAnsi="Arial" w:cs="Arial"/>
          <w:b/>
          <w:bCs/>
          <w:i/>
          <w:iCs/>
          <w:color w:val="000000"/>
          <w:sz w:val="20"/>
          <w:szCs w:val="20"/>
        </w:rPr>
        <w:t xml:space="preserve">Equity investments with readily determinable fair values </w:t>
      </w:r>
    </w:p>
    <w:p w14:paraId="22CFC2CA" w14:textId="77777777" w:rsidR="002661BA" w:rsidRDefault="002661BA">
      <w:pPr>
        <w:ind w:firstLine="540"/>
        <w:jc w:val="both"/>
      </w:pPr>
    </w:p>
    <w:p w14:paraId="22CFC2CB" w14:textId="77777777" w:rsidR="002661BA" w:rsidRDefault="00D972BC">
      <w:pPr>
        <w:ind w:firstLine="540"/>
        <w:jc w:val="both"/>
      </w:pPr>
      <w:r>
        <w:rPr>
          <w:rFonts w:ascii="Arial" w:eastAsia="宋体" w:hAnsi="Arial" w:cs="Arial"/>
          <w:color w:val="000000"/>
          <w:sz w:val="20"/>
          <w:szCs w:val="20"/>
        </w:rPr>
        <w:t xml:space="preserve">Equity investments with readily determinable fair values are classified within Level 1 in the fair value hierarchy as the valuation can be obtained from real </w:t>
      </w:r>
      <w:r>
        <w:rPr>
          <w:rFonts w:ascii="Arial" w:eastAsia="宋体" w:hAnsi="Arial" w:cs="Arial"/>
          <w:color w:val="000000"/>
          <w:sz w:val="20"/>
          <w:szCs w:val="20"/>
        </w:rPr>
        <w:t>time quotes in active markets. Subsequent changes in fair value are reflected in gain (loss) on equity investments and warrant, net in the consolidated statement of income.</w:t>
      </w:r>
    </w:p>
    <w:p w14:paraId="22CFC2CC" w14:textId="77777777" w:rsidR="002661BA" w:rsidRDefault="002661BA">
      <w:pPr>
        <w:ind w:firstLine="540"/>
        <w:jc w:val="both"/>
      </w:pPr>
    </w:p>
    <w:p w14:paraId="22CFC2CD" w14:textId="77777777" w:rsidR="002661BA" w:rsidRDefault="00D972BC">
      <w:pPr>
        <w:jc w:val="center"/>
      </w:pPr>
      <w:r>
        <w:rPr>
          <w:rFonts w:ascii="Arial" w:eastAsia="宋体" w:hAnsi="Arial" w:cs="Arial"/>
          <w:color w:val="000000"/>
          <w:sz w:val="18"/>
          <w:szCs w:val="18"/>
        </w:rPr>
        <w:t>82</w:t>
      </w:r>
    </w:p>
    <w:p w14:paraId="22CFC2CE" w14:textId="77777777" w:rsidR="002661BA" w:rsidRDefault="00D972BC">
      <w:r>
        <w:pict w14:anchorId="22CFE503">
          <v:rect id="_x0000_i1106" style="width:415.3pt;height:1.5pt" o:hralign="center" o:hrstd="t" o:hr="t" fillcolor="#a0a0a0" stroked="f"/>
        </w:pict>
      </w:r>
    </w:p>
    <w:p w14:paraId="22CFC2CF" w14:textId="77777777" w:rsidR="002661BA" w:rsidRDefault="00D972BC">
      <w:hyperlink r:id="rId117" w:anchor="id0d7a71b05ce452ea9fdb54f3cb359c7_7" w:history="1">
        <w:r>
          <w:rPr>
            <w:rStyle w:val="a5"/>
            <w:rFonts w:ascii="Arial" w:eastAsia="宋体" w:hAnsi="Arial" w:cs="Arial"/>
            <w:sz w:val="18"/>
            <w:szCs w:val="18"/>
          </w:rPr>
          <w:t>Table of Contents</w:t>
        </w:r>
      </w:hyperlink>
    </w:p>
    <w:p w14:paraId="22CFC2D0" w14:textId="77777777" w:rsidR="002661BA" w:rsidRDefault="00D972BC">
      <w:pPr>
        <w:jc w:val="center"/>
      </w:pPr>
      <w:r>
        <w:rPr>
          <w:rFonts w:ascii="Arial" w:eastAsia="宋体" w:hAnsi="Arial" w:cs="Arial"/>
          <w:b/>
          <w:bCs/>
          <w:color w:val="000000"/>
          <w:sz w:val="20"/>
          <w:szCs w:val="20"/>
        </w:rPr>
        <w:t>eBay Inc.</w:t>
      </w:r>
    </w:p>
    <w:p w14:paraId="22CFC2D1" w14:textId="77777777" w:rsidR="002661BA" w:rsidRDefault="00D972BC">
      <w:pPr>
        <w:spacing w:before="80"/>
        <w:jc w:val="center"/>
      </w:pPr>
      <w:r>
        <w:rPr>
          <w:rFonts w:ascii="Arial" w:eastAsia="宋体" w:hAnsi="Arial" w:cs="Arial"/>
          <w:b/>
          <w:bCs/>
          <w:color w:val="000000"/>
          <w:sz w:val="20"/>
          <w:szCs w:val="20"/>
        </w:rPr>
        <w:t xml:space="preserve">NOTES TO CONSOLIDATED FINANCIAL </w:t>
      </w:r>
      <w:r>
        <w:rPr>
          <w:rFonts w:ascii="Arial" w:eastAsia="宋体" w:hAnsi="Arial" w:cs="Arial"/>
          <w:b/>
          <w:bCs/>
          <w:color w:val="000000"/>
          <w:sz w:val="20"/>
          <w:szCs w:val="20"/>
        </w:rPr>
        <w:t>STATEMENTS—(Continued)</w:t>
      </w:r>
    </w:p>
    <w:p w14:paraId="22CFC2D2" w14:textId="77777777" w:rsidR="002661BA" w:rsidRDefault="00D972BC">
      <w:pPr>
        <w:ind w:firstLine="540"/>
        <w:jc w:val="both"/>
      </w:pPr>
      <w:r>
        <w:rPr>
          <w:rFonts w:ascii="Arial" w:eastAsia="宋体" w:hAnsi="Arial" w:cs="Arial"/>
          <w:color w:val="000000"/>
          <w:sz w:val="20"/>
          <w:szCs w:val="20"/>
        </w:rPr>
        <w:t>In August 2021, one of our equity investments, KakaoBank Corp. (“KakaoBank”), which previously did not have a readily determinable fair value, completed its initial public offering which resulted in this investment having a readily d</w:t>
      </w:r>
      <w:r>
        <w:rPr>
          <w:rFonts w:ascii="Arial" w:eastAsia="宋体" w:hAnsi="Arial" w:cs="Arial"/>
          <w:color w:val="000000"/>
          <w:sz w:val="20"/>
          <w:szCs w:val="20"/>
        </w:rPr>
        <w:t>eterminable fair value. The fair value of the equity investment is measured based on KakaoBank’s closing stock price and prevailing foreign exchange rate at each balance sheet date. For the year ended December 31, 2021 an unrealized gain of $403 million wa</w:t>
      </w:r>
      <w:r>
        <w:rPr>
          <w:rFonts w:ascii="Arial" w:eastAsia="宋体" w:hAnsi="Arial" w:cs="Arial"/>
          <w:color w:val="000000"/>
          <w:sz w:val="20"/>
          <w:szCs w:val="20"/>
        </w:rPr>
        <w:t>s recorded in gain (loss) on equity investments and warrant, net related to the change in fair value of the investment. For the year ended December 31, 2021 a gain of $83 million was recorded in gain (loss) on equity investments and warrant, net related to</w:t>
      </w:r>
      <w:r>
        <w:rPr>
          <w:rFonts w:ascii="Arial" w:eastAsia="宋体" w:hAnsi="Arial" w:cs="Arial"/>
          <w:color w:val="000000"/>
          <w:sz w:val="20"/>
          <w:szCs w:val="20"/>
        </w:rPr>
        <w:t xml:space="preserve"> the sale of a portion of the shares of the investment for $114 million. As of December 31, 2021, the fair value of the investment was $684 million </w:t>
      </w:r>
      <w:r>
        <w:rPr>
          <w:rFonts w:ascii="Arial" w:eastAsia="宋体" w:hAnsi="Arial" w:cs="Arial"/>
          <w:color w:val="222222"/>
          <w:sz w:val="20"/>
          <w:szCs w:val="20"/>
        </w:rPr>
        <w:t>and is reported within short-term investments in our consolidated balance sheet</w:t>
      </w:r>
      <w:r>
        <w:rPr>
          <w:rFonts w:ascii="Arial" w:eastAsia="宋体" w:hAnsi="Arial" w:cs="Arial"/>
          <w:color w:val="000000"/>
          <w:sz w:val="20"/>
          <w:szCs w:val="20"/>
        </w:rPr>
        <w:t>.</w:t>
      </w:r>
    </w:p>
    <w:p w14:paraId="22CFC2D3" w14:textId="77777777" w:rsidR="002661BA" w:rsidRDefault="002661BA">
      <w:pPr>
        <w:ind w:firstLine="540"/>
        <w:jc w:val="both"/>
      </w:pPr>
    </w:p>
    <w:p w14:paraId="22CFC2D4" w14:textId="77777777" w:rsidR="002661BA" w:rsidRDefault="00D972BC">
      <w:pPr>
        <w:ind w:firstLine="540"/>
        <w:jc w:val="both"/>
      </w:pPr>
      <w:r>
        <w:rPr>
          <w:rFonts w:ascii="Arial" w:eastAsia="宋体" w:hAnsi="Arial" w:cs="Arial"/>
          <w:color w:val="000000"/>
          <w:sz w:val="20"/>
          <w:szCs w:val="20"/>
        </w:rPr>
        <w:t xml:space="preserve">We entered into a warrant </w:t>
      </w:r>
      <w:r>
        <w:rPr>
          <w:rFonts w:ascii="Arial" w:eastAsia="宋体" w:hAnsi="Arial" w:cs="Arial"/>
          <w:color w:val="000000"/>
          <w:sz w:val="20"/>
          <w:szCs w:val="20"/>
        </w:rPr>
        <w:t>agreement in conjunction with a commercial agreement with Adyen that vests in a series of four tranches, at a specified price per share upon meeting processing volume milestone targets on a calendar year basis. When a relevant milestone is reached, the war</w:t>
      </w:r>
      <w:r>
        <w:rPr>
          <w:rFonts w:ascii="Arial" w:eastAsia="宋体" w:hAnsi="Arial" w:cs="Arial"/>
          <w:color w:val="000000"/>
          <w:sz w:val="20"/>
          <w:szCs w:val="20"/>
        </w:rPr>
        <w:t>rant becomes exercisable with respect to the corresponding tranche of warrant shares up until the warrant expiration date of January 31, 2025. In the fourth quarter of 2021, we met the processing volume milestone target to vest the first tranche of the war</w:t>
      </w:r>
      <w:r>
        <w:rPr>
          <w:rFonts w:ascii="Arial" w:eastAsia="宋体" w:hAnsi="Arial" w:cs="Arial"/>
          <w:color w:val="000000"/>
          <w:sz w:val="20"/>
          <w:szCs w:val="20"/>
        </w:rPr>
        <w:t>rant. Upon vesting of the first tranche, we exercised the option to purchase shares of Adyen valued at $1.1 billion in exchange for approximately $110 million in cash. The fair value of the equity investment is measured based on Adyen’s closing stock price</w:t>
      </w:r>
      <w:r>
        <w:rPr>
          <w:rFonts w:ascii="Arial" w:eastAsia="宋体" w:hAnsi="Arial" w:cs="Arial"/>
          <w:color w:val="000000"/>
          <w:sz w:val="20"/>
          <w:szCs w:val="20"/>
        </w:rPr>
        <w:t xml:space="preserve"> and prevailing foreign exchange rate at each balance sheet date. As of December 31, 2021, the fair value of the investment was $1,061 million </w:t>
      </w:r>
      <w:r>
        <w:rPr>
          <w:rFonts w:ascii="Arial" w:eastAsia="宋体" w:hAnsi="Arial" w:cs="Arial"/>
          <w:color w:val="222222"/>
          <w:sz w:val="20"/>
          <w:szCs w:val="20"/>
        </w:rPr>
        <w:t>and</w:t>
      </w:r>
      <w:r>
        <w:rPr>
          <w:rFonts w:ascii="Arial" w:eastAsia="宋体" w:hAnsi="Arial" w:cs="Arial"/>
          <w:color w:val="000000"/>
          <w:sz w:val="20"/>
          <w:szCs w:val="20"/>
        </w:rPr>
        <w:t xml:space="preserve"> is reported within short-term investments in our consolidated balance sheet. Refer to “Note 7 —</w:t>
      </w:r>
      <w:r>
        <w:rPr>
          <w:rFonts w:ascii="Arial" w:eastAsia="宋体" w:hAnsi="Arial" w:cs="Arial"/>
          <w:b/>
          <w:bCs/>
          <w:color w:val="000000"/>
          <w:sz w:val="20"/>
          <w:szCs w:val="20"/>
        </w:rPr>
        <w:t xml:space="preserve"> </w:t>
      </w:r>
      <w:r>
        <w:rPr>
          <w:rFonts w:ascii="Arial" w:eastAsia="宋体" w:hAnsi="Arial" w:cs="Arial"/>
          <w:color w:val="000000"/>
          <w:sz w:val="20"/>
          <w:szCs w:val="20"/>
        </w:rPr>
        <w:t>Derivative In</w:t>
      </w:r>
      <w:r>
        <w:rPr>
          <w:rFonts w:ascii="Arial" w:eastAsia="宋体" w:hAnsi="Arial" w:cs="Arial"/>
          <w:color w:val="000000"/>
          <w:sz w:val="20"/>
          <w:szCs w:val="20"/>
        </w:rPr>
        <w:t>struments” for more information about the warrant.</w:t>
      </w:r>
    </w:p>
    <w:p w14:paraId="22CFC2D5" w14:textId="77777777" w:rsidR="002661BA" w:rsidRDefault="002661BA">
      <w:pPr>
        <w:ind w:firstLine="540"/>
        <w:jc w:val="both"/>
      </w:pPr>
    </w:p>
    <w:p w14:paraId="22CFC2D6" w14:textId="77777777" w:rsidR="002661BA" w:rsidRDefault="00D972BC">
      <w:pPr>
        <w:ind w:firstLine="270"/>
        <w:jc w:val="both"/>
      </w:pPr>
      <w:r>
        <w:rPr>
          <w:rFonts w:ascii="Arial" w:eastAsia="宋体" w:hAnsi="Arial" w:cs="Arial"/>
          <w:b/>
          <w:bCs/>
          <w:i/>
          <w:iCs/>
          <w:color w:val="000000"/>
          <w:sz w:val="20"/>
          <w:szCs w:val="20"/>
        </w:rPr>
        <w:t>Equity investment under the fair value option</w:t>
      </w:r>
    </w:p>
    <w:p w14:paraId="22CFC2D7" w14:textId="77777777" w:rsidR="002661BA" w:rsidRDefault="002661BA">
      <w:pPr>
        <w:ind w:firstLine="540"/>
        <w:jc w:val="both"/>
      </w:pPr>
    </w:p>
    <w:p w14:paraId="22CFC2D8" w14:textId="77777777" w:rsidR="002661BA" w:rsidRDefault="00D972BC">
      <w:pPr>
        <w:ind w:firstLine="540"/>
        <w:jc w:val="both"/>
      </w:pPr>
      <w:r>
        <w:rPr>
          <w:rFonts w:ascii="Arial" w:eastAsia="宋体" w:hAnsi="Arial" w:cs="Arial"/>
          <w:color w:val="222222"/>
          <w:sz w:val="20"/>
          <w:szCs w:val="20"/>
        </w:rPr>
        <w:t>We account for equity investments through which we exercise significant influence but do not have control over the investee under the fair value option or un</w:t>
      </w:r>
      <w:r>
        <w:rPr>
          <w:rFonts w:ascii="Arial" w:eastAsia="宋体" w:hAnsi="Arial" w:cs="Arial"/>
          <w:color w:val="222222"/>
          <w:sz w:val="20"/>
          <w:szCs w:val="20"/>
        </w:rPr>
        <w:t>der the equity method. Our equity investment in Gmarket is accounted for under the fair value option.</w:t>
      </w:r>
    </w:p>
    <w:p w14:paraId="22CFC2D9" w14:textId="77777777" w:rsidR="002661BA" w:rsidRDefault="002661BA">
      <w:pPr>
        <w:ind w:firstLine="540"/>
        <w:jc w:val="both"/>
      </w:pPr>
    </w:p>
    <w:p w14:paraId="22CFC2DA" w14:textId="77777777" w:rsidR="002661BA" w:rsidRDefault="00D972BC">
      <w:pPr>
        <w:ind w:firstLine="540"/>
        <w:jc w:val="both"/>
      </w:pPr>
      <w:r>
        <w:rPr>
          <w:rFonts w:ascii="Arial" w:eastAsia="宋体" w:hAnsi="Arial" w:cs="Arial"/>
          <w:color w:val="222222"/>
          <w:sz w:val="20"/>
          <w:szCs w:val="20"/>
        </w:rPr>
        <w:t>On November 14, 2021, we completed the previously announced sale of 80.01% of the outstanding equity interests of eBay Korea to Emart. Upon completion of</w:t>
      </w:r>
      <w:r>
        <w:rPr>
          <w:rFonts w:ascii="Arial" w:eastAsia="宋体" w:hAnsi="Arial" w:cs="Arial"/>
          <w:color w:val="222222"/>
          <w:sz w:val="20"/>
          <w:szCs w:val="20"/>
        </w:rPr>
        <w:t xml:space="preserve"> the sale, we retained 19.99% of the outstanding equity interest of the new entity, Gmarket, over whom we are able to exercise significant influence based on the terms of the securities purchase agreement, including through our board representation. Our eq</w:t>
      </w:r>
      <w:r>
        <w:rPr>
          <w:rFonts w:ascii="Arial" w:eastAsia="宋体" w:hAnsi="Arial" w:cs="Arial"/>
          <w:color w:val="222222"/>
          <w:sz w:val="20"/>
          <w:szCs w:val="20"/>
        </w:rPr>
        <w:t>uity investment in Gmarket was valued at $728 million as of the transaction close date. At the initial recognition of this equity investment, we elected the fair value option where subsequent changes in fair value are recognized in gain (loss) on equity in</w:t>
      </w:r>
      <w:r>
        <w:rPr>
          <w:rFonts w:ascii="Arial" w:eastAsia="宋体" w:hAnsi="Arial" w:cs="Arial"/>
          <w:color w:val="222222"/>
          <w:sz w:val="20"/>
          <w:szCs w:val="20"/>
        </w:rPr>
        <w:t>vestments and warrant, net in the consolidated statement of income. We believe the fair value option election creates more transparency of the current value in the equity investment in Gmarket. Our retained investment in Gmarket is subject to a two year ri</w:t>
      </w:r>
      <w:r>
        <w:rPr>
          <w:rFonts w:ascii="Arial" w:eastAsia="宋体" w:hAnsi="Arial" w:cs="Arial"/>
          <w:color w:val="222222"/>
          <w:sz w:val="20"/>
          <w:szCs w:val="20"/>
        </w:rPr>
        <w:t xml:space="preserve">ght held by Emart to purchase the remaining interest at the close price of the sale. As of December 31, 2021, the fair value of the investment was $725 million and is reported within long-term investments in our consolidated balance sheet. </w:t>
      </w:r>
    </w:p>
    <w:p w14:paraId="22CFC2DB" w14:textId="77777777" w:rsidR="002661BA" w:rsidRDefault="002661BA">
      <w:pPr>
        <w:ind w:firstLine="540"/>
        <w:jc w:val="both"/>
      </w:pPr>
    </w:p>
    <w:p w14:paraId="22CFC2DC" w14:textId="77777777" w:rsidR="002661BA" w:rsidRDefault="00D972BC">
      <w:pPr>
        <w:ind w:firstLine="540"/>
        <w:jc w:val="both"/>
      </w:pPr>
      <w:r>
        <w:rPr>
          <w:rFonts w:ascii="Arial" w:eastAsia="宋体" w:hAnsi="Arial" w:cs="Arial"/>
          <w:color w:val="000000"/>
          <w:sz w:val="20"/>
          <w:szCs w:val="20"/>
        </w:rPr>
        <w:t>The investment</w:t>
      </w:r>
      <w:r>
        <w:rPr>
          <w:rFonts w:ascii="Arial" w:eastAsia="宋体" w:hAnsi="Arial" w:cs="Arial"/>
          <w:color w:val="000000"/>
          <w:sz w:val="20"/>
          <w:szCs w:val="20"/>
        </w:rPr>
        <w:t xml:space="preserve"> is classified as Level 3 in the fair value hierarchy as the valuation reflects management’s estimate of assumptions that market participants would use in pricing the equity investment. Refer to “Note 8 — Fair Value Measurement of Assets and Liabilities” f</w:t>
      </w:r>
      <w:r>
        <w:rPr>
          <w:rFonts w:ascii="Arial" w:eastAsia="宋体" w:hAnsi="Arial" w:cs="Arial"/>
          <w:color w:val="000000"/>
          <w:sz w:val="20"/>
          <w:szCs w:val="20"/>
        </w:rPr>
        <w:t>or more information.</w:t>
      </w:r>
    </w:p>
    <w:p w14:paraId="22CFC2DD" w14:textId="77777777" w:rsidR="002661BA" w:rsidRDefault="002661BA">
      <w:pPr>
        <w:ind w:firstLine="540"/>
        <w:jc w:val="both"/>
      </w:pPr>
    </w:p>
    <w:p w14:paraId="22CFC2DE" w14:textId="77777777" w:rsidR="002661BA" w:rsidRDefault="00D972BC">
      <w:pPr>
        <w:ind w:firstLine="270"/>
        <w:jc w:val="both"/>
      </w:pPr>
      <w:r>
        <w:rPr>
          <w:rFonts w:ascii="Arial" w:eastAsia="宋体" w:hAnsi="Arial" w:cs="Arial"/>
          <w:b/>
          <w:bCs/>
          <w:i/>
          <w:iCs/>
          <w:color w:val="000000"/>
          <w:sz w:val="20"/>
          <w:szCs w:val="20"/>
        </w:rPr>
        <w:t>Other equity method investments</w:t>
      </w:r>
    </w:p>
    <w:p w14:paraId="22CFC2DF" w14:textId="77777777" w:rsidR="002661BA" w:rsidRDefault="002661BA">
      <w:pPr>
        <w:ind w:firstLine="540"/>
        <w:jc w:val="both"/>
      </w:pPr>
    </w:p>
    <w:p w14:paraId="22CFC2E0" w14:textId="77777777" w:rsidR="002661BA" w:rsidRDefault="00D972BC">
      <w:pPr>
        <w:ind w:firstLine="540"/>
        <w:jc w:val="both"/>
      </w:pPr>
      <w:r>
        <w:rPr>
          <w:rFonts w:ascii="Arial" w:eastAsia="宋体" w:hAnsi="Arial" w:cs="Arial"/>
          <w:color w:val="222222"/>
          <w:sz w:val="20"/>
          <w:szCs w:val="20"/>
        </w:rPr>
        <w:t>We account for equity investments through which we exercise significant influence but do not have control over the investee under the fair value option or under the equity method. For equity investment</w:t>
      </w:r>
      <w:r>
        <w:rPr>
          <w:rFonts w:ascii="Arial" w:eastAsia="宋体" w:hAnsi="Arial" w:cs="Arial"/>
          <w:color w:val="222222"/>
          <w:sz w:val="20"/>
          <w:szCs w:val="20"/>
        </w:rPr>
        <w:t xml:space="preserve">s accounted for under the equity method, our consolidated results of operations include, as a component of </w:t>
      </w:r>
      <w:r>
        <w:rPr>
          <w:rFonts w:ascii="Arial" w:eastAsia="宋体" w:hAnsi="Arial" w:cs="Arial"/>
          <w:color w:val="000000"/>
          <w:sz w:val="20"/>
          <w:szCs w:val="20"/>
        </w:rPr>
        <w:t>gain (loss) on equity investments and warrant</w:t>
      </w:r>
      <w:r>
        <w:rPr>
          <w:rFonts w:ascii="Arial" w:eastAsia="宋体" w:hAnsi="Arial" w:cs="Arial"/>
          <w:color w:val="222222"/>
          <w:sz w:val="20"/>
          <w:szCs w:val="20"/>
        </w:rPr>
        <w:t>, net, our share of the net income or loss of the equity investments accounted for under the equity meth</w:t>
      </w:r>
      <w:r>
        <w:rPr>
          <w:rFonts w:ascii="Arial" w:eastAsia="宋体" w:hAnsi="Arial" w:cs="Arial"/>
          <w:color w:val="222222"/>
          <w:sz w:val="20"/>
          <w:szCs w:val="20"/>
        </w:rPr>
        <w:t xml:space="preserve">od of accounting. </w:t>
      </w:r>
    </w:p>
    <w:p w14:paraId="22CFC2E1" w14:textId="77777777" w:rsidR="002661BA" w:rsidRDefault="002661BA">
      <w:pPr>
        <w:ind w:firstLine="540"/>
        <w:jc w:val="both"/>
      </w:pPr>
    </w:p>
    <w:p w14:paraId="22CFC2E2" w14:textId="77777777" w:rsidR="002661BA" w:rsidRDefault="00D972BC">
      <w:pPr>
        <w:jc w:val="center"/>
      </w:pPr>
      <w:r>
        <w:rPr>
          <w:rFonts w:ascii="Arial" w:eastAsia="宋体" w:hAnsi="Arial" w:cs="Arial"/>
          <w:color w:val="000000"/>
          <w:sz w:val="18"/>
          <w:szCs w:val="18"/>
        </w:rPr>
        <w:t>83</w:t>
      </w:r>
    </w:p>
    <w:p w14:paraId="22CFC2E3" w14:textId="77777777" w:rsidR="002661BA" w:rsidRDefault="00D972BC">
      <w:r>
        <w:pict w14:anchorId="22CFE504">
          <v:rect id="_x0000_i1107" style="width:415.3pt;height:1.5pt" o:hralign="center" o:hrstd="t" o:hr="t" fillcolor="#a0a0a0" stroked="f"/>
        </w:pict>
      </w:r>
    </w:p>
    <w:p w14:paraId="22CFC2E4" w14:textId="77777777" w:rsidR="002661BA" w:rsidRDefault="00D972BC">
      <w:hyperlink r:id="rId118" w:anchor="id0d7a71b05ce452ea9fdb54f3cb359c7_7" w:history="1">
        <w:r>
          <w:rPr>
            <w:rStyle w:val="a5"/>
            <w:rFonts w:ascii="Arial" w:eastAsia="宋体" w:hAnsi="Arial" w:cs="Arial"/>
            <w:sz w:val="18"/>
            <w:szCs w:val="18"/>
          </w:rPr>
          <w:t>Table of Contents</w:t>
        </w:r>
      </w:hyperlink>
    </w:p>
    <w:p w14:paraId="22CFC2E5" w14:textId="77777777" w:rsidR="002661BA" w:rsidRDefault="00D972BC">
      <w:pPr>
        <w:jc w:val="center"/>
      </w:pPr>
      <w:r>
        <w:rPr>
          <w:rFonts w:ascii="Arial" w:eastAsia="宋体" w:hAnsi="Arial" w:cs="Arial"/>
          <w:b/>
          <w:bCs/>
          <w:color w:val="000000"/>
          <w:sz w:val="20"/>
          <w:szCs w:val="20"/>
        </w:rPr>
        <w:t>eBay Inc.</w:t>
      </w:r>
    </w:p>
    <w:p w14:paraId="22CFC2E6" w14:textId="77777777" w:rsidR="002661BA" w:rsidRDefault="00D972BC">
      <w:pPr>
        <w:spacing w:before="80"/>
        <w:jc w:val="center"/>
      </w:pPr>
      <w:r>
        <w:rPr>
          <w:rFonts w:ascii="Arial" w:eastAsia="宋体" w:hAnsi="Arial" w:cs="Arial"/>
          <w:b/>
          <w:bCs/>
          <w:color w:val="000000"/>
          <w:sz w:val="20"/>
          <w:szCs w:val="20"/>
        </w:rPr>
        <w:t xml:space="preserve">NOTES TO CONSOLIDATED FINANCIAL </w:t>
      </w:r>
      <w:r>
        <w:rPr>
          <w:rFonts w:ascii="Arial" w:eastAsia="宋体" w:hAnsi="Arial" w:cs="Arial"/>
          <w:b/>
          <w:bCs/>
          <w:color w:val="000000"/>
          <w:sz w:val="20"/>
          <w:szCs w:val="20"/>
        </w:rPr>
        <w:t>STATEMENTS—(Continued)</w:t>
      </w:r>
    </w:p>
    <w:p w14:paraId="22CFC2E7" w14:textId="77777777" w:rsidR="002661BA" w:rsidRDefault="00D972BC">
      <w:pPr>
        <w:ind w:firstLine="540"/>
        <w:jc w:val="both"/>
      </w:pPr>
      <w:r>
        <w:rPr>
          <w:rFonts w:ascii="Arial" w:eastAsia="宋体" w:hAnsi="Arial" w:cs="Arial"/>
          <w:color w:val="000000"/>
          <w:sz w:val="20"/>
          <w:szCs w:val="20"/>
        </w:rPr>
        <w:t>The following tables present summarized financial information of our equity investments accounted for under the equity method in the aggregate on a one-quarter lag. Financial information of certain of our equity method investments is</w:t>
      </w:r>
      <w:r>
        <w:rPr>
          <w:rFonts w:ascii="Arial" w:eastAsia="宋体" w:hAnsi="Arial" w:cs="Arial"/>
          <w:color w:val="000000"/>
          <w:sz w:val="20"/>
          <w:szCs w:val="20"/>
        </w:rPr>
        <w:t xml:space="preserve"> prepared on the basis of local generally accepted accounting principles. We have made certain adjustments as applicable to address differences between local generally accepted accounting principles and US GAAP that materially impact the summarized financi</w:t>
      </w:r>
      <w:r>
        <w:rPr>
          <w:rFonts w:ascii="Arial" w:eastAsia="宋体" w:hAnsi="Arial" w:cs="Arial"/>
          <w:color w:val="000000"/>
          <w:sz w:val="20"/>
          <w:szCs w:val="20"/>
        </w:rPr>
        <w:t>al information. Any other differences between US GAAP and local generally accepted accounting principles did not have any material impact on the summarized financial information of the equity method investments presented below in the aggregate.</w:t>
      </w:r>
    </w:p>
    <w:p w14:paraId="22CFC2E8" w14:textId="77777777" w:rsidR="002661BA" w:rsidRDefault="002661BA">
      <w:pPr>
        <w:ind w:firstLine="540"/>
        <w:jc w:val="both"/>
      </w:pPr>
    </w:p>
    <w:p w14:paraId="22CFC2E9" w14:textId="77777777" w:rsidR="002661BA" w:rsidRDefault="00D972BC">
      <w:pPr>
        <w:spacing w:after="120"/>
        <w:ind w:firstLine="540"/>
        <w:jc w:val="both"/>
      </w:pPr>
      <w:r>
        <w:rPr>
          <w:rFonts w:ascii="Arial" w:eastAsia="宋体" w:hAnsi="Arial" w:cs="Arial"/>
          <w:color w:val="000000"/>
          <w:sz w:val="20"/>
          <w:szCs w:val="20"/>
        </w:rPr>
        <w:t>During the period in which we recognize an equity method investment, the summarized financial information reflects activity from the date of recognition. The tables below exclude the summarized financial information of our equity investment in Gmarket as t</w:t>
      </w:r>
      <w:r>
        <w:rPr>
          <w:rFonts w:ascii="Arial" w:eastAsia="宋体" w:hAnsi="Arial" w:cs="Arial"/>
          <w:color w:val="000000"/>
          <w:sz w:val="20"/>
          <w:szCs w:val="20"/>
        </w:rPr>
        <w:t>he summarized financial information is presented on a one-quarter lag. The tables below also exclude the summarized financial information of our equity investment in Adevinta which is separately disclosed above under the heading “Equity investment in Adevi</w:t>
      </w:r>
      <w:r>
        <w:rPr>
          <w:rFonts w:ascii="Arial" w:eastAsia="宋体" w:hAnsi="Arial" w:cs="Arial"/>
          <w:color w:val="000000"/>
          <w:sz w:val="20"/>
          <w:szCs w:val="20"/>
        </w:rPr>
        <w:t xml:space="preserve">nta.” </w:t>
      </w:r>
    </w:p>
    <w:p w14:paraId="22CFC2EA" w14:textId="77777777" w:rsidR="002661BA" w:rsidRDefault="002661BA">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39"/>
        <w:gridCol w:w="4652"/>
        <w:gridCol w:w="38"/>
        <w:gridCol w:w="122"/>
        <w:gridCol w:w="970"/>
        <w:gridCol w:w="37"/>
        <w:gridCol w:w="36"/>
        <w:gridCol w:w="36"/>
        <w:gridCol w:w="36"/>
        <w:gridCol w:w="122"/>
        <w:gridCol w:w="971"/>
        <w:gridCol w:w="37"/>
        <w:gridCol w:w="36"/>
        <w:gridCol w:w="36"/>
        <w:gridCol w:w="36"/>
        <w:gridCol w:w="122"/>
        <w:gridCol w:w="973"/>
        <w:gridCol w:w="37"/>
      </w:tblGrid>
      <w:tr w:rsidR="002661BA" w14:paraId="22CFC2FD" w14:textId="77777777">
        <w:tc>
          <w:tcPr>
            <w:tcW w:w="50" w:type="pct"/>
            <w:shd w:val="clear" w:color="auto" w:fill="auto"/>
            <w:vAlign w:val="bottom"/>
          </w:tcPr>
          <w:p w14:paraId="22CFC2EB" w14:textId="77777777" w:rsidR="002661BA" w:rsidRDefault="002661BA">
            <w:pPr>
              <w:rPr>
                <w:rFonts w:ascii="宋体"/>
              </w:rPr>
            </w:pPr>
          </w:p>
        </w:tc>
        <w:tc>
          <w:tcPr>
            <w:tcW w:w="2847" w:type="pct"/>
            <w:shd w:val="clear" w:color="auto" w:fill="auto"/>
            <w:vAlign w:val="bottom"/>
          </w:tcPr>
          <w:p w14:paraId="22CFC2EC" w14:textId="77777777" w:rsidR="002661BA" w:rsidRDefault="002661BA">
            <w:pPr>
              <w:rPr>
                <w:rFonts w:ascii="宋体"/>
              </w:rPr>
            </w:pPr>
          </w:p>
        </w:tc>
        <w:tc>
          <w:tcPr>
            <w:tcW w:w="5" w:type="pct"/>
            <w:shd w:val="clear" w:color="auto" w:fill="auto"/>
            <w:vAlign w:val="bottom"/>
          </w:tcPr>
          <w:p w14:paraId="22CFC2ED" w14:textId="77777777" w:rsidR="002661BA" w:rsidRDefault="002661BA">
            <w:pPr>
              <w:rPr>
                <w:rFonts w:ascii="宋体"/>
              </w:rPr>
            </w:pPr>
          </w:p>
        </w:tc>
        <w:tc>
          <w:tcPr>
            <w:tcW w:w="50" w:type="pct"/>
            <w:shd w:val="clear" w:color="auto" w:fill="auto"/>
            <w:vAlign w:val="bottom"/>
          </w:tcPr>
          <w:p w14:paraId="22CFC2EE" w14:textId="77777777" w:rsidR="002661BA" w:rsidRDefault="002661BA">
            <w:pPr>
              <w:rPr>
                <w:rFonts w:ascii="宋体"/>
              </w:rPr>
            </w:pPr>
          </w:p>
        </w:tc>
        <w:tc>
          <w:tcPr>
            <w:tcW w:w="624" w:type="pct"/>
            <w:shd w:val="clear" w:color="auto" w:fill="auto"/>
            <w:vAlign w:val="bottom"/>
          </w:tcPr>
          <w:p w14:paraId="22CFC2EF" w14:textId="77777777" w:rsidR="002661BA" w:rsidRDefault="002661BA">
            <w:pPr>
              <w:rPr>
                <w:rFonts w:ascii="宋体"/>
              </w:rPr>
            </w:pPr>
          </w:p>
        </w:tc>
        <w:tc>
          <w:tcPr>
            <w:tcW w:w="5" w:type="pct"/>
            <w:shd w:val="clear" w:color="auto" w:fill="auto"/>
            <w:vAlign w:val="bottom"/>
          </w:tcPr>
          <w:p w14:paraId="22CFC2F0" w14:textId="77777777" w:rsidR="002661BA" w:rsidRDefault="002661BA">
            <w:pPr>
              <w:rPr>
                <w:rFonts w:ascii="宋体"/>
              </w:rPr>
            </w:pPr>
          </w:p>
        </w:tc>
        <w:tc>
          <w:tcPr>
            <w:tcW w:w="5" w:type="pct"/>
            <w:shd w:val="clear" w:color="auto" w:fill="auto"/>
            <w:vAlign w:val="bottom"/>
          </w:tcPr>
          <w:p w14:paraId="22CFC2F1" w14:textId="77777777" w:rsidR="002661BA" w:rsidRDefault="002661BA">
            <w:pPr>
              <w:rPr>
                <w:rFonts w:ascii="宋体"/>
              </w:rPr>
            </w:pPr>
          </w:p>
        </w:tc>
        <w:tc>
          <w:tcPr>
            <w:tcW w:w="19" w:type="pct"/>
            <w:shd w:val="clear" w:color="auto" w:fill="auto"/>
            <w:vAlign w:val="bottom"/>
          </w:tcPr>
          <w:p w14:paraId="22CFC2F2" w14:textId="77777777" w:rsidR="002661BA" w:rsidRDefault="002661BA">
            <w:pPr>
              <w:rPr>
                <w:rFonts w:ascii="宋体"/>
              </w:rPr>
            </w:pPr>
          </w:p>
        </w:tc>
        <w:tc>
          <w:tcPr>
            <w:tcW w:w="5" w:type="pct"/>
            <w:shd w:val="clear" w:color="auto" w:fill="auto"/>
            <w:vAlign w:val="bottom"/>
          </w:tcPr>
          <w:p w14:paraId="22CFC2F3" w14:textId="77777777" w:rsidR="002661BA" w:rsidRDefault="002661BA">
            <w:pPr>
              <w:rPr>
                <w:rFonts w:ascii="宋体"/>
              </w:rPr>
            </w:pPr>
          </w:p>
        </w:tc>
        <w:tc>
          <w:tcPr>
            <w:tcW w:w="50" w:type="pct"/>
            <w:shd w:val="clear" w:color="auto" w:fill="auto"/>
            <w:vAlign w:val="bottom"/>
          </w:tcPr>
          <w:p w14:paraId="22CFC2F4" w14:textId="77777777" w:rsidR="002661BA" w:rsidRDefault="002661BA">
            <w:pPr>
              <w:rPr>
                <w:rFonts w:ascii="宋体"/>
              </w:rPr>
            </w:pPr>
          </w:p>
        </w:tc>
        <w:tc>
          <w:tcPr>
            <w:tcW w:w="624" w:type="pct"/>
            <w:shd w:val="clear" w:color="auto" w:fill="auto"/>
            <w:vAlign w:val="bottom"/>
          </w:tcPr>
          <w:p w14:paraId="22CFC2F5" w14:textId="77777777" w:rsidR="002661BA" w:rsidRDefault="002661BA">
            <w:pPr>
              <w:rPr>
                <w:rFonts w:ascii="宋体"/>
              </w:rPr>
            </w:pPr>
          </w:p>
        </w:tc>
        <w:tc>
          <w:tcPr>
            <w:tcW w:w="5" w:type="pct"/>
            <w:shd w:val="clear" w:color="auto" w:fill="auto"/>
            <w:vAlign w:val="bottom"/>
          </w:tcPr>
          <w:p w14:paraId="22CFC2F6" w14:textId="77777777" w:rsidR="002661BA" w:rsidRDefault="002661BA">
            <w:pPr>
              <w:rPr>
                <w:rFonts w:ascii="宋体"/>
              </w:rPr>
            </w:pPr>
          </w:p>
        </w:tc>
        <w:tc>
          <w:tcPr>
            <w:tcW w:w="5" w:type="pct"/>
            <w:shd w:val="clear" w:color="auto" w:fill="auto"/>
            <w:vAlign w:val="bottom"/>
          </w:tcPr>
          <w:p w14:paraId="22CFC2F7" w14:textId="77777777" w:rsidR="002661BA" w:rsidRDefault="002661BA">
            <w:pPr>
              <w:rPr>
                <w:rFonts w:ascii="宋体"/>
              </w:rPr>
            </w:pPr>
          </w:p>
        </w:tc>
        <w:tc>
          <w:tcPr>
            <w:tcW w:w="19" w:type="pct"/>
            <w:shd w:val="clear" w:color="auto" w:fill="auto"/>
            <w:vAlign w:val="bottom"/>
          </w:tcPr>
          <w:p w14:paraId="22CFC2F8" w14:textId="77777777" w:rsidR="002661BA" w:rsidRDefault="002661BA">
            <w:pPr>
              <w:rPr>
                <w:rFonts w:ascii="宋体"/>
              </w:rPr>
            </w:pPr>
          </w:p>
        </w:tc>
        <w:tc>
          <w:tcPr>
            <w:tcW w:w="5" w:type="pct"/>
            <w:shd w:val="clear" w:color="auto" w:fill="auto"/>
            <w:vAlign w:val="bottom"/>
          </w:tcPr>
          <w:p w14:paraId="22CFC2F9" w14:textId="77777777" w:rsidR="002661BA" w:rsidRDefault="002661BA">
            <w:pPr>
              <w:rPr>
                <w:rFonts w:ascii="宋体"/>
              </w:rPr>
            </w:pPr>
          </w:p>
        </w:tc>
        <w:tc>
          <w:tcPr>
            <w:tcW w:w="50" w:type="pct"/>
            <w:shd w:val="clear" w:color="auto" w:fill="auto"/>
            <w:vAlign w:val="bottom"/>
          </w:tcPr>
          <w:p w14:paraId="22CFC2FA" w14:textId="77777777" w:rsidR="002661BA" w:rsidRDefault="002661BA">
            <w:pPr>
              <w:rPr>
                <w:rFonts w:ascii="宋体"/>
              </w:rPr>
            </w:pPr>
          </w:p>
        </w:tc>
        <w:tc>
          <w:tcPr>
            <w:tcW w:w="625" w:type="pct"/>
            <w:shd w:val="clear" w:color="auto" w:fill="auto"/>
            <w:vAlign w:val="bottom"/>
          </w:tcPr>
          <w:p w14:paraId="22CFC2FB" w14:textId="77777777" w:rsidR="002661BA" w:rsidRDefault="002661BA">
            <w:pPr>
              <w:rPr>
                <w:rFonts w:ascii="宋体"/>
              </w:rPr>
            </w:pPr>
          </w:p>
        </w:tc>
        <w:tc>
          <w:tcPr>
            <w:tcW w:w="5" w:type="pct"/>
            <w:shd w:val="clear" w:color="auto" w:fill="auto"/>
            <w:vAlign w:val="bottom"/>
          </w:tcPr>
          <w:p w14:paraId="22CFC2FC" w14:textId="77777777" w:rsidR="002661BA" w:rsidRDefault="002661BA">
            <w:pPr>
              <w:rPr>
                <w:rFonts w:ascii="宋体"/>
              </w:rPr>
            </w:pPr>
          </w:p>
        </w:tc>
      </w:tr>
      <w:tr w:rsidR="002661BA" w14:paraId="22CFC300" w14:textId="77777777">
        <w:tc>
          <w:tcPr>
            <w:tcW w:w="0" w:type="auto"/>
            <w:gridSpan w:val="3"/>
            <w:shd w:val="clear" w:color="auto" w:fill="auto"/>
            <w:tcMar>
              <w:top w:w="0" w:type="dxa"/>
              <w:left w:w="20" w:type="dxa"/>
              <w:bottom w:w="0" w:type="dxa"/>
              <w:right w:w="20" w:type="dxa"/>
            </w:tcMar>
            <w:vAlign w:val="bottom"/>
          </w:tcPr>
          <w:p w14:paraId="22CFC2FE" w14:textId="77777777" w:rsidR="002661BA" w:rsidRDefault="002661BA">
            <w:pPr>
              <w:rPr>
                <w:rFonts w:ascii="宋体"/>
              </w:rPr>
            </w:pPr>
          </w:p>
        </w:tc>
        <w:tc>
          <w:tcPr>
            <w:tcW w:w="0" w:type="auto"/>
            <w:gridSpan w:val="15"/>
            <w:shd w:val="clear" w:color="auto" w:fill="auto"/>
            <w:tcMar>
              <w:top w:w="40" w:type="dxa"/>
              <w:left w:w="20" w:type="dxa"/>
              <w:bottom w:w="40" w:type="dxa"/>
              <w:right w:w="20" w:type="dxa"/>
            </w:tcMar>
            <w:vAlign w:val="bottom"/>
          </w:tcPr>
          <w:p w14:paraId="22CFC2FF" w14:textId="77777777" w:rsidR="002661BA" w:rsidRDefault="00D972BC">
            <w:pPr>
              <w:jc w:val="center"/>
              <w:textAlignment w:val="bottom"/>
            </w:pPr>
            <w:r>
              <w:rPr>
                <w:rFonts w:ascii="Arial" w:eastAsia="宋体" w:hAnsi="Arial" w:cs="Arial"/>
                <w:b/>
                <w:bCs/>
                <w:color w:val="000000"/>
                <w:sz w:val="17"/>
                <w:szCs w:val="17"/>
              </w:rPr>
              <w:t>Twelve months ended September 30,</w:t>
            </w:r>
          </w:p>
        </w:tc>
      </w:tr>
      <w:tr w:rsidR="002661BA" w14:paraId="22CFC307" w14:textId="77777777">
        <w:tc>
          <w:tcPr>
            <w:tcW w:w="0" w:type="auto"/>
            <w:gridSpan w:val="3"/>
            <w:shd w:val="clear" w:color="auto" w:fill="auto"/>
            <w:tcMar>
              <w:top w:w="0" w:type="dxa"/>
              <w:left w:w="20" w:type="dxa"/>
              <w:bottom w:w="0" w:type="dxa"/>
              <w:right w:w="20" w:type="dxa"/>
            </w:tcMar>
            <w:vAlign w:val="bottom"/>
          </w:tcPr>
          <w:p w14:paraId="22CFC301"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302"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303" w14:textId="77777777" w:rsidR="002661BA" w:rsidRDefault="002661B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C304"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305" w14:textId="77777777" w:rsidR="002661BA" w:rsidRDefault="002661B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C306"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C30A" w14:textId="77777777">
        <w:tc>
          <w:tcPr>
            <w:tcW w:w="0" w:type="auto"/>
            <w:gridSpan w:val="3"/>
            <w:shd w:val="clear" w:color="auto" w:fill="auto"/>
            <w:tcMar>
              <w:top w:w="0" w:type="dxa"/>
              <w:left w:w="20" w:type="dxa"/>
              <w:bottom w:w="0" w:type="dxa"/>
              <w:right w:w="20" w:type="dxa"/>
            </w:tcMar>
            <w:vAlign w:val="bottom"/>
          </w:tcPr>
          <w:p w14:paraId="22CFC308" w14:textId="77777777" w:rsidR="002661BA" w:rsidRDefault="002661BA">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2CFC309" w14:textId="77777777" w:rsidR="002661BA" w:rsidRDefault="00D972BC">
            <w:pPr>
              <w:jc w:val="center"/>
              <w:textAlignment w:val="bottom"/>
            </w:pPr>
            <w:r>
              <w:rPr>
                <w:rFonts w:ascii="Arial" w:eastAsia="宋体" w:hAnsi="Arial" w:cs="Arial"/>
                <w:b/>
                <w:bCs/>
                <w:color w:val="000000"/>
                <w:sz w:val="17"/>
                <w:szCs w:val="17"/>
              </w:rPr>
              <w:t>(In millions)</w:t>
            </w:r>
          </w:p>
        </w:tc>
      </w:tr>
      <w:tr w:rsidR="002661BA" w14:paraId="22CFC317" w14:textId="77777777">
        <w:tc>
          <w:tcPr>
            <w:tcW w:w="0" w:type="auto"/>
            <w:gridSpan w:val="3"/>
            <w:shd w:val="clear" w:color="auto" w:fill="DBDBDB"/>
            <w:tcMar>
              <w:top w:w="40" w:type="dxa"/>
              <w:left w:w="20" w:type="dxa"/>
              <w:bottom w:w="40" w:type="dxa"/>
              <w:right w:w="20" w:type="dxa"/>
            </w:tcMar>
            <w:vAlign w:val="bottom"/>
          </w:tcPr>
          <w:p w14:paraId="22CFC30B" w14:textId="77777777" w:rsidR="002661BA" w:rsidRDefault="00D972BC">
            <w:pPr>
              <w:textAlignment w:val="bottom"/>
            </w:pPr>
            <w:r>
              <w:rPr>
                <w:rFonts w:ascii="Arial" w:eastAsia="宋体" w:hAnsi="Arial" w:cs="Arial"/>
                <w:color w:val="000000"/>
                <w:sz w:val="18"/>
                <w:szCs w:val="18"/>
              </w:rPr>
              <w:t>Revenue</w:t>
            </w:r>
          </w:p>
        </w:tc>
        <w:tc>
          <w:tcPr>
            <w:tcW w:w="0" w:type="auto"/>
            <w:shd w:val="clear" w:color="auto" w:fill="DBDBDB"/>
            <w:tcMar>
              <w:top w:w="40" w:type="dxa"/>
              <w:left w:w="20" w:type="dxa"/>
              <w:bottom w:w="40" w:type="dxa"/>
              <w:right w:w="0" w:type="dxa"/>
            </w:tcMar>
            <w:vAlign w:val="bottom"/>
          </w:tcPr>
          <w:p w14:paraId="22CFC30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30D" w14:textId="77777777" w:rsidR="002661BA" w:rsidRDefault="00D972BC">
            <w:pPr>
              <w:jc w:val="right"/>
              <w:textAlignment w:val="bottom"/>
            </w:pPr>
            <w:r>
              <w:rPr>
                <w:rFonts w:ascii="Arial" w:eastAsia="宋体" w:hAnsi="Arial" w:cs="Arial"/>
                <w:color w:val="000000"/>
                <w:sz w:val="18"/>
                <w:szCs w:val="18"/>
              </w:rPr>
              <w:t>41 </w:t>
            </w:r>
          </w:p>
        </w:tc>
        <w:tc>
          <w:tcPr>
            <w:tcW w:w="0" w:type="auto"/>
            <w:shd w:val="clear" w:color="auto" w:fill="DBDBDB"/>
            <w:tcMar>
              <w:top w:w="40" w:type="dxa"/>
              <w:left w:w="0" w:type="dxa"/>
              <w:bottom w:w="40" w:type="dxa"/>
              <w:right w:w="20" w:type="dxa"/>
            </w:tcMar>
            <w:vAlign w:val="bottom"/>
          </w:tcPr>
          <w:p w14:paraId="22CFC30E"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30F"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C310"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311" w14:textId="77777777" w:rsidR="002661BA" w:rsidRDefault="00D972BC">
            <w:pPr>
              <w:jc w:val="right"/>
              <w:textAlignment w:val="bottom"/>
            </w:pPr>
            <w:r>
              <w:rPr>
                <w:rFonts w:ascii="Arial" w:eastAsia="宋体" w:hAnsi="Arial" w:cs="Arial"/>
                <w:color w:val="000000"/>
                <w:sz w:val="18"/>
                <w:szCs w:val="18"/>
              </w:rPr>
              <w:t>31 </w:t>
            </w:r>
          </w:p>
        </w:tc>
        <w:tc>
          <w:tcPr>
            <w:tcW w:w="0" w:type="auto"/>
            <w:shd w:val="clear" w:color="auto" w:fill="DBDBDB"/>
            <w:tcMar>
              <w:top w:w="40" w:type="dxa"/>
              <w:left w:w="0" w:type="dxa"/>
              <w:bottom w:w="40" w:type="dxa"/>
              <w:right w:w="20" w:type="dxa"/>
            </w:tcMar>
            <w:vAlign w:val="bottom"/>
          </w:tcPr>
          <w:p w14:paraId="22CFC312"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313"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C314"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315" w14:textId="77777777" w:rsidR="002661BA" w:rsidRDefault="00D972BC">
            <w:pPr>
              <w:jc w:val="right"/>
              <w:textAlignment w:val="bottom"/>
            </w:pPr>
            <w:r>
              <w:rPr>
                <w:rFonts w:ascii="Arial" w:eastAsia="宋体" w:hAnsi="Arial" w:cs="Arial"/>
                <w:color w:val="000000"/>
                <w:sz w:val="18"/>
                <w:szCs w:val="18"/>
              </w:rPr>
              <w:t>30 </w:t>
            </w:r>
          </w:p>
        </w:tc>
        <w:tc>
          <w:tcPr>
            <w:tcW w:w="0" w:type="auto"/>
            <w:shd w:val="clear" w:color="auto" w:fill="DBDBDB"/>
            <w:tcMar>
              <w:top w:w="40" w:type="dxa"/>
              <w:left w:w="0" w:type="dxa"/>
              <w:bottom w:w="40" w:type="dxa"/>
              <w:right w:w="20" w:type="dxa"/>
            </w:tcMar>
            <w:vAlign w:val="bottom"/>
          </w:tcPr>
          <w:p w14:paraId="22CFC316" w14:textId="77777777" w:rsidR="002661BA" w:rsidRDefault="002661BA">
            <w:pPr>
              <w:jc w:val="right"/>
              <w:rPr>
                <w:rFonts w:ascii="宋体"/>
              </w:rPr>
            </w:pPr>
          </w:p>
        </w:tc>
      </w:tr>
      <w:tr w:rsidR="002661BA" w14:paraId="22CFC324" w14:textId="77777777">
        <w:tc>
          <w:tcPr>
            <w:tcW w:w="0" w:type="auto"/>
            <w:gridSpan w:val="3"/>
            <w:shd w:val="clear" w:color="auto" w:fill="FFFFFF"/>
            <w:tcMar>
              <w:top w:w="40" w:type="dxa"/>
              <w:left w:w="20" w:type="dxa"/>
              <w:bottom w:w="40" w:type="dxa"/>
              <w:right w:w="20" w:type="dxa"/>
            </w:tcMar>
            <w:vAlign w:val="bottom"/>
          </w:tcPr>
          <w:p w14:paraId="22CFC318" w14:textId="77777777" w:rsidR="002661BA" w:rsidRDefault="00D972BC">
            <w:pPr>
              <w:textAlignment w:val="bottom"/>
            </w:pPr>
            <w:r>
              <w:rPr>
                <w:rFonts w:ascii="Arial" w:eastAsia="宋体" w:hAnsi="Arial" w:cs="Arial"/>
                <w:color w:val="000000"/>
                <w:sz w:val="18"/>
                <w:szCs w:val="18"/>
              </w:rPr>
              <w:t>Gross profit</w:t>
            </w:r>
          </w:p>
        </w:tc>
        <w:tc>
          <w:tcPr>
            <w:tcW w:w="0" w:type="auto"/>
            <w:shd w:val="clear" w:color="auto" w:fill="FFFFFF"/>
            <w:tcMar>
              <w:top w:w="40" w:type="dxa"/>
              <w:left w:w="20" w:type="dxa"/>
              <w:bottom w:w="40" w:type="dxa"/>
              <w:right w:w="0" w:type="dxa"/>
            </w:tcMar>
            <w:vAlign w:val="bottom"/>
          </w:tcPr>
          <w:p w14:paraId="22CFC31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31A" w14:textId="77777777" w:rsidR="002661BA" w:rsidRDefault="00D972BC">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22CFC31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31C"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C31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31E" w14:textId="77777777" w:rsidR="002661BA" w:rsidRDefault="00D972BC">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22CFC31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320"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C321"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322" w14:textId="77777777" w:rsidR="002661BA" w:rsidRDefault="00D972BC">
            <w:pPr>
              <w:jc w:val="right"/>
              <w:textAlignment w:val="bottom"/>
            </w:pPr>
            <w:r>
              <w:rPr>
                <w:rFonts w:ascii="Arial" w:eastAsia="宋体" w:hAnsi="Arial" w:cs="Arial"/>
                <w:color w:val="000000"/>
                <w:sz w:val="18"/>
                <w:szCs w:val="18"/>
              </w:rPr>
              <w:t>9 </w:t>
            </w:r>
          </w:p>
        </w:tc>
        <w:tc>
          <w:tcPr>
            <w:tcW w:w="0" w:type="auto"/>
            <w:shd w:val="clear" w:color="auto" w:fill="FFFFFF"/>
            <w:tcMar>
              <w:top w:w="40" w:type="dxa"/>
              <w:left w:w="0" w:type="dxa"/>
              <w:bottom w:w="40" w:type="dxa"/>
              <w:right w:w="20" w:type="dxa"/>
            </w:tcMar>
            <w:vAlign w:val="bottom"/>
          </w:tcPr>
          <w:p w14:paraId="22CFC323" w14:textId="77777777" w:rsidR="002661BA" w:rsidRDefault="002661BA">
            <w:pPr>
              <w:jc w:val="right"/>
              <w:rPr>
                <w:rFonts w:ascii="宋体"/>
              </w:rPr>
            </w:pPr>
          </w:p>
        </w:tc>
      </w:tr>
      <w:tr w:rsidR="002661BA" w14:paraId="22CFC331" w14:textId="77777777">
        <w:tc>
          <w:tcPr>
            <w:tcW w:w="0" w:type="auto"/>
            <w:gridSpan w:val="3"/>
            <w:shd w:val="clear" w:color="auto" w:fill="DBDBDB"/>
            <w:tcMar>
              <w:top w:w="40" w:type="dxa"/>
              <w:left w:w="20" w:type="dxa"/>
              <w:bottom w:w="40" w:type="dxa"/>
              <w:right w:w="20" w:type="dxa"/>
            </w:tcMar>
            <w:vAlign w:val="bottom"/>
          </w:tcPr>
          <w:p w14:paraId="22CFC325" w14:textId="77777777" w:rsidR="002661BA" w:rsidRDefault="00D972BC">
            <w:pPr>
              <w:textAlignment w:val="bottom"/>
            </w:pPr>
            <w:r>
              <w:rPr>
                <w:rFonts w:ascii="Arial" w:eastAsia="宋体" w:hAnsi="Arial" w:cs="Arial"/>
                <w:color w:val="000000"/>
                <w:sz w:val="18"/>
                <w:szCs w:val="18"/>
              </w:rPr>
              <w:t>Income (loss) from continuing operations</w:t>
            </w:r>
          </w:p>
        </w:tc>
        <w:tc>
          <w:tcPr>
            <w:tcW w:w="0" w:type="auto"/>
            <w:shd w:val="clear" w:color="auto" w:fill="DBDBDB"/>
            <w:tcMar>
              <w:top w:w="40" w:type="dxa"/>
              <w:left w:w="20" w:type="dxa"/>
              <w:bottom w:w="40" w:type="dxa"/>
              <w:right w:w="0" w:type="dxa"/>
            </w:tcMar>
            <w:vAlign w:val="bottom"/>
          </w:tcPr>
          <w:p w14:paraId="22CFC32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327" w14:textId="77777777" w:rsidR="002661BA" w:rsidRDefault="00D972BC">
            <w:pPr>
              <w:jc w:val="right"/>
              <w:textAlignment w:val="bottom"/>
            </w:pPr>
            <w:r>
              <w:rPr>
                <w:rFonts w:ascii="Arial" w:eastAsia="宋体" w:hAnsi="Arial" w:cs="Arial"/>
                <w:color w:val="000000"/>
                <w:sz w:val="18"/>
                <w:szCs w:val="18"/>
              </w:rPr>
              <w:t>2 </w:t>
            </w:r>
          </w:p>
        </w:tc>
        <w:tc>
          <w:tcPr>
            <w:tcW w:w="0" w:type="auto"/>
            <w:shd w:val="clear" w:color="auto" w:fill="DBDBDB"/>
            <w:tcMar>
              <w:top w:w="40" w:type="dxa"/>
              <w:left w:w="0" w:type="dxa"/>
              <w:bottom w:w="40" w:type="dxa"/>
              <w:right w:w="20" w:type="dxa"/>
            </w:tcMar>
            <w:vAlign w:val="bottom"/>
          </w:tcPr>
          <w:p w14:paraId="22CFC328"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329"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C32A"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32B" w14:textId="77777777" w:rsidR="002661BA" w:rsidRDefault="00D972BC">
            <w:pPr>
              <w:jc w:val="right"/>
              <w:textAlignment w:val="bottom"/>
            </w:pPr>
            <w:r>
              <w:rPr>
                <w:rFonts w:ascii="Arial" w:eastAsia="宋体" w:hAnsi="Arial" w:cs="Arial"/>
                <w:color w:val="000000"/>
                <w:sz w:val="18"/>
                <w:szCs w:val="18"/>
              </w:rPr>
              <w:t>3 </w:t>
            </w:r>
          </w:p>
        </w:tc>
        <w:tc>
          <w:tcPr>
            <w:tcW w:w="0" w:type="auto"/>
            <w:shd w:val="clear" w:color="auto" w:fill="DBDBDB"/>
            <w:tcMar>
              <w:top w:w="40" w:type="dxa"/>
              <w:left w:w="0" w:type="dxa"/>
              <w:bottom w:w="40" w:type="dxa"/>
              <w:right w:w="20" w:type="dxa"/>
            </w:tcMar>
            <w:vAlign w:val="bottom"/>
          </w:tcPr>
          <w:p w14:paraId="22CFC32C"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32D"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C32E"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32F" w14:textId="77777777" w:rsidR="002661BA" w:rsidRDefault="00D972BC">
            <w:pPr>
              <w:jc w:val="right"/>
              <w:textAlignment w:val="bottom"/>
            </w:pPr>
            <w:r>
              <w:rPr>
                <w:rFonts w:ascii="Arial" w:eastAsia="宋体" w:hAnsi="Arial" w:cs="Arial"/>
                <w:color w:val="000000"/>
                <w:sz w:val="18"/>
                <w:szCs w:val="18"/>
              </w:rPr>
              <w:t>2 </w:t>
            </w:r>
          </w:p>
        </w:tc>
        <w:tc>
          <w:tcPr>
            <w:tcW w:w="0" w:type="auto"/>
            <w:shd w:val="clear" w:color="auto" w:fill="DBDBDB"/>
            <w:tcMar>
              <w:top w:w="40" w:type="dxa"/>
              <w:left w:w="0" w:type="dxa"/>
              <w:bottom w:w="40" w:type="dxa"/>
              <w:right w:w="20" w:type="dxa"/>
            </w:tcMar>
            <w:vAlign w:val="bottom"/>
          </w:tcPr>
          <w:p w14:paraId="22CFC330" w14:textId="77777777" w:rsidR="002661BA" w:rsidRDefault="002661BA">
            <w:pPr>
              <w:jc w:val="right"/>
              <w:rPr>
                <w:rFonts w:ascii="宋体"/>
              </w:rPr>
            </w:pPr>
          </w:p>
        </w:tc>
      </w:tr>
      <w:tr w:rsidR="002661BA" w14:paraId="22CFC33E" w14:textId="77777777">
        <w:tc>
          <w:tcPr>
            <w:tcW w:w="0" w:type="auto"/>
            <w:gridSpan w:val="3"/>
            <w:shd w:val="clear" w:color="auto" w:fill="FFFFFF"/>
            <w:tcMar>
              <w:top w:w="40" w:type="dxa"/>
              <w:left w:w="20" w:type="dxa"/>
              <w:bottom w:w="40" w:type="dxa"/>
              <w:right w:w="20" w:type="dxa"/>
            </w:tcMar>
            <w:vAlign w:val="bottom"/>
          </w:tcPr>
          <w:p w14:paraId="22CFC332" w14:textId="77777777" w:rsidR="002661BA" w:rsidRDefault="00D972BC">
            <w:pPr>
              <w:textAlignment w:val="bottom"/>
            </w:pPr>
            <w:r>
              <w:rPr>
                <w:rFonts w:ascii="Arial" w:eastAsia="宋体" w:hAnsi="Arial" w:cs="Arial"/>
                <w:color w:val="000000"/>
                <w:sz w:val="18"/>
                <w:szCs w:val="18"/>
              </w:rPr>
              <w:t>Net income (loss)</w:t>
            </w:r>
          </w:p>
        </w:tc>
        <w:tc>
          <w:tcPr>
            <w:tcW w:w="0" w:type="auto"/>
            <w:shd w:val="clear" w:color="auto" w:fill="FFFFFF"/>
            <w:tcMar>
              <w:top w:w="40" w:type="dxa"/>
              <w:left w:w="20" w:type="dxa"/>
              <w:bottom w:w="40" w:type="dxa"/>
              <w:right w:w="0" w:type="dxa"/>
            </w:tcMar>
            <w:vAlign w:val="bottom"/>
          </w:tcPr>
          <w:p w14:paraId="22CFC33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334" w14:textId="77777777" w:rsidR="002661BA" w:rsidRDefault="00D972BC">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22CFC33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336"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C33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338" w14:textId="77777777" w:rsidR="002661BA" w:rsidRDefault="00D972BC">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22CFC33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33A"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C33B"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33C" w14:textId="77777777" w:rsidR="002661BA" w:rsidRDefault="00D972BC">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22CFC33D" w14:textId="77777777" w:rsidR="002661BA" w:rsidRDefault="002661BA">
            <w:pPr>
              <w:jc w:val="right"/>
              <w:rPr>
                <w:rFonts w:ascii="宋体"/>
              </w:rPr>
            </w:pPr>
          </w:p>
        </w:tc>
      </w:tr>
      <w:tr w:rsidR="002661BA" w14:paraId="22CFC34B" w14:textId="77777777">
        <w:tc>
          <w:tcPr>
            <w:tcW w:w="0" w:type="auto"/>
            <w:gridSpan w:val="3"/>
            <w:shd w:val="clear" w:color="auto" w:fill="DBDBDB"/>
            <w:tcMar>
              <w:top w:w="40" w:type="dxa"/>
              <w:left w:w="20" w:type="dxa"/>
              <w:bottom w:w="40" w:type="dxa"/>
              <w:right w:w="20" w:type="dxa"/>
            </w:tcMar>
            <w:vAlign w:val="bottom"/>
          </w:tcPr>
          <w:p w14:paraId="22CFC33F" w14:textId="77777777" w:rsidR="002661BA" w:rsidRDefault="00D972BC">
            <w:pPr>
              <w:textAlignment w:val="bottom"/>
            </w:pPr>
            <w:r>
              <w:rPr>
                <w:rFonts w:ascii="Arial" w:eastAsia="宋体" w:hAnsi="Arial" w:cs="Arial"/>
                <w:color w:val="000000"/>
                <w:sz w:val="18"/>
                <w:szCs w:val="18"/>
              </w:rPr>
              <w:t>Net income (loss) attributable to the equity method investments</w:t>
            </w:r>
          </w:p>
        </w:tc>
        <w:tc>
          <w:tcPr>
            <w:tcW w:w="0" w:type="auto"/>
            <w:shd w:val="clear" w:color="auto" w:fill="DBDBDB"/>
            <w:tcMar>
              <w:top w:w="40" w:type="dxa"/>
              <w:left w:w="20" w:type="dxa"/>
              <w:bottom w:w="40" w:type="dxa"/>
              <w:right w:w="0" w:type="dxa"/>
            </w:tcMar>
            <w:vAlign w:val="bottom"/>
          </w:tcPr>
          <w:p w14:paraId="22CFC340"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341" w14:textId="77777777" w:rsidR="002661BA" w:rsidRDefault="00D972BC">
            <w:pPr>
              <w:jc w:val="right"/>
              <w:textAlignment w:val="bottom"/>
            </w:pPr>
            <w:r>
              <w:rPr>
                <w:rFonts w:ascii="Arial" w:eastAsia="宋体" w:hAnsi="Arial" w:cs="Arial"/>
                <w:color w:val="000000"/>
                <w:sz w:val="18"/>
                <w:szCs w:val="18"/>
              </w:rPr>
              <w:t>1 </w:t>
            </w:r>
          </w:p>
        </w:tc>
        <w:tc>
          <w:tcPr>
            <w:tcW w:w="0" w:type="auto"/>
            <w:shd w:val="clear" w:color="auto" w:fill="DBDBDB"/>
            <w:tcMar>
              <w:top w:w="40" w:type="dxa"/>
              <w:left w:w="0" w:type="dxa"/>
              <w:bottom w:w="40" w:type="dxa"/>
              <w:right w:w="20" w:type="dxa"/>
            </w:tcMar>
            <w:vAlign w:val="bottom"/>
          </w:tcPr>
          <w:p w14:paraId="22CFC342"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343"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C344"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345" w14:textId="77777777" w:rsidR="002661BA" w:rsidRDefault="00D972BC">
            <w:pPr>
              <w:jc w:val="right"/>
              <w:textAlignment w:val="bottom"/>
            </w:pPr>
            <w:r>
              <w:rPr>
                <w:rFonts w:ascii="Arial" w:eastAsia="宋体" w:hAnsi="Arial" w:cs="Arial"/>
                <w:color w:val="000000"/>
                <w:sz w:val="18"/>
                <w:szCs w:val="18"/>
              </w:rPr>
              <w:t>1 </w:t>
            </w:r>
          </w:p>
        </w:tc>
        <w:tc>
          <w:tcPr>
            <w:tcW w:w="0" w:type="auto"/>
            <w:shd w:val="clear" w:color="auto" w:fill="DBDBDB"/>
            <w:tcMar>
              <w:top w:w="40" w:type="dxa"/>
              <w:left w:w="0" w:type="dxa"/>
              <w:bottom w:w="40" w:type="dxa"/>
              <w:right w:w="20" w:type="dxa"/>
            </w:tcMar>
            <w:vAlign w:val="bottom"/>
          </w:tcPr>
          <w:p w14:paraId="22CFC346"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347"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C348"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349" w14:textId="77777777" w:rsidR="002661BA" w:rsidRDefault="00D972BC">
            <w:pPr>
              <w:jc w:val="right"/>
              <w:textAlignment w:val="bottom"/>
            </w:pPr>
            <w:r>
              <w:rPr>
                <w:rFonts w:ascii="Arial" w:eastAsia="宋体" w:hAnsi="Arial" w:cs="Arial"/>
                <w:color w:val="000000"/>
                <w:sz w:val="18"/>
                <w:szCs w:val="18"/>
              </w:rPr>
              <w:t>1 </w:t>
            </w:r>
          </w:p>
        </w:tc>
        <w:tc>
          <w:tcPr>
            <w:tcW w:w="0" w:type="auto"/>
            <w:shd w:val="clear" w:color="auto" w:fill="DBDBDB"/>
            <w:tcMar>
              <w:top w:w="40" w:type="dxa"/>
              <w:left w:w="0" w:type="dxa"/>
              <w:bottom w:w="40" w:type="dxa"/>
              <w:right w:w="20" w:type="dxa"/>
            </w:tcMar>
            <w:vAlign w:val="bottom"/>
          </w:tcPr>
          <w:p w14:paraId="22CFC34A" w14:textId="77777777" w:rsidR="002661BA" w:rsidRDefault="002661BA">
            <w:pPr>
              <w:jc w:val="right"/>
              <w:rPr>
                <w:rFonts w:ascii="宋体"/>
              </w:rPr>
            </w:pPr>
          </w:p>
        </w:tc>
      </w:tr>
    </w:tbl>
    <w:p w14:paraId="22CFC34C" w14:textId="77777777" w:rsidR="002661BA" w:rsidRDefault="002661BA">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5863"/>
        <w:gridCol w:w="38"/>
        <w:gridCol w:w="122"/>
        <w:gridCol w:w="985"/>
        <w:gridCol w:w="37"/>
        <w:gridCol w:w="36"/>
        <w:gridCol w:w="36"/>
        <w:gridCol w:w="36"/>
        <w:gridCol w:w="122"/>
        <w:gridCol w:w="985"/>
        <w:gridCol w:w="37"/>
      </w:tblGrid>
      <w:tr w:rsidR="002661BA" w14:paraId="22CFC359" w14:textId="77777777">
        <w:tc>
          <w:tcPr>
            <w:tcW w:w="50" w:type="pct"/>
            <w:shd w:val="clear" w:color="auto" w:fill="auto"/>
            <w:vAlign w:val="bottom"/>
          </w:tcPr>
          <w:p w14:paraId="22CFC34D" w14:textId="77777777" w:rsidR="002661BA" w:rsidRDefault="002661BA">
            <w:pPr>
              <w:rPr>
                <w:rFonts w:ascii="宋体"/>
              </w:rPr>
            </w:pPr>
          </w:p>
        </w:tc>
        <w:tc>
          <w:tcPr>
            <w:tcW w:w="3556" w:type="pct"/>
            <w:shd w:val="clear" w:color="auto" w:fill="auto"/>
            <w:vAlign w:val="bottom"/>
          </w:tcPr>
          <w:p w14:paraId="22CFC34E" w14:textId="77777777" w:rsidR="002661BA" w:rsidRDefault="002661BA">
            <w:pPr>
              <w:rPr>
                <w:rFonts w:ascii="宋体"/>
              </w:rPr>
            </w:pPr>
          </w:p>
        </w:tc>
        <w:tc>
          <w:tcPr>
            <w:tcW w:w="5" w:type="pct"/>
            <w:shd w:val="clear" w:color="auto" w:fill="auto"/>
            <w:vAlign w:val="bottom"/>
          </w:tcPr>
          <w:p w14:paraId="22CFC34F" w14:textId="77777777" w:rsidR="002661BA" w:rsidRDefault="002661BA">
            <w:pPr>
              <w:rPr>
                <w:rFonts w:ascii="宋体"/>
              </w:rPr>
            </w:pPr>
          </w:p>
        </w:tc>
        <w:tc>
          <w:tcPr>
            <w:tcW w:w="50" w:type="pct"/>
            <w:shd w:val="clear" w:color="auto" w:fill="auto"/>
            <w:vAlign w:val="bottom"/>
          </w:tcPr>
          <w:p w14:paraId="22CFC350" w14:textId="77777777" w:rsidR="002661BA" w:rsidRDefault="002661BA">
            <w:pPr>
              <w:rPr>
                <w:rFonts w:ascii="宋体"/>
              </w:rPr>
            </w:pPr>
          </w:p>
        </w:tc>
        <w:tc>
          <w:tcPr>
            <w:tcW w:w="624" w:type="pct"/>
            <w:shd w:val="clear" w:color="auto" w:fill="auto"/>
            <w:vAlign w:val="bottom"/>
          </w:tcPr>
          <w:p w14:paraId="22CFC351" w14:textId="77777777" w:rsidR="002661BA" w:rsidRDefault="002661BA">
            <w:pPr>
              <w:rPr>
                <w:rFonts w:ascii="宋体"/>
              </w:rPr>
            </w:pPr>
          </w:p>
        </w:tc>
        <w:tc>
          <w:tcPr>
            <w:tcW w:w="5" w:type="pct"/>
            <w:shd w:val="clear" w:color="auto" w:fill="auto"/>
            <w:vAlign w:val="bottom"/>
          </w:tcPr>
          <w:p w14:paraId="22CFC352" w14:textId="77777777" w:rsidR="002661BA" w:rsidRDefault="002661BA">
            <w:pPr>
              <w:rPr>
                <w:rFonts w:ascii="宋体"/>
              </w:rPr>
            </w:pPr>
          </w:p>
        </w:tc>
        <w:tc>
          <w:tcPr>
            <w:tcW w:w="5" w:type="pct"/>
            <w:shd w:val="clear" w:color="auto" w:fill="auto"/>
            <w:vAlign w:val="bottom"/>
          </w:tcPr>
          <w:p w14:paraId="22CFC353" w14:textId="77777777" w:rsidR="002661BA" w:rsidRDefault="002661BA">
            <w:pPr>
              <w:rPr>
                <w:rFonts w:ascii="宋体"/>
              </w:rPr>
            </w:pPr>
          </w:p>
        </w:tc>
        <w:tc>
          <w:tcPr>
            <w:tcW w:w="19" w:type="pct"/>
            <w:shd w:val="clear" w:color="auto" w:fill="auto"/>
            <w:vAlign w:val="bottom"/>
          </w:tcPr>
          <w:p w14:paraId="22CFC354" w14:textId="77777777" w:rsidR="002661BA" w:rsidRDefault="002661BA">
            <w:pPr>
              <w:rPr>
                <w:rFonts w:ascii="宋体"/>
              </w:rPr>
            </w:pPr>
          </w:p>
        </w:tc>
        <w:tc>
          <w:tcPr>
            <w:tcW w:w="5" w:type="pct"/>
            <w:shd w:val="clear" w:color="auto" w:fill="auto"/>
            <w:vAlign w:val="bottom"/>
          </w:tcPr>
          <w:p w14:paraId="22CFC355" w14:textId="77777777" w:rsidR="002661BA" w:rsidRDefault="002661BA">
            <w:pPr>
              <w:rPr>
                <w:rFonts w:ascii="宋体"/>
              </w:rPr>
            </w:pPr>
          </w:p>
        </w:tc>
        <w:tc>
          <w:tcPr>
            <w:tcW w:w="50" w:type="pct"/>
            <w:shd w:val="clear" w:color="auto" w:fill="auto"/>
            <w:vAlign w:val="bottom"/>
          </w:tcPr>
          <w:p w14:paraId="22CFC356" w14:textId="77777777" w:rsidR="002661BA" w:rsidRDefault="002661BA">
            <w:pPr>
              <w:rPr>
                <w:rFonts w:ascii="宋体"/>
              </w:rPr>
            </w:pPr>
          </w:p>
        </w:tc>
        <w:tc>
          <w:tcPr>
            <w:tcW w:w="624" w:type="pct"/>
            <w:shd w:val="clear" w:color="auto" w:fill="auto"/>
            <w:vAlign w:val="bottom"/>
          </w:tcPr>
          <w:p w14:paraId="22CFC357" w14:textId="77777777" w:rsidR="002661BA" w:rsidRDefault="002661BA">
            <w:pPr>
              <w:rPr>
                <w:rFonts w:ascii="宋体"/>
              </w:rPr>
            </w:pPr>
          </w:p>
        </w:tc>
        <w:tc>
          <w:tcPr>
            <w:tcW w:w="5" w:type="pct"/>
            <w:shd w:val="clear" w:color="auto" w:fill="auto"/>
            <w:vAlign w:val="bottom"/>
          </w:tcPr>
          <w:p w14:paraId="22CFC358" w14:textId="77777777" w:rsidR="002661BA" w:rsidRDefault="002661BA">
            <w:pPr>
              <w:rPr>
                <w:rFonts w:ascii="宋体"/>
              </w:rPr>
            </w:pPr>
          </w:p>
        </w:tc>
      </w:tr>
      <w:tr w:rsidR="002661BA" w14:paraId="22CFC35C" w14:textId="77777777">
        <w:tc>
          <w:tcPr>
            <w:tcW w:w="0" w:type="auto"/>
            <w:gridSpan w:val="3"/>
            <w:shd w:val="clear" w:color="auto" w:fill="auto"/>
            <w:tcMar>
              <w:top w:w="0" w:type="dxa"/>
              <w:left w:w="20" w:type="dxa"/>
              <w:bottom w:w="0" w:type="dxa"/>
              <w:right w:w="20" w:type="dxa"/>
            </w:tcMar>
            <w:vAlign w:val="bottom"/>
          </w:tcPr>
          <w:p w14:paraId="22CFC35A"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C35B" w14:textId="77777777" w:rsidR="002661BA" w:rsidRDefault="00D972BC">
            <w:pPr>
              <w:jc w:val="center"/>
              <w:textAlignment w:val="bottom"/>
            </w:pPr>
            <w:r>
              <w:rPr>
                <w:rFonts w:ascii="Arial" w:eastAsia="宋体" w:hAnsi="Arial" w:cs="Arial"/>
                <w:b/>
                <w:bCs/>
                <w:color w:val="000000"/>
                <w:sz w:val="17"/>
                <w:szCs w:val="17"/>
              </w:rPr>
              <w:t>September 30,</w:t>
            </w:r>
          </w:p>
        </w:tc>
      </w:tr>
      <w:tr w:rsidR="002661BA" w14:paraId="22CFC361" w14:textId="77777777">
        <w:tc>
          <w:tcPr>
            <w:tcW w:w="0" w:type="auto"/>
            <w:gridSpan w:val="3"/>
            <w:shd w:val="clear" w:color="auto" w:fill="auto"/>
            <w:tcMar>
              <w:top w:w="0" w:type="dxa"/>
              <w:left w:w="20" w:type="dxa"/>
              <w:bottom w:w="0" w:type="dxa"/>
              <w:right w:w="20" w:type="dxa"/>
            </w:tcMar>
            <w:vAlign w:val="bottom"/>
          </w:tcPr>
          <w:p w14:paraId="22CFC35D"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35E"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35F" w14:textId="77777777" w:rsidR="002661BA" w:rsidRDefault="002661B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C360" w14:textId="77777777" w:rsidR="002661BA" w:rsidRDefault="00D972BC">
            <w:pPr>
              <w:jc w:val="center"/>
              <w:textAlignment w:val="bottom"/>
            </w:pPr>
            <w:r>
              <w:rPr>
                <w:rFonts w:ascii="Arial" w:eastAsia="宋体" w:hAnsi="Arial" w:cs="Arial"/>
                <w:b/>
                <w:bCs/>
                <w:color w:val="000000"/>
                <w:sz w:val="17"/>
                <w:szCs w:val="17"/>
              </w:rPr>
              <w:t>2020</w:t>
            </w:r>
          </w:p>
        </w:tc>
      </w:tr>
      <w:tr w:rsidR="002661BA" w14:paraId="22CFC364" w14:textId="77777777">
        <w:tc>
          <w:tcPr>
            <w:tcW w:w="0" w:type="auto"/>
            <w:gridSpan w:val="3"/>
            <w:shd w:val="clear" w:color="auto" w:fill="auto"/>
            <w:tcMar>
              <w:top w:w="0" w:type="dxa"/>
              <w:left w:w="20" w:type="dxa"/>
              <w:bottom w:w="0" w:type="dxa"/>
              <w:right w:w="20" w:type="dxa"/>
            </w:tcMar>
            <w:vAlign w:val="bottom"/>
          </w:tcPr>
          <w:p w14:paraId="22CFC362" w14:textId="77777777" w:rsidR="002661BA" w:rsidRDefault="002661B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2CFC363" w14:textId="77777777" w:rsidR="002661BA" w:rsidRDefault="00D972BC">
            <w:pPr>
              <w:jc w:val="center"/>
              <w:textAlignment w:val="bottom"/>
            </w:pPr>
            <w:r>
              <w:rPr>
                <w:rFonts w:ascii="Arial" w:eastAsia="宋体" w:hAnsi="Arial" w:cs="Arial"/>
                <w:b/>
                <w:bCs/>
                <w:color w:val="000000"/>
                <w:sz w:val="17"/>
                <w:szCs w:val="17"/>
              </w:rPr>
              <w:t>(In millions)</w:t>
            </w:r>
          </w:p>
        </w:tc>
      </w:tr>
      <w:tr w:rsidR="002661BA" w14:paraId="22CFC36D" w14:textId="77777777">
        <w:tc>
          <w:tcPr>
            <w:tcW w:w="0" w:type="auto"/>
            <w:gridSpan w:val="3"/>
            <w:shd w:val="clear" w:color="auto" w:fill="DBDBDB"/>
            <w:tcMar>
              <w:top w:w="40" w:type="dxa"/>
              <w:left w:w="20" w:type="dxa"/>
              <w:bottom w:w="40" w:type="dxa"/>
              <w:right w:w="20" w:type="dxa"/>
            </w:tcMar>
            <w:vAlign w:val="bottom"/>
          </w:tcPr>
          <w:p w14:paraId="22CFC365" w14:textId="77777777" w:rsidR="002661BA" w:rsidRDefault="00D972BC">
            <w:pPr>
              <w:textAlignment w:val="bottom"/>
            </w:pPr>
            <w:r>
              <w:rPr>
                <w:rFonts w:ascii="Arial" w:eastAsia="宋体" w:hAnsi="Arial" w:cs="Arial"/>
                <w:color w:val="000000"/>
                <w:sz w:val="18"/>
                <w:szCs w:val="18"/>
              </w:rPr>
              <w:t>Current assets</w:t>
            </w:r>
          </w:p>
        </w:tc>
        <w:tc>
          <w:tcPr>
            <w:tcW w:w="0" w:type="auto"/>
            <w:shd w:val="clear" w:color="auto" w:fill="DBDBDB"/>
            <w:tcMar>
              <w:top w:w="40" w:type="dxa"/>
              <w:left w:w="20" w:type="dxa"/>
              <w:bottom w:w="40" w:type="dxa"/>
              <w:right w:w="0" w:type="dxa"/>
            </w:tcMar>
            <w:vAlign w:val="bottom"/>
          </w:tcPr>
          <w:p w14:paraId="22CFC36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367" w14:textId="77777777" w:rsidR="002661BA" w:rsidRDefault="00D972BC">
            <w:pPr>
              <w:jc w:val="right"/>
              <w:textAlignment w:val="bottom"/>
            </w:pPr>
            <w:r>
              <w:rPr>
                <w:rFonts w:ascii="Arial" w:eastAsia="宋体" w:hAnsi="Arial" w:cs="Arial"/>
                <w:color w:val="000000"/>
                <w:sz w:val="18"/>
                <w:szCs w:val="18"/>
              </w:rPr>
              <w:t>76 </w:t>
            </w:r>
          </w:p>
        </w:tc>
        <w:tc>
          <w:tcPr>
            <w:tcW w:w="0" w:type="auto"/>
            <w:shd w:val="clear" w:color="auto" w:fill="DBDBDB"/>
            <w:tcMar>
              <w:top w:w="40" w:type="dxa"/>
              <w:left w:w="0" w:type="dxa"/>
              <w:bottom w:w="40" w:type="dxa"/>
              <w:right w:w="20" w:type="dxa"/>
            </w:tcMar>
            <w:vAlign w:val="bottom"/>
          </w:tcPr>
          <w:p w14:paraId="22CFC368"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369"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C36A"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36B" w14:textId="77777777" w:rsidR="002661BA" w:rsidRDefault="00D972BC">
            <w:pPr>
              <w:jc w:val="right"/>
              <w:textAlignment w:val="bottom"/>
            </w:pPr>
            <w:r>
              <w:rPr>
                <w:rFonts w:ascii="Arial" w:eastAsia="宋体" w:hAnsi="Arial" w:cs="Arial"/>
                <w:color w:val="000000"/>
                <w:sz w:val="18"/>
                <w:szCs w:val="18"/>
              </w:rPr>
              <w:t>31 </w:t>
            </w:r>
          </w:p>
        </w:tc>
        <w:tc>
          <w:tcPr>
            <w:tcW w:w="0" w:type="auto"/>
            <w:shd w:val="clear" w:color="auto" w:fill="DBDBDB"/>
            <w:tcMar>
              <w:top w:w="40" w:type="dxa"/>
              <w:left w:w="0" w:type="dxa"/>
              <w:bottom w:w="40" w:type="dxa"/>
              <w:right w:w="20" w:type="dxa"/>
            </w:tcMar>
            <w:vAlign w:val="bottom"/>
          </w:tcPr>
          <w:p w14:paraId="22CFC36C" w14:textId="77777777" w:rsidR="002661BA" w:rsidRDefault="002661BA">
            <w:pPr>
              <w:jc w:val="right"/>
              <w:rPr>
                <w:rFonts w:ascii="宋体"/>
              </w:rPr>
            </w:pPr>
          </w:p>
        </w:tc>
      </w:tr>
      <w:tr w:rsidR="002661BA" w14:paraId="22CFC376" w14:textId="77777777">
        <w:tc>
          <w:tcPr>
            <w:tcW w:w="0" w:type="auto"/>
            <w:gridSpan w:val="3"/>
            <w:shd w:val="clear" w:color="auto" w:fill="FFFFFF"/>
            <w:tcMar>
              <w:top w:w="40" w:type="dxa"/>
              <w:left w:w="20" w:type="dxa"/>
              <w:bottom w:w="40" w:type="dxa"/>
              <w:right w:w="20" w:type="dxa"/>
            </w:tcMar>
            <w:vAlign w:val="bottom"/>
          </w:tcPr>
          <w:p w14:paraId="22CFC36E" w14:textId="77777777" w:rsidR="002661BA" w:rsidRDefault="00D972BC">
            <w:pPr>
              <w:textAlignment w:val="bottom"/>
            </w:pPr>
            <w:r>
              <w:rPr>
                <w:rFonts w:ascii="Arial" w:eastAsia="宋体" w:hAnsi="Arial" w:cs="Arial"/>
                <w:color w:val="000000"/>
                <w:sz w:val="18"/>
                <w:szCs w:val="18"/>
              </w:rPr>
              <w:t>Noncurrent assets</w:t>
            </w:r>
          </w:p>
        </w:tc>
        <w:tc>
          <w:tcPr>
            <w:tcW w:w="0" w:type="auto"/>
            <w:shd w:val="clear" w:color="auto" w:fill="FFFFFF"/>
            <w:tcMar>
              <w:top w:w="40" w:type="dxa"/>
              <w:left w:w="20" w:type="dxa"/>
              <w:bottom w:w="40" w:type="dxa"/>
              <w:right w:w="0" w:type="dxa"/>
            </w:tcMar>
            <w:vAlign w:val="bottom"/>
          </w:tcPr>
          <w:p w14:paraId="22CFC36F"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370" w14:textId="77777777" w:rsidR="002661BA" w:rsidRDefault="00D972BC">
            <w:pPr>
              <w:jc w:val="right"/>
              <w:textAlignment w:val="bottom"/>
            </w:pPr>
            <w:r>
              <w:rPr>
                <w:rFonts w:ascii="Arial" w:eastAsia="宋体" w:hAnsi="Arial" w:cs="Arial"/>
                <w:color w:val="000000"/>
                <w:sz w:val="18"/>
                <w:szCs w:val="18"/>
              </w:rPr>
              <w:t>20 </w:t>
            </w:r>
          </w:p>
        </w:tc>
        <w:tc>
          <w:tcPr>
            <w:tcW w:w="0" w:type="auto"/>
            <w:shd w:val="clear" w:color="auto" w:fill="FFFFFF"/>
            <w:tcMar>
              <w:top w:w="40" w:type="dxa"/>
              <w:left w:w="0" w:type="dxa"/>
              <w:bottom w:w="40" w:type="dxa"/>
              <w:right w:w="20" w:type="dxa"/>
            </w:tcMar>
            <w:vAlign w:val="bottom"/>
          </w:tcPr>
          <w:p w14:paraId="22CFC37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372"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C37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374" w14:textId="77777777" w:rsidR="002661BA" w:rsidRDefault="00D972BC">
            <w:pPr>
              <w:jc w:val="right"/>
              <w:textAlignment w:val="bottom"/>
            </w:pPr>
            <w:r>
              <w:rPr>
                <w:rFonts w:ascii="Arial" w:eastAsia="宋体" w:hAnsi="Arial" w:cs="Arial"/>
                <w:color w:val="000000"/>
                <w:sz w:val="18"/>
                <w:szCs w:val="18"/>
              </w:rPr>
              <w:t>21 </w:t>
            </w:r>
          </w:p>
        </w:tc>
        <w:tc>
          <w:tcPr>
            <w:tcW w:w="0" w:type="auto"/>
            <w:shd w:val="clear" w:color="auto" w:fill="FFFFFF"/>
            <w:tcMar>
              <w:top w:w="40" w:type="dxa"/>
              <w:left w:w="0" w:type="dxa"/>
              <w:bottom w:w="40" w:type="dxa"/>
              <w:right w:w="20" w:type="dxa"/>
            </w:tcMar>
            <w:vAlign w:val="bottom"/>
          </w:tcPr>
          <w:p w14:paraId="22CFC375" w14:textId="77777777" w:rsidR="002661BA" w:rsidRDefault="002661BA">
            <w:pPr>
              <w:jc w:val="right"/>
              <w:rPr>
                <w:rFonts w:ascii="宋体"/>
              </w:rPr>
            </w:pPr>
          </w:p>
        </w:tc>
      </w:tr>
      <w:tr w:rsidR="002661BA" w14:paraId="22CFC37F" w14:textId="77777777">
        <w:tc>
          <w:tcPr>
            <w:tcW w:w="0" w:type="auto"/>
            <w:gridSpan w:val="3"/>
            <w:shd w:val="clear" w:color="auto" w:fill="DBDBDB"/>
            <w:tcMar>
              <w:top w:w="40" w:type="dxa"/>
              <w:left w:w="20" w:type="dxa"/>
              <w:bottom w:w="40" w:type="dxa"/>
              <w:right w:w="20" w:type="dxa"/>
            </w:tcMar>
            <w:vAlign w:val="bottom"/>
          </w:tcPr>
          <w:p w14:paraId="22CFC377" w14:textId="77777777" w:rsidR="002661BA" w:rsidRDefault="00D972BC">
            <w:pPr>
              <w:textAlignment w:val="bottom"/>
            </w:pPr>
            <w:r>
              <w:rPr>
                <w:rFonts w:ascii="Arial" w:eastAsia="宋体" w:hAnsi="Arial" w:cs="Arial"/>
                <w:color w:val="000000"/>
                <w:sz w:val="18"/>
                <w:szCs w:val="18"/>
              </w:rPr>
              <w:t>Current liabilities</w:t>
            </w:r>
          </w:p>
        </w:tc>
        <w:tc>
          <w:tcPr>
            <w:tcW w:w="0" w:type="auto"/>
            <w:shd w:val="clear" w:color="auto" w:fill="DBDBDB"/>
            <w:tcMar>
              <w:top w:w="40" w:type="dxa"/>
              <w:left w:w="20" w:type="dxa"/>
              <w:bottom w:w="40" w:type="dxa"/>
              <w:right w:w="0" w:type="dxa"/>
            </w:tcMar>
            <w:vAlign w:val="bottom"/>
          </w:tcPr>
          <w:p w14:paraId="22CFC378"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379" w14:textId="77777777" w:rsidR="002661BA" w:rsidRDefault="00D972BC">
            <w:pPr>
              <w:jc w:val="right"/>
              <w:textAlignment w:val="bottom"/>
            </w:pPr>
            <w:r>
              <w:rPr>
                <w:rFonts w:ascii="Arial" w:eastAsia="宋体" w:hAnsi="Arial" w:cs="Arial"/>
                <w:color w:val="000000"/>
                <w:sz w:val="18"/>
                <w:szCs w:val="18"/>
              </w:rPr>
              <w:t>26 </w:t>
            </w:r>
          </w:p>
        </w:tc>
        <w:tc>
          <w:tcPr>
            <w:tcW w:w="0" w:type="auto"/>
            <w:shd w:val="clear" w:color="auto" w:fill="DBDBDB"/>
            <w:tcMar>
              <w:top w:w="40" w:type="dxa"/>
              <w:left w:w="0" w:type="dxa"/>
              <w:bottom w:w="40" w:type="dxa"/>
              <w:right w:w="20" w:type="dxa"/>
            </w:tcMar>
            <w:vAlign w:val="bottom"/>
          </w:tcPr>
          <w:p w14:paraId="22CFC37A"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37B"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C37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37D" w14:textId="77777777" w:rsidR="002661BA" w:rsidRDefault="00D972BC">
            <w:pPr>
              <w:jc w:val="right"/>
              <w:textAlignment w:val="bottom"/>
            </w:pPr>
            <w:r>
              <w:rPr>
                <w:rFonts w:ascii="Arial" w:eastAsia="宋体" w:hAnsi="Arial" w:cs="Arial"/>
                <w:color w:val="000000"/>
                <w:sz w:val="18"/>
                <w:szCs w:val="18"/>
              </w:rPr>
              <w:t>8 </w:t>
            </w:r>
          </w:p>
        </w:tc>
        <w:tc>
          <w:tcPr>
            <w:tcW w:w="0" w:type="auto"/>
            <w:shd w:val="clear" w:color="auto" w:fill="DBDBDB"/>
            <w:tcMar>
              <w:top w:w="40" w:type="dxa"/>
              <w:left w:w="0" w:type="dxa"/>
              <w:bottom w:w="40" w:type="dxa"/>
              <w:right w:w="20" w:type="dxa"/>
            </w:tcMar>
            <w:vAlign w:val="bottom"/>
          </w:tcPr>
          <w:p w14:paraId="22CFC37E" w14:textId="77777777" w:rsidR="002661BA" w:rsidRDefault="002661BA">
            <w:pPr>
              <w:jc w:val="right"/>
              <w:rPr>
                <w:rFonts w:ascii="宋体"/>
              </w:rPr>
            </w:pPr>
          </w:p>
        </w:tc>
      </w:tr>
      <w:tr w:rsidR="002661BA" w14:paraId="22CFC388" w14:textId="77777777">
        <w:tc>
          <w:tcPr>
            <w:tcW w:w="0" w:type="auto"/>
            <w:gridSpan w:val="3"/>
            <w:shd w:val="clear" w:color="auto" w:fill="FFFFFF"/>
            <w:tcMar>
              <w:top w:w="40" w:type="dxa"/>
              <w:left w:w="20" w:type="dxa"/>
              <w:bottom w:w="40" w:type="dxa"/>
              <w:right w:w="20" w:type="dxa"/>
            </w:tcMar>
            <w:vAlign w:val="bottom"/>
          </w:tcPr>
          <w:p w14:paraId="22CFC380" w14:textId="77777777" w:rsidR="002661BA" w:rsidRDefault="00D972BC">
            <w:pPr>
              <w:textAlignment w:val="bottom"/>
            </w:pPr>
            <w:r>
              <w:rPr>
                <w:rFonts w:ascii="Arial" w:eastAsia="宋体" w:hAnsi="Arial" w:cs="Arial"/>
                <w:color w:val="000000"/>
                <w:sz w:val="18"/>
                <w:szCs w:val="18"/>
              </w:rPr>
              <w:t>Noncurrent liabilities</w:t>
            </w:r>
          </w:p>
        </w:tc>
        <w:tc>
          <w:tcPr>
            <w:tcW w:w="0" w:type="auto"/>
            <w:shd w:val="clear" w:color="auto" w:fill="FFFFFF"/>
            <w:tcMar>
              <w:top w:w="40" w:type="dxa"/>
              <w:left w:w="20" w:type="dxa"/>
              <w:bottom w:w="40" w:type="dxa"/>
              <w:right w:w="0" w:type="dxa"/>
            </w:tcMar>
            <w:vAlign w:val="bottom"/>
          </w:tcPr>
          <w:p w14:paraId="22CFC381"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382" w14:textId="77777777" w:rsidR="002661BA" w:rsidRDefault="00D972BC">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22CFC38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384"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C385"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386"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387" w14:textId="77777777" w:rsidR="002661BA" w:rsidRDefault="002661BA">
            <w:pPr>
              <w:jc w:val="right"/>
              <w:rPr>
                <w:rFonts w:ascii="宋体"/>
              </w:rPr>
            </w:pPr>
          </w:p>
        </w:tc>
      </w:tr>
      <w:tr w:rsidR="002661BA" w14:paraId="22CFC38D" w14:textId="77777777">
        <w:trPr>
          <w:hidden/>
        </w:trPr>
        <w:tc>
          <w:tcPr>
            <w:tcW w:w="0" w:type="auto"/>
            <w:gridSpan w:val="3"/>
            <w:shd w:val="clear" w:color="auto" w:fill="auto"/>
            <w:vAlign w:val="bottom"/>
          </w:tcPr>
          <w:p w14:paraId="22CFC389" w14:textId="77777777" w:rsidR="002661BA" w:rsidRDefault="002661BA">
            <w:pPr>
              <w:rPr>
                <w:rFonts w:ascii="宋体"/>
                <w:vanish/>
              </w:rPr>
            </w:pPr>
          </w:p>
        </w:tc>
        <w:tc>
          <w:tcPr>
            <w:tcW w:w="0" w:type="auto"/>
            <w:gridSpan w:val="3"/>
            <w:shd w:val="clear" w:color="auto" w:fill="auto"/>
            <w:vAlign w:val="bottom"/>
          </w:tcPr>
          <w:p w14:paraId="22CFC38A" w14:textId="77777777" w:rsidR="002661BA" w:rsidRDefault="002661BA">
            <w:pPr>
              <w:rPr>
                <w:rFonts w:ascii="宋体"/>
                <w:vanish/>
              </w:rPr>
            </w:pPr>
          </w:p>
        </w:tc>
        <w:tc>
          <w:tcPr>
            <w:tcW w:w="0" w:type="auto"/>
            <w:gridSpan w:val="3"/>
            <w:shd w:val="clear" w:color="auto" w:fill="auto"/>
            <w:vAlign w:val="bottom"/>
          </w:tcPr>
          <w:p w14:paraId="22CFC38B" w14:textId="77777777" w:rsidR="002661BA" w:rsidRDefault="002661BA">
            <w:pPr>
              <w:rPr>
                <w:rFonts w:ascii="宋体"/>
                <w:vanish/>
              </w:rPr>
            </w:pPr>
          </w:p>
        </w:tc>
        <w:tc>
          <w:tcPr>
            <w:tcW w:w="0" w:type="auto"/>
            <w:gridSpan w:val="3"/>
            <w:shd w:val="clear" w:color="auto" w:fill="auto"/>
            <w:vAlign w:val="bottom"/>
          </w:tcPr>
          <w:p w14:paraId="22CFC38C" w14:textId="77777777" w:rsidR="002661BA" w:rsidRDefault="002661BA">
            <w:pPr>
              <w:rPr>
                <w:rFonts w:ascii="宋体"/>
                <w:vanish/>
              </w:rPr>
            </w:pPr>
          </w:p>
        </w:tc>
      </w:tr>
      <w:tr w:rsidR="002661BA" w14:paraId="22CFC396" w14:textId="77777777">
        <w:tc>
          <w:tcPr>
            <w:tcW w:w="0" w:type="auto"/>
            <w:gridSpan w:val="3"/>
            <w:shd w:val="clear" w:color="auto" w:fill="DBDBDB"/>
            <w:tcMar>
              <w:top w:w="40" w:type="dxa"/>
              <w:left w:w="20" w:type="dxa"/>
              <w:bottom w:w="40" w:type="dxa"/>
              <w:right w:w="20" w:type="dxa"/>
            </w:tcMar>
            <w:vAlign w:val="bottom"/>
          </w:tcPr>
          <w:p w14:paraId="22CFC38E" w14:textId="77777777" w:rsidR="002661BA" w:rsidRDefault="00D972BC">
            <w:pPr>
              <w:textAlignment w:val="bottom"/>
            </w:pPr>
            <w:r>
              <w:rPr>
                <w:rFonts w:ascii="Arial" w:eastAsia="宋体" w:hAnsi="Arial" w:cs="Arial"/>
                <w:color w:val="000000"/>
                <w:sz w:val="18"/>
                <w:szCs w:val="18"/>
              </w:rPr>
              <w:t>Noncontrolling interests</w:t>
            </w:r>
          </w:p>
        </w:tc>
        <w:tc>
          <w:tcPr>
            <w:tcW w:w="0" w:type="auto"/>
            <w:shd w:val="clear" w:color="auto" w:fill="DBDBDB"/>
            <w:tcMar>
              <w:top w:w="40" w:type="dxa"/>
              <w:left w:w="20" w:type="dxa"/>
              <w:bottom w:w="40" w:type="dxa"/>
              <w:right w:w="0" w:type="dxa"/>
            </w:tcMar>
            <w:vAlign w:val="bottom"/>
          </w:tcPr>
          <w:p w14:paraId="22CFC38F"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390" w14:textId="77777777" w:rsidR="002661BA" w:rsidRDefault="00D972BC">
            <w:pPr>
              <w:jc w:val="right"/>
              <w:textAlignment w:val="bottom"/>
            </w:pPr>
            <w:r>
              <w:rPr>
                <w:rFonts w:ascii="Arial" w:eastAsia="宋体" w:hAnsi="Arial" w:cs="Arial"/>
                <w:color w:val="000000"/>
                <w:sz w:val="18"/>
                <w:szCs w:val="18"/>
              </w:rPr>
              <w:t>6 </w:t>
            </w:r>
          </w:p>
        </w:tc>
        <w:tc>
          <w:tcPr>
            <w:tcW w:w="0" w:type="auto"/>
            <w:shd w:val="clear" w:color="auto" w:fill="DBDBDB"/>
            <w:tcMar>
              <w:top w:w="40" w:type="dxa"/>
              <w:left w:w="0" w:type="dxa"/>
              <w:bottom w:w="40" w:type="dxa"/>
              <w:right w:w="20" w:type="dxa"/>
            </w:tcMar>
            <w:vAlign w:val="bottom"/>
          </w:tcPr>
          <w:p w14:paraId="22CFC391"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392"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C39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394" w14:textId="77777777" w:rsidR="002661BA" w:rsidRDefault="00D972BC">
            <w:pPr>
              <w:jc w:val="right"/>
              <w:textAlignment w:val="bottom"/>
            </w:pPr>
            <w:r>
              <w:rPr>
                <w:rFonts w:ascii="Arial" w:eastAsia="宋体" w:hAnsi="Arial" w:cs="Arial"/>
                <w:color w:val="000000"/>
                <w:sz w:val="18"/>
                <w:szCs w:val="18"/>
              </w:rPr>
              <w:t>1 </w:t>
            </w:r>
          </w:p>
        </w:tc>
        <w:tc>
          <w:tcPr>
            <w:tcW w:w="0" w:type="auto"/>
            <w:shd w:val="clear" w:color="auto" w:fill="DBDBDB"/>
            <w:tcMar>
              <w:top w:w="40" w:type="dxa"/>
              <w:left w:w="0" w:type="dxa"/>
              <w:bottom w:w="40" w:type="dxa"/>
              <w:right w:w="20" w:type="dxa"/>
            </w:tcMar>
            <w:vAlign w:val="bottom"/>
          </w:tcPr>
          <w:p w14:paraId="22CFC395" w14:textId="77777777" w:rsidR="002661BA" w:rsidRDefault="002661BA">
            <w:pPr>
              <w:jc w:val="right"/>
              <w:rPr>
                <w:rFonts w:ascii="宋体"/>
              </w:rPr>
            </w:pPr>
          </w:p>
        </w:tc>
      </w:tr>
    </w:tbl>
    <w:p w14:paraId="22CFC397" w14:textId="77777777" w:rsidR="002661BA" w:rsidRDefault="002661BA">
      <w:pPr>
        <w:jc w:val="both"/>
      </w:pPr>
    </w:p>
    <w:p w14:paraId="22CFC398" w14:textId="77777777" w:rsidR="002661BA" w:rsidRDefault="00D972BC">
      <w:pPr>
        <w:ind w:firstLine="270"/>
      </w:pPr>
      <w:r>
        <w:rPr>
          <w:rFonts w:ascii="Arial" w:eastAsia="宋体" w:hAnsi="Arial" w:cs="Arial"/>
          <w:b/>
          <w:bCs/>
          <w:i/>
          <w:iCs/>
          <w:color w:val="000000"/>
          <w:sz w:val="20"/>
          <w:szCs w:val="20"/>
        </w:rPr>
        <w:t>Equity investments without readily determinable fair values</w:t>
      </w:r>
    </w:p>
    <w:p w14:paraId="22CFC399" w14:textId="77777777" w:rsidR="002661BA" w:rsidRDefault="002661BA">
      <w:pPr>
        <w:ind w:firstLine="540"/>
        <w:jc w:val="both"/>
      </w:pPr>
    </w:p>
    <w:p w14:paraId="22CFC39A" w14:textId="77777777" w:rsidR="002661BA" w:rsidRDefault="00D972BC">
      <w:pPr>
        <w:spacing w:after="120"/>
        <w:ind w:firstLine="540"/>
        <w:jc w:val="both"/>
      </w:pPr>
      <w:r>
        <w:rPr>
          <w:rFonts w:ascii="Arial" w:eastAsia="宋体" w:hAnsi="Arial" w:cs="Arial"/>
          <w:color w:val="000000"/>
          <w:sz w:val="20"/>
          <w:szCs w:val="20"/>
        </w:rPr>
        <w:t>The following table summarizes the total carrying value related to equity investments without readily determinable fair values still held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863"/>
        <w:gridCol w:w="39"/>
        <w:gridCol w:w="121"/>
        <w:gridCol w:w="986"/>
        <w:gridCol w:w="36"/>
        <w:gridCol w:w="36"/>
        <w:gridCol w:w="36"/>
        <w:gridCol w:w="36"/>
        <w:gridCol w:w="121"/>
        <w:gridCol w:w="986"/>
        <w:gridCol w:w="36"/>
      </w:tblGrid>
      <w:tr w:rsidR="002661BA" w14:paraId="22CFC3A7" w14:textId="77777777">
        <w:tc>
          <w:tcPr>
            <w:tcW w:w="50" w:type="pct"/>
            <w:shd w:val="clear" w:color="auto" w:fill="auto"/>
            <w:vAlign w:val="bottom"/>
          </w:tcPr>
          <w:p w14:paraId="22CFC39B" w14:textId="77777777" w:rsidR="002661BA" w:rsidRDefault="002661BA">
            <w:pPr>
              <w:rPr>
                <w:rFonts w:ascii="宋体"/>
              </w:rPr>
            </w:pPr>
          </w:p>
        </w:tc>
        <w:tc>
          <w:tcPr>
            <w:tcW w:w="3556" w:type="pct"/>
            <w:shd w:val="clear" w:color="auto" w:fill="auto"/>
            <w:vAlign w:val="bottom"/>
          </w:tcPr>
          <w:p w14:paraId="22CFC39C" w14:textId="77777777" w:rsidR="002661BA" w:rsidRDefault="002661BA">
            <w:pPr>
              <w:rPr>
                <w:rFonts w:ascii="宋体"/>
              </w:rPr>
            </w:pPr>
          </w:p>
        </w:tc>
        <w:tc>
          <w:tcPr>
            <w:tcW w:w="5" w:type="pct"/>
            <w:shd w:val="clear" w:color="auto" w:fill="auto"/>
            <w:vAlign w:val="bottom"/>
          </w:tcPr>
          <w:p w14:paraId="22CFC39D" w14:textId="77777777" w:rsidR="002661BA" w:rsidRDefault="002661BA">
            <w:pPr>
              <w:rPr>
                <w:rFonts w:ascii="宋体"/>
              </w:rPr>
            </w:pPr>
          </w:p>
        </w:tc>
        <w:tc>
          <w:tcPr>
            <w:tcW w:w="50" w:type="pct"/>
            <w:shd w:val="clear" w:color="auto" w:fill="auto"/>
            <w:vAlign w:val="bottom"/>
          </w:tcPr>
          <w:p w14:paraId="22CFC39E" w14:textId="77777777" w:rsidR="002661BA" w:rsidRDefault="002661BA">
            <w:pPr>
              <w:rPr>
                <w:rFonts w:ascii="宋体"/>
              </w:rPr>
            </w:pPr>
          </w:p>
        </w:tc>
        <w:tc>
          <w:tcPr>
            <w:tcW w:w="624" w:type="pct"/>
            <w:shd w:val="clear" w:color="auto" w:fill="auto"/>
            <w:vAlign w:val="bottom"/>
          </w:tcPr>
          <w:p w14:paraId="22CFC39F" w14:textId="77777777" w:rsidR="002661BA" w:rsidRDefault="002661BA">
            <w:pPr>
              <w:rPr>
                <w:rFonts w:ascii="宋体"/>
              </w:rPr>
            </w:pPr>
          </w:p>
        </w:tc>
        <w:tc>
          <w:tcPr>
            <w:tcW w:w="5" w:type="pct"/>
            <w:shd w:val="clear" w:color="auto" w:fill="auto"/>
            <w:vAlign w:val="bottom"/>
          </w:tcPr>
          <w:p w14:paraId="22CFC3A0" w14:textId="77777777" w:rsidR="002661BA" w:rsidRDefault="002661BA">
            <w:pPr>
              <w:rPr>
                <w:rFonts w:ascii="宋体"/>
              </w:rPr>
            </w:pPr>
          </w:p>
        </w:tc>
        <w:tc>
          <w:tcPr>
            <w:tcW w:w="5" w:type="pct"/>
            <w:shd w:val="clear" w:color="auto" w:fill="auto"/>
            <w:vAlign w:val="bottom"/>
          </w:tcPr>
          <w:p w14:paraId="22CFC3A1" w14:textId="77777777" w:rsidR="002661BA" w:rsidRDefault="002661BA">
            <w:pPr>
              <w:rPr>
                <w:rFonts w:ascii="宋体"/>
              </w:rPr>
            </w:pPr>
          </w:p>
        </w:tc>
        <w:tc>
          <w:tcPr>
            <w:tcW w:w="19" w:type="pct"/>
            <w:shd w:val="clear" w:color="auto" w:fill="auto"/>
            <w:vAlign w:val="bottom"/>
          </w:tcPr>
          <w:p w14:paraId="22CFC3A2" w14:textId="77777777" w:rsidR="002661BA" w:rsidRDefault="002661BA">
            <w:pPr>
              <w:rPr>
                <w:rFonts w:ascii="宋体"/>
              </w:rPr>
            </w:pPr>
          </w:p>
        </w:tc>
        <w:tc>
          <w:tcPr>
            <w:tcW w:w="5" w:type="pct"/>
            <w:shd w:val="clear" w:color="auto" w:fill="auto"/>
            <w:vAlign w:val="bottom"/>
          </w:tcPr>
          <w:p w14:paraId="22CFC3A3" w14:textId="77777777" w:rsidR="002661BA" w:rsidRDefault="002661BA">
            <w:pPr>
              <w:rPr>
                <w:rFonts w:ascii="宋体"/>
              </w:rPr>
            </w:pPr>
          </w:p>
        </w:tc>
        <w:tc>
          <w:tcPr>
            <w:tcW w:w="50" w:type="pct"/>
            <w:shd w:val="clear" w:color="auto" w:fill="auto"/>
            <w:vAlign w:val="bottom"/>
          </w:tcPr>
          <w:p w14:paraId="22CFC3A4" w14:textId="77777777" w:rsidR="002661BA" w:rsidRDefault="002661BA">
            <w:pPr>
              <w:rPr>
                <w:rFonts w:ascii="宋体"/>
              </w:rPr>
            </w:pPr>
          </w:p>
        </w:tc>
        <w:tc>
          <w:tcPr>
            <w:tcW w:w="624" w:type="pct"/>
            <w:shd w:val="clear" w:color="auto" w:fill="auto"/>
            <w:vAlign w:val="bottom"/>
          </w:tcPr>
          <w:p w14:paraId="22CFC3A5" w14:textId="77777777" w:rsidR="002661BA" w:rsidRDefault="002661BA">
            <w:pPr>
              <w:rPr>
                <w:rFonts w:ascii="宋体"/>
              </w:rPr>
            </w:pPr>
          </w:p>
        </w:tc>
        <w:tc>
          <w:tcPr>
            <w:tcW w:w="5" w:type="pct"/>
            <w:shd w:val="clear" w:color="auto" w:fill="auto"/>
            <w:vAlign w:val="bottom"/>
          </w:tcPr>
          <w:p w14:paraId="22CFC3A6" w14:textId="77777777" w:rsidR="002661BA" w:rsidRDefault="002661BA">
            <w:pPr>
              <w:rPr>
                <w:rFonts w:ascii="宋体"/>
              </w:rPr>
            </w:pPr>
          </w:p>
        </w:tc>
      </w:tr>
      <w:tr w:rsidR="002661BA" w14:paraId="22CFC3AA" w14:textId="77777777">
        <w:tc>
          <w:tcPr>
            <w:tcW w:w="0" w:type="auto"/>
            <w:gridSpan w:val="3"/>
            <w:shd w:val="clear" w:color="auto" w:fill="auto"/>
            <w:tcMar>
              <w:top w:w="0" w:type="dxa"/>
              <w:left w:w="20" w:type="dxa"/>
              <w:bottom w:w="0" w:type="dxa"/>
              <w:right w:w="20" w:type="dxa"/>
            </w:tcMar>
            <w:vAlign w:val="bottom"/>
          </w:tcPr>
          <w:p w14:paraId="22CFC3A8"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C3A9"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C3AF" w14:textId="77777777">
        <w:tc>
          <w:tcPr>
            <w:tcW w:w="0" w:type="auto"/>
            <w:gridSpan w:val="3"/>
            <w:shd w:val="clear" w:color="auto" w:fill="auto"/>
            <w:tcMar>
              <w:top w:w="0" w:type="dxa"/>
              <w:left w:w="20" w:type="dxa"/>
              <w:bottom w:w="0" w:type="dxa"/>
              <w:right w:w="20" w:type="dxa"/>
            </w:tcMar>
            <w:vAlign w:val="bottom"/>
          </w:tcPr>
          <w:p w14:paraId="22CFC3AB"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3AC"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3AD"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3AE" w14:textId="77777777" w:rsidR="002661BA" w:rsidRDefault="00D972BC">
            <w:pPr>
              <w:jc w:val="center"/>
              <w:textAlignment w:val="bottom"/>
            </w:pPr>
            <w:r>
              <w:rPr>
                <w:rFonts w:ascii="Arial" w:eastAsia="宋体" w:hAnsi="Arial" w:cs="Arial"/>
                <w:b/>
                <w:bCs/>
                <w:color w:val="000000"/>
                <w:sz w:val="17"/>
                <w:szCs w:val="17"/>
              </w:rPr>
              <w:t>2020</w:t>
            </w:r>
          </w:p>
        </w:tc>
      </w:tr>
      <w:tr w:rsidR="002661BA" w14:paraId="22CFC3B8" w14:textId="77777777">
        <w:tc>
          <w:tcPr>
            <w:tcW w:w="0" w:type="auto"/>
            <w:gridSpan w:val="3"/>
            <w:shd w:val="clear" w:color="auto" w:fill="E2E2E2"/>
            <w:tcMar>
              <w:top w:w="40" w:type="dxa"/>
              <w:left w:w="20" w:type="dxa"/>
              <w:bottom w:w="40" w:type="dxa"/>
              <w:right w:w="20" w:type="dxa"/>
            </w:tcMar>
            <w:vAlign w:val="bottom"/>
          </w:tcPr>
          <w:p w14:paraId="22CFC3B0" w14:textId="77777777" w:rsidR="002661BA" w:rsidRDefault="00D972BC">
            <w:pPr>
              <w:textAlignment w:val="bottom"/>
            </w:pPr>
            <w:r>
              <w:rPr>
                <w:rFonts w:ascii="Arial" w:eastAsia="宋体" w:hAnsi="Arial" w:cs="Arial"/>
                <w:color w:val="000000"/>
                <w:sz w:val="18"/>
                <w:szCs w:val="18"/>
              </w:rPr>
              <w:t>Carrying value, beginning of period</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C3B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3B2" w14:textId="77777777" w:rsidR="002661BA" w:rsidRDefault="00D972BC">
            <w:pPr>
              <w:jc w:val="right"/>
              <w:textAlignment w:val="bottom"/>
            </w:pPr>
            <w:r>
              <w:rPr>
                <w:rFonts w:ascii="Arial" w:eastAsia="宋体" w:hAnsi="Arial" w:cs="Arial"/>
                <w:color w:val="000000"/>
                <w:sz w:val="18"/>
                <w:szCs w:val="18"/>
              </w:rPr>
              <w:t>539 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3B3"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3B4"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3B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3B6" w14:textId="77777777" w:rsidR="002661BA" w:rsidRDefault="00D972BC">
            <w:pPr>
              <w:jc w:val="right"/>
              <w:textAlignment w:val="bottom"/>
            </w:pPr>
            <w:r>
              <w:rPr>
                <w:rFonts w:ascii="Arial" w:eastAsia="宋体" w:hAnsi="Arial" w:cs="Arial"/>
                <w:color w:val="000000"/>
                <w:sz w:val="18"/>
                <w:szCs w:val="18"/>
              </w:rPr>
              <w:t>307 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3B7" w14:textId="77777777" w:rsidR="002661BA" w:rsidRDefault="002661BA">
            <w:pPr>
              <w:jc w:val="right"/>
              <w:rPr>
                <w:rFonts w:ascii="宋体"/>
              </w:rPr>
            </w:pPr>
          </w:p>
        </w:tc>
      </w:tr>
      <w:tr w:rsidR="002661BA" w14:paraId="22CFC3BF" w14:textId="77777777">
        <w:tc>
          <w:tcPr>
            <w:tcW w:w="0" w:type="auto"/>
            <w:gridSpan w:val="3"/>
            <w:shd w:val="clear" w:color="auto" w:fill="FFFFFF"/>
            <w:tcMar>
              <w:top w:w="40" w:type="dxa"/>
              <w:left w:w="155" w:type="dxa"/>
              <w:bottom w:w="40" w:type="dxa"/>
              <w:right w:w="20" w:type="dxa"/>
            </w:tcMar>
            <w:vAlign w:val="bottom"/>
          </w:tcPr>
          <w:p w14:paraId="22CFC3B9" w14:textId="77777777" w:rsidR="002661BA" w:rsidRDefault="00D972BC">
            <w:pPr>
              <w:textAlignment w:val="bottom"/>
            </w:pPr>
            <w:r>
              <w:rPr>
                <w:rFonts w:ascii="Arial" w:eastAsia="宋体" w:hAnsi="Arial" w:cs="Arial"/>
                <w:color w:val="000000"/>
                <w:sz w:val="18"/>
                <w:szCs w:val="18"/>
              </w:rPr>
              <w:t>Additions</w:t>
            </w:r>
          </w:p>
        </w:tc>
        <w:tc>
          <w:tcPr>
            <w:tcW w:w="0" w:type="auto"/>
            <w:gridSpan w:val="2"/>
            <w:shd w:val="clear" w:color="auto" w:fill="FFFFFF"/>
            <w:tcMar>
              <w:top w:w="40" w:type="dxa"/>
              <w:left w:w="20" w:type="dxa"/>
              <w:bottom w:w="40" w:type="dxa"/>
              <w:right w:w="0" w:type="dxa"/>
            </w:tcMar>
            <w:vAlign w:val="bottom"/>
          </w:tcPr>
          <w:p w14:paraId="22CFC3BA" w14:textId="77777777" w:rsidR="002661BA" w:rsidRDefault="00D972BC">
            <w:pPr>
              <w:jc w:val="right"/>
              <w:textAlignment w:val="bottom"/>
            </w:pPr>
            <w:r>
              <w:rPr>
                <w:rFonts w:ascii="Arial" w:eastAsia="宋体"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22CFC3B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3B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3BD" w14:textId="77777777" w:rsidR="002661BA" w:rsidRDefault="00D972BC">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22CFC3BE" w14:textId="77777777" w:rsidR="002661BA" w:rsidRDefault="002661BA">
            <w:pPr>
              <w:jc w:val="right"/>
              <w:rPr>
                <w:rFonts w:ascii="宋体"/>
              </w:rPr>
            </w:pPr>
          </w:p>
        </w:tc>
      </w:tr>
      <w:tr w:rsidR="002661BA" w14:paraId="22CFC3C4" w14:textId="77777777">
        <w:trPr>
          <w:hidden/>
        </w:trPr>
        <w:tc>
          <w:tcPr>
            <w:tcW w:w="0" w:type="auto"/>
            <w:gridSpan w:val="3"/>
            <w:shd w:val="clear" w:color="auto" w:fill="auto"/>
            <w:vAlign w:val="bottom"/>
          </w:tcPr>
          <w:p w14:paraId="22CFC3C0" w14:textId="77777777" w:rsidR="002661BA" w:rsidRDefault="002661BA">
            <w:pPr>
              <w:rPr>
                <w:rFonts w:ascii="宋体"/>
                <w:vanish/>
              </w:rPr>
            </w:pPr>
          </w:p>
        </w:tc>
        <w:tc>
          <w:tcPr>
            <w:tcW w:w="0" w:type="auto"/>
            <w:gridSpan w:val="3"/>
            <w:shd w:val="clear" w:color="auto" w:fill="auto"/>
            <w:vAlign w:val="bottom"/>
          </w:tcPr>
          <w:p w14:paraId="22CFC3C1" w14:textId="77777777" w:rsidR="002661BA" w:rsidRDefault="002661BA">
            <w:pPr>
              <w:rPr>
                <w:rFonts w:ascii="宋体"/>
                <w:vanish/>
              </w:rPr>
            </w:pPr>
          </w:p>
        </w:tc>
        <w:tc>
          <w:tcPr>
            <w:tcW w:w="0" w:type="auto"/>
            <w:gridSpan w:val="3"/>
            <w:shd w:val="clear" w:color="auto" w:fill="auto"/>
            <w:vAlign w:val="bottom"/>
          </w:tcPr>
          <w:p w14:paraId="22CFC3C2" w14:textId="77777777" w:rsidR="002661BA" w:rsidRDefault="002661BA">
            <w:pPr>
              <w:rPr>
                <w:rFonts w:ascii="宋体"/>
                <w:vanish/>
              </w:rPr>
            </w:pPr>
          </w:p>
        </w:tc>
        <w:tc>
          <w:tcPr>
            <w:tcW w:w="0" w:type="auto"/>
            <w:gridSpan w:val="3"/>
            <w:shd w:val="clear" w:color="auto" w:fill="auto"/>
            <w:vAlign w:val="bottom"/>
          </w:tcPr>
          <w:p w14:paraId="22CFC3C3" w14:textId="77777777" w:rsidR="002661BA" w:rsidRDefault="002661BA">
            <w:pPr>
              <w:rPr>
                <w:rFonts w:ascii="宋体"/>
                <w:vanish/>
              </w:rPr>
            </w:pPr>
          </w:p>
        </w:tc>
      </w:tr>
      <w:tr w:rsidR="002661BA" w14:paraId="22CFC3CB" w14:textId="77777777">
        <w:tc>
          <w:tcPr>
            <w:tcW w:w="0" w:type="auto"/>
            <w:gridSpan w:val="3"/>
            <w:shd w:val="clear" w:color="auto" w:fill="E2E2E2"/>
            <w:tcMar>
              <w:top w:w="40" w:type="dxa"/>
              <w:left w:w="155" w:type="dxa"/>
              <w:bottom w:w="40" w:type="dxa"/>
              <w:right w:w="20" w:type="dxa"/>
            </w:tcMar>
            <w:vAlign w:val="bottom"/>
          </w:tcPr>
          <w:p w14:paraId="22CFC3C5" w14:textId="77777777" w:rsidR="002661BA" w:rsidRDefault="00D972BC">
            <w:pPr>
              <w:textAlignment w:val="bottom"/>
            </w:pPr>
            <w:r>
              <w:rPr>
                <w:rFonts w:ascii="Arial" w:eastAsia="宋体" w:hAnsi="Arial" w:cs="Arial"/>
                <w:color w:val="000000"/>
                <w:sz w:val="18"/>
                <w:szCs w:val="18"/>
              </w:rPr>
              <w:t>Upward adjustments for observable price changes</w:t>
            </w:r>
          </w:p>
        </w:tc>
        <w:tc>
          <w:tcPr>
            <w:tcW w:w="0" w:type="auto"/>
            <w:gridSpan w:val="2"/>
            <w:shd w:val="clear" w:color="auto" w:fill="E2E2E2"/>
            <w:tcMar>
              <w:top w:w="40" w:type="dxa"/>
              <w:left w:w="20" w:type="dxa"/>
              <w:bottom w:w="40" w:type="dxa"/>
              <w:right w:w="0" w:type="dxa"/>
            </w:tcMar>
            <w:vAlign w:val="bottom"/>
          </w:tcPr>
          <w:p w14:paraId="22CFC3C6" w14:textId="77777777" w:rsidR="002661BA" w:rsidRDefault="00D972BC">
            <w:pPr>
              <w:jc w:val="right"/>
              <w:textAlignment w:val="bottom"/>
            </w:pPr>
            <w:r>
              <w:rPr>
                <w:rFonts w:ascii="Arial" w:eastAsia="宋体" w:hAnsi="Arial" w:cs="Arial"/>
                <w:color w:val="000000"/>
                <w:sz w:val="18"/>
                <w:szCs w:val="18"/>
              </w:rPr>
              <w:t>41 </w:t>
            </w:r>
          </w:p>
        </w:tc>
        <w:tc>
          <w:tcPr>
            <w:tcW w:w="0" w:type="auto"/>
            <w:shd w:val="clear" w:color="auto" w:fill="E2E2E2"/>
            <w:tcMar>
              <w:top w:w="40" w:type="dxa"/>
              <w:left w:w="0" w:type="dxa"/>
              <w:bottom w:w="40" w:type="dxa"/>
              <w:right w:w="20" w:type="dxa"/>
            </w:tcMar>
            <w:vAlign w:val="bottom"/>
          </w:tcPr>
          <w:p w14:paraId="22CFC3C7"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3C8"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3C9" w14:textId="77777777" w:rsidR="002661BA" w:rsidRDefault="00D972BC">
            <w:pPr>
              <w:jc w:val="right"/>
              <w:textAlignment w:val="bottom"/>
            </w:pPr>
            <w:r>
              <w:rPr>
                <w:rFonts w:ascii="Arial" w:eastAsia="宋体" w:hAnsi="Arial" w:cs="Arial"/>
                <w:color w:val="000000"/>
                <w:sz w:val="18"/>
                <w:szCs w:val="18"/>
              </w:rPr>
              <w:t>239 </w:t>
            </w:r>
          </w:p>
        </w:tc>
        <w:tc>
          <w:tcPr>
            <w:tcW w:w="0" w:type="auto"/>
            <w:shd w:val="clear" w:color="auto" w:fill="E2E2E2"/>
            <w:tcMar>
              <w:top w:w="40" w:type="dxa"/>
              <w:left w:w="0" w:type="dxa"/>
              <w:bottom w:w="40" w:type="dxa"/>
              <w:right w:w="20" w:type="dxa"/>
            </w:tcMar>
            <w:vAlign w:val="bottom"/>
          </w:tcPr>
          <w:p w14:paraId="22CFC3CA" w14:textId="77777777" w:rsidR="002661BA" w:rsidRDefault="002661BA">
            <w:pPr>
              <w:jc w:val="right"/>
              <w:rPr>
                <w:rFonts w:ascii="宋体"/>
              </w:rPr>
            </w:pPr>
          </w:p>
        </w:tc>
      </w:tr>
      <w:tr w:rsidR="002661BA" w14:paraId="22CFC3D2" w14:textId="77777777">
        <w:tc>
          <w:tcPr>
            <w:tcW w:w="0" w:type="auto"/>
            <w:gridSpan w:val="3"/>
            <w:shd w:val="clear" w:color="auto" w:fill="FFFFFF"/>
            <w:tcMar>
              <w:top w:w="40" w:type="dxa"/>
              <w:left w:w="155" w:type="dxa"/>
              <w:bottom w:w="40" w:type="dxa"/>
              <w:right w:w="20" w:type="dxa"/>
            </w:tcMar>
            <w:vAlign w:val="bottom"/>
          </w:tcPr>
          <w:p w14:paraId="22CFC3CC" w14:textId="77777777" w:rsidR="002661BA" w:rsidRDefault="00D972BC">
            <w:pPr>
              <w:textAlignment w:val="bottom"/>
            </w:pPr>
            <w:r>
              <w:rPr>
                <w:rFonts w:ascii="Arial" w:eastAsia="宋体" w:hAnsi="Arial" w:cs="Arial"/>
                <w:color w:val="000000"/>
                <w:sz w:val="18"/>
                <w:szCs w:val="18"/>
              </w:rPr>
              <w:t>Downward adjustments for observable price changes and impairment</w:t>
            </w:r>
          </w:p>
        </w:tc>
        <w:tc>
          <w:tcPr>
            <w:tcW w:w="0" w:type="auto"/>
            <w:gridSpan w:val="2"/>
            <w:shd w:val="clear" w:color="auto" w:fill="FFFFFF"/>
            <w:tcMar>
              <w:top w:w="40" w:type="dxa"/>
              <w:left w:w="20" w:type="dxa"/>
              <w:bottom w:w="40" w:type="dxa"/>
              <w:right w:w="0" w:type="dxa"/>
            </w:tcMar>
            <w:vAlign w:val="bottom"/>
          </w:tcPr>
          <w:p w14:paraId="22CFC3CD" w14:textId="77777777" w:rsidR="002661BA" w:rsidRDefault="00D972BC">
            <w:pPr>
              <w:jc w:val="right"/>
              <w:textAlignment w:val="bottom"/>
            </w:pPr>
            <w:r>
              <w:rPr>
                <w:rFonts w:ascii="Arial" w:eastAsia="宋体" w:hAnsi="Arial" w:cs="Arial"/>
                <w:color w:val="000000"/>
                <w:sz w:val="18"/>
                <w:szCs w:val="18"/>
              </w:rPr>
              <w:t>(170)</w:t>
            </w:r>
          </w:p>
        </w:tc>
        <w:tc>
          <w:tcPr>
            <w:tcW w:w="0" w:type="auto"/>
            <w:shd w:val="clear" w:color="auto" w:fill="FFFFFF"/>
            <w:tcMar>
              <w:top w:w="40" w:type="dxa"/>
              <w:left w:w="0" w:type="dxa"/>
              <w:bottom w:w="40" w:type="dxa"/>
              <w:right w:w="20" w:type="dxa"/>
            </w:tcMar>
            <w:vAlign w:val="bottom"/>
          </w:tcPr>
          <w:p w14:paraId="22CFC3C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3CF"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3D0" w14:textId="77777777" w:rsidR="002661BA" w:rsidRDefault="00D972BC">
            <w:pPr>
              <w:jc w:val="right"/>
              <w:textAlignment w:val="bottom"/>
            </w:pPr>
            <w:r>
              <w:rPr>
                <w:rFonts w:ascii="Arial" w:eastAsia="宋体" w:hAnsi="Arial" w:cs="Arial"/>
                <w:color w:val="000000"/>
                <w:sz w:val="18"/>
                <w:szCs w:val="18"/>
              </w:rPr>
              <w:t>(40)</w:t>
            </w:r>
          </w:p>
        </w:tc>
        <w:tc>
          <w:tcPr>
            <w:tcW w:w="0" w:type="auto"/>
            <w:shd w:val="clear" w:color="auto" w:fill="FFFFFF"/>
            <w:tcMar>
              <w:top w:w="40" w:type="dxa"/>
              <w:left w:w="0" w:type="dxa"/>
              <w:bottom w:w="40" w:type="dxa"/>
              <w:right w:w="20" w:type="dxa"/>
            </w:tcMar>
            <w:vAlign w:val="bottom"/>
          </w:tcPr>
          <w:p w14:paraId="22CFC3D1" w14:textId="77777777" w:rsidR="002661BA" w:rsidRDefault="002661BA">
            <w:pPr>
              <w:jc w:val="right"/>
              <w:rPr>
                <w:rFonts w:ascii="宋体"/>
              </w:rPr>
            </w:pPr>
          </w:p>
        </w:tc>
      </w:tr>
      <w:tr w:rsidR="002661BA" w14:paraId="22CFC3D9" w14:textId="77777777">
        <w:tc>
          <w:tcPr>
            <w:tcW w:w="0" w:type="auto"/>
            <w:gridSpan w:val="3"/>
            <w:shd w:val="clear" w:color="auto" w:fill="E2E2E2"/>
            <w:tcMar>
              <w:top w:w="40" w:type="dxa"/>
              <w:left w:w="155" w:type="dxa"/>
              <w:bottom w:w="40" w:type="dxa"/>
              <w:right w:w="20" w:type="dxa"/>
            </w:tcMar>
            <w:vAlign w:val="bottom"/>
          </w:tcPr>
          <w:p w14:paraId="22CFC3D3" w14:textId="77777777" w:rsidR="002661BA" w:rsidRDefault="00D972BC">
            <w:pPr>
              <w:textAlignment w:val="bottom"/>
            </w:pPr>
            <w:r>
              <w:rPr>
                <w:rFonts w:ascii="Arial" w:eastAsia="宋体" w:hAnsi="Arial" w:cs="Arial"/>
                <w:color w:val="000000"/>
                <w:sz w:val="18"/>
                <w:szCs w:val="18"/>
              </w:rPr>
              <w:t>Transfers out from investments without readily determinable fair values</w:t>
            </w:r>
          </w:p>
        </w:tc>
        <w:tc>
          <w:tcPr>
            <w:tcW w:w="0" w:type="auto"/>
            <w:gridSpan w:val="2"/>
            <w:shd w:val="clear" w:color="auto" w:fill="E2E2E2"/>
            <w:tcMar>
              <w:top w:w="40" w:type="dxa"/>
              <w:left w:w="20" w:type="dxa"/>
              <w:bottom w:w="40" w:type="dxa"/>
              <w:right w:w="0" w:type="dxa"/>
            </w:tcMar>
            <w:vAlign w:val="bottom"/>
          </w:tcPr>
          <w:p w14:paraId="22CFC3D4" w14:textId="77777777" w:rsidR="002661BA" w:rsidRDefault="00D972BC">
            <w:pPr>
              <w:jc w:val="right"/>
              <w:textAlignment w:val="bottom"/>
            </w:pPr>
            <w:r>
              <w:rPr>
                <w:rFonts w:ascii="Arial" w:eastAsia="宋体" w:hAnsi="Arial" w:cs="Arial"/>
                <w:color w:val="000000"/>
                <w:sz w:val="18"/>
                <w:szCs w:val="18"/>
              </w:rPr>
              <w:t>(312)</w:t>
            </w:r>
          </w:p>
        </w:tc>
        <w:tc>
          <w:tcPr>
            <w:tcW w:w="0" w:type="auto"/>
            <w:shd w:val="clear" w:color="auto" w:fill="E2E2E2"/>
            <w:tcMar>
              <w:top w:w="40" w:type="dxa"/>
              <w:left w:w="0" w:type="dxa"/>
              <w:bottom w:w="40" w:type="dxa"/>
              <w:right w:w="20" w:type="dxa"/>
            </w:tcMar>
            <w:vAlign w:val="bottom"/>
          </w:tcPr>
          <w:p w14:paraId="22CFC3D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3D6"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3D7"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C3D8" w14:textId="77777777" w:rsidR="002661BA" w:rsidRDefault="002661BA">
            <w:pPr>
              <w:jc w:val="right"/>
              <w:rPr>
                <w:rFonts w:ascii="宋体"/>
              </w:rPr>
            </w:pPr>
          </w:p>
        </w:tc>
      </w:tr>
      <w:tr w:rsidR="002661BA" w14:paraId="22CFC3E0" w14:textId="77777777">
        <w:tc>
          <w:tcPr>
            <w:tcW w:w="0" w:type="auto"/>
            <w:gridSpan w:val="3"/>
            <w:shd w:val="clear" w:color="auto" w:fill="FFFFFF"/>
            <w:tcMar>
              <w:top w:w="40" w:type="dxa"/>
              <w:left w:w="155" w:type="dxa"/>
              <w:bottom w:w="40" w:type="dxa"/>
              <w:right w:w="20" w:type="dxa"/>
            </w:tcMar>
            <w:vAlign w:val="bottom"/>
          </w:tcPr>
          <w:p w14:paraId="22CFC3DA" w14:textId="77777777" w:rsidR="002661BA" w:rsidRDefault="00D972BC">
            <w:pPr>
              <w:textAlignment w:val="bottom"/>
            </w:pPr>
            <w:r>
              <w:rPr>
                <w:rFonts w:ascii="Arial" w:eastAsia="宋体" w:hAnsi="Arial" w:cs="Arial"/>
                <w:color w:val="000000"/>
                <w:sz w:val="18"/>
                <w:szCs w:val="18"/>
              </w:rPr>
              <w:t>Foreign currency translation and other</w:t>
            </w:r>
          </w:p>
        </w:tc>
        <w:tc>
          <w:tcPr>
            <w:tcW w:w="0" w:type="auto"/>
            <w:gridSpan w:val="2"/>
            <w:shd w:val="clear" w:color="auto" w:fill="FFFFFF"/>
            <w:tcMar>
              <w:top w:w="40" w:type="dxa"/>
              <w:left w:w="20" w:type="dxa"/>
              <w:bottom w:w="40" w:type="dxa"/>
              <w:right w:w="0" w:type="dxa"/>
            </w:tcMar>
            <w:vAlign w:val="bottom"/>
          </w:tcPr>
          <w:p w14:paraId="22CFC3DB" w14:textId="77777777" w:rsidR="002661BA" w:rsidRDefault="00D972BC">
            <w:pPr>
              <w:jc w:val="right"/>
              <w:textAlignment w:val="bottom"/>
            </w:pPr>
            <w:r>
              <w:rPr>
                <w:rFonts w:ascii="Arial" w:eastAsia="宋体" w:hAnsi="Arial" w:cs="Arial"/>
                <w:color w:val="000000"/>
                <w:sz w:val="18"/>
                <w:szCs w:val="18"/>
              </w:rPr>
              <w:t>(18)</w:t>
            </w:r>
          </w:p>
        </w:tc>
        <w:tc>
          <w:tcPr>
            <w:tcW w:w="0" w:type="auto"/>
            <w:shd w:val="clear" w:color="auto" w:fill="FFFFFF"/>
            <w:tcMar>
              <w:top w:w="40" w:type="dxa"/>
              <w:left w:w="0" w:type="dxa"/>
              <w:bottom w:w="40" w:type="dxa"/>
              <w:right w:w="20" w:type="dxa"/>
            </w:tcMar>
            <w:vAlign w:val="bottom"/>
          </w:tcPr>
          <w:p w14:paraId="22CFC3D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3D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3DE" w14:textId="77777777" w:rsidR="002661BA" w:rsidRDefault="00D972BC">
            <w:pPr>
              <w:jc w:val="right"/>
              <w:textAlignment w:val="bottom"/>
            </w:pPr>
            <w:r>
              <w:rPr>
                <w:rFonts w:ascii="Arial" w:eastAsia="宋体" w:hAnsi="Arial" w:cs="Arial"/>
                <w:color w:val="000000"/>
                <w:sz w:val="18"/>
                <w:szCs w:val="18"/>
              </w:rPr>
              <w:t>11 </w:t>
            </w:r>
          </w:p>
        </w:tc>
        <w:tc>
          <w:tcPr>
            <w:tcW w:w="0" w:type="auto"/>
            <w:shd w:val="clear" w:color="auto" w:fill="FFFFFF"/>
            <w:tcMar>
              <w:top w:w="40" w:type="dxa"/>
              <w:left w:w="0" w:type="dxa"/>
              <w:bottom w:w="40" w:type="dxa"/>
              <w:right w:w="20" w:type="dxa"/>
            </w:tcMar>
            <w:vAlign w:val="bottom"/>
          </w:tcPr>
          <w:p w14:paraId="22CFC3DF" w14:textId="77777777" w:rsidR="002661BA" w:rsidRDefault="002661BA">
            <w:pPr>
              <w:jc w:val="right"/>
              <w:rPr>
                <w:rFonts w:ascii="宋体"/>
              </w:rPr>
            </w:pPr>
          </w:p>
        </w:tc>
      </w:tr>
      <w:tr w:rsidR="002661BA" w14:paraId="22CFC3E9" w14:textId="77777777">
        <w:tc>
          <w:tcPr>
            <w:tcW w:w="0" w:type="auto"/>
            <w:gridSpan w:val="3"/>
            <w:shd w:val="clear" w:color="auto" w:fill="E2E2E2"/>
            <w:tcMar>
              <w:top w:w="40" w:type="dxa"/>
              <w:left w:w="20" w:type="dxa"/>
              <w:bottom w:w="40" w:type="dxa"/>
              <w:right w:w="20" w:type="dxa"/>
            </w:tcMar>
            <w:vAlign w:val="bottom"/>
          </w:tcPr>
          <w:p w14:paraId="22CFC3E1" w14:textId="77777777" w:rsidR="002661BA" w:rsidRDefault="00D972BC">
            <w:pPr>
              <w:textAlignment w:val="bottom"/>
            </w:pPr>
            <w:r>
              <w:rPr>
                <w:rFonts w:ascii="Arial" w:eastAsia="宋体" w:hAnsi="Arial" w:cs="Arial"/>
                <w:color w:val="000000"/>
                <w:sz w:val="18"/>
                <w:szCs w:val="18"/>
              </w:rPr>
              <w:t>Carrying value, end of period</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C3E2"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C3E3" w14:textId="77777777" w:rsidR="002661BA" w:rsidRDefault="00D972BC">
            <w:pPr>
              <w:jc w:val="right"/>
              <w:textAlignment w:val="bottom"/>
            </w:pPr>
            <w:r>
              <w:rPr>
                <w:rFonts w:ascii="Arial" w:eastAsia="宋体" w:hAnsi="Arial" w:cs="Arial"/>
                <w:color w:val="000000"/>
                <w:sz w:val="18"/>
                <w:szCs w:val="18"/>
              </w:rPr>
              <w:t>85 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C3E4"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3E5"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C3E6"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C3E7" w14:textId="77777777" w:rsidR="002661BA" w:rsidRDefault="00D972BC">
            <w:pPr>
              <w:jc w:val="right"/>
              <w:textAlignment w:val="bottom"/>
            </w:pPr>
            <w:r>
              <w:rPr>
                <w:rFonts w:ascii="Arial" w:eastAsia="宋体" w:hAnsi="Arial" w:cs="Arial"/>
                <w:color w:val="000000"/>
                <w:sz w:val="18"/>
                <w:szCs w:val="18"/>
              </w:rPr>
              <w:t>539 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C3E8" w14:textId="77777777" w:rsidR="002661BA" w:rsidRDefault="002661BA">
            <w:pPr>
              <w:jc w:val="right"/>
              <w:rPr>
                <w:rFonts w:ascii="宋体"/>
              </w:rPr>
            </w:pPr>
          </w:p>
        </w:tc>
      </w:tr>
    </w:tbl>
    <w:p w14:paraId="22CFC3EA" w14:textId="77777777" w:rsidR="002661BA" w:rsidRDefault="002661BA">
      <w:pPr>
        <w:jc w:val="both"/>
      </w:pPr>
    </w:p>
    <w:p w14:paraId="22CFC3EB" w14:textId="77777777" w:rsidR="002661BA" w:rsidRDefault="00D972BC">
      <w:pPr>
        <w:jc w:val="center"/>
      </w:pPr>
      <w:r>
        <w:rPr>
          <w:rFonts w:ascii="Arial" w:eastAsia="宋体" w:hAnsi="Arial" w:cs="Arial"/>
          <w:color w:val="000000"/>
          <w:sz w:val="18"/>
          <w:szCs w:val="18"/>
        </w:rPr>
        <w:t>84</w:t>
      </w:r>
    </w:p>
    <w:p w14:paraId="22CFC3EC" w14:textId="77777777" w:rsidR="002661BA" w:rsidRDefault="00D972BC">
      <w:r>
        <w:pict w14:anchorId="22CFE505">
          <v:rect id="_x0000_i1108" style="width:415.3pt;height:1.5pt" o:hralign="center" o:hrstd="t" o:hr="t" fillcolor="#a0a0a0" stroked="f"/>
        </w:pict>
      </w:r>
    </w:p>
    <w:p w14:paraId="22CFC3ED" w14:textId="77777777" w:rsidR="002661BA" w:rsidRDefault="00D972BC">
      <w:hyperlink r:id="rId119" w:anchor="id0d7a71b05ce452ea9fdb54f3cb359c7_7" w:history="1">
        <w:r>
          <w:rPr>
            <w:rStyle w:val="a5"/>
            <w:rFonts w:ascii="Arial" w:eastAsia="宋体" w:hAnsi="Arial" w:cs="Arial"/>
            <w:sz w:val="18"/>
            <w:szCs w:val="18"/>
          </w:rPr>
          <w:t>Table of Contents</w:t>
        </w:r>
      </w:hyperlink>
    </w:p>
    <w:p w14:paraId="22CFC3EE" w14:textId="77777777" w:rsidR="002661BA" w:rsidRDefault="00D972BC">
      <w:pPr>
        <w:jc w:val="center"/>
      </w:pPr>
      <w:r>
        <w:rPr>
          <w:rFonts w:ascii="Arial" w:eastAsia="宋体" w:hAnsi="Arial" w:cs="Arial"/>
          <w:b/>
          <w:bCs/>
          <w:color w:val="000000"/>
          <w:sz w:val="20"/>
          <w:szCs w:val="20"/>
        </w:rPr>
        <w:t>eBay Inc.</w:t>
      </w:r>
    </w:p>
    <w:p w14:paraId="22CFC3EF"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3F0" w14:textId="77777777" w:rsidR="002661BA" w:rsidRDefault="00D972BC">
      <w:pPr>
        <w:ind w:firstLine="540"/>
        <w:jc w:val="both"/>
      </w:pPr>
      <w:r>
        <w:rPr>
          <w:rFonts w:ascii="Arial" w:eastAsia="宋体" w:hAnsi="Arial" w:cs="Arial"/>
          <w:color w:val="000000"/>
          <w:sz w:val="20"/>
          <w:szCs w:val="20"/>
        </w:rPr>
        <w:t>In 2021, we recorded</w:t>
      </w:r>
      <w:r>
        <w:rPr>
          <w:rFonts w:ascii="Arial" w:eastAsia="宋体" w:hAnsi="Arial" w:cs="Arial"/>
          <w:color w:val="000000"/>
          <w:sz w:val="20"/>
          <w:szCs w:val="20"/>
        </w:rPr>
        <w:t xml:space="preserve"> an upward adjustment for observable price change of $41 million and downward adjustments for impairment of $170 million to the carrying values of strategic investments accounted for as equity investments without readily determinable fair values. The downw</w:t>
      </w:r>
      <w:r>
        <w:rPr>
          <w:rFonts w:ascii="Arial" w:eastAsia="宋体" w:hAnsi="Arial" w:cs="Arial"/>
          <w:color w:val="000000"/>
          <w:sz w:val="20"/>
          <w:szCs w:val="20"/>
        </w:rPr>
        <w:t>ard adjustments for impairment included a $160 million impairment charge related to our equity investment in Paytm Mall, which resulted in no remaining carrying value for this equity investment. The upward and downward adjustments were recorded in gain (lo</w:t>
      </w:r>
      <w:r>
        <w:rPr>
          <w:rFonts w:ascii="Arial" w:eastAsia="宋体" w:hAnsi="Arial" w:cs="Arial"/>
          <w:color w:val="000000"/>
          <w:sz w:val="20"/>
          <w:szCs w:val="20"/>
        </w:rPr>
        <w:t>ss) on equity investments and warrant, net on our consolidated statement of income.</w:t>
      </w:r>
    </w:p>
    <w:p w14:paraId="22CFC3F1" w14:textId="77777777" w:rsidR="002661BA" w:rsidRDefault="002661BA">
      <w:pPr>
        <w:ind w:firstLine="540"/>
        <w:jc w:val="both"/>
      </w:pPr>
    </w:p>
    <w:p w14:paraId="22CFC3F2" w14:textId="77777777" w:rsidR="002661BA" w:rsidRDefault="00D972BC">
      <w:pPr>
        <w:ind w:firstLine="540"/>
        <w:jc w:val="both"/>
      </w:pPr>
      <w:r>
        <w:rPr>
          <w:rFonts w:ascii="Arial" w:eastAsia="宋体" w:hAnsi="Arial" w:cs="Arial"/>
          <w:color w:val="000000"/>
          <w:sz w:val="20"/>
          <w:szCs w:val="20"/>
        </w:rPr>
        <w:t xml:space="preserve">For such equity investments without readily determinable fair values still held at December 31, 2021, the cumulative upward adjustment for observable price changes was </w:t>
      </w:r>
      <w:r>
        <w:rPr>
          <w:rFonts w:ascii="Arial" w:eastAsia="宋体" w:hAnsi="Arial" w:cs="Arial"/>
          <w:color w:val="000000"/>
          <w:sz w:val="20"/>
          <w:szCs w:val="20"/>
        </w:rPr>
        <w:t>$41 million and cumulative downward adjustment for observable price changes and impairments was $291 million.</w:t>
      </w:r>
    </w:p>
    <w:p w14:paraId="22CFC3F3" w14:textId="77777777" w:rsidR="002661BA" w:rsidRDefault="002661BA">
      <w:pPr>
        <w:ind w:firstLine="540"/>
        <w:jc w:val="both"/>
      </w:pPr>
    </w:p>
    <w:p w14:paraId="22CFC3F4" w14:textId="77777777" w:rsidR="002661BA" w:rsidRDefault="00D972BC">
      <w:pPr>
        <w:ind w:firstLine="540"/>
        <w:jc w:val="both"/>
      </w:pPr>
      <w:r>
        <w:rPr>
          <w:rFonts w:ascii="Arial" w:eastAsia="宋体" w:hAnsi="Arial" w:cs="Arial"/>
          <w:color w:val="000000"/>
          <w:sz w:val="20"/>
          <w:szCs w:val="20"/>
        </w:rPr>
        <w:t>In 2020, when our investment in KakaoBank was accounted for as an equity investment without a readily determinable fair value, we recorded an upw</w:t>
      </w:r>
      <w:r>
        <w:rPr>
          <w:rFonts w:ascii="Arial" w:eastAsia="宋体" w:hAnsi="Arial" w:cs="Arial"/>
          <w:color w:val="000000"/>
          <w:sz w:val="20"/>
          <w:szCs w:val="20"/>
        </w:rPr>
        <w:t>ard adjustment for an observable price change of $239 million to the carrying value and invested an additional $18 million in cash in exchange for equity in KakaoBank. The upward adjustment was recorded in gain (loss) on equity investments and warrant, net</w:t>
      </w:r>
      <w:r>
        <w:rPr>
          <w:rFonts w:ascii="Arial" w:eastAsia="宋体" w:hAnsi="Arial" w:cs="Arial"/>
          <w:color w:val="000000"/>
          <w:sz w:val="20"/>
          <w:szCs w:val="20"/>
        </w:rPr>
        <w:t xml:space="preserve"> on our consolidated statement of income for the year ended December 31, 2020. </w:t>
      </w:r>
    </w:p>
    <w:p w14:paraId="22CFC3F5" w14:textId="77777777" w:rsidR="002661BA" w:rsidRDefault="002661BA">
      <w:pPr>
        <w:ind w:firstLine="540"/>
        <w:jc w:val="both"/>
      </w:pPr>
    </w:p>
    <w:p w14:paraId="22CFC3F6" w14:textId="77777777" w:rsidR="002661BA" w:rsidRDefault="00D972BC">
      <w:pPr>
        <w:spacing w:after="120"/>
        <w:ind w:firstLine="540"/>
        <w:jc w:val="both"/>
      </w:pPr>
      <w:r>
        <w:rPr>
          <w:rFonts w:ascii="Arial" w:eastAsia="宋体" w:hAnsi="Arial" w:cs="Arial"/>
          <w:color w:val="000000"/>
          <w:sz w:val="20"/>
          <w:szCs w:val="20"/>
        </w:rPr>
        <w:t>The following table summarizes unrealized gains and losses related to equity investments held at December 31, 2021 and presented within gain (loss) on equity investments and w</w:t>
      </w:r>
      <w:r>
        <w:rPr>
          <w:rFonts w:ascii="Arial" w:eastAsia="宋体" w:hAnsi="Arial" w:cs="Arial"/>
          <w:color w:val="000000"/>
          <w:sz w:val="20"/>
          <w:szCs w:val="20"/>
        </w:rPr>
        <w:t>arrant, net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5868"/>
        <w:gridCol w:w="36"/>
        <w:gridCol w:w="121"/>
        <w:gridCol w:w="986"/>
        <w:gridCol w:w="36"/>
        <w:gridCol w:w="36"/>
        <w:gridCol w:w="36"/>
        <w:gridCol w:w="36"/>
        <w:gridCol w:w="121"/>
        <w:gridCol w:w="987"/>
        <w:gridCol w:w="36"/>
      </w:tblGrid>
      <w:tr w:rsidR="002661BA" w14:paraId="22CFC403" w14:textId="77777777">
        <w:tc>
          <w:tcPr>
            <w:tcW w:w="50" w:type="pct"/>
            <w:shd w:val="clear" w:color="auto" w:fill="auto"/>
            <w:vAlign w:val="bottom"/>
          </w:tcPr>
          <w:p w14:paraId="22CFC3F7" w14:textId="77777777" w:rsidR="002661BA" w:rsidRDefault="002661BA">
            <w:pPr>
              <w:rPr>
                <w:rFonts w:ascii="宋体"/>
              </w:rPr>
            </w:pPr>
          </w:p>
        </w:tc>
        <w:tc>
          <w:tcPr>
            <w:tcW w:w="3556" w:type="pct"/>
            <w:shd w:val="clear" w:color="auto" w:fill="auto"/>
            <w:vAlign w:val="bottom"/>
          </w:tcPr>
          <w:p w14:paraId="22CFC3F8" w14:textId="77777777" w:rsidR="002661BA" w:rsidRDefault="002661BA">
            <w:pPr>
              <w:rPr>
                <w:rFonts w:ascii="宋体"/>
              </w:rPr>
            </w:pPr>
          </w:p>
        </w:tc>
        <w:tc>
          <w:tcPr>
            <w:tcW w:w="5" w:type="pct"/>
            <w:shd w:val="clear" w:color="auto" w:fill="auto"/>
            <w:vAlign w:val="bottom"/>
          </w:tcPr>
          <w:p w14:paraId="22CFC3F9" w14:textId="77777777" w:rsidR="002661BA" w:rsidRDefault="002661BA">
            <w:pPr>
              <w:rPr>
                <w:rFonts w:ascii="宋体"/>
              </w:rPr>
            </w:pPr>
          </w:p>
        </w:tc>
        <w:tc>
          <w:tcPr>
            <w:tcW w:w="50" w:type="pct"/>
            <w:shd w:val="clear" w:color="auto" w:fill="auto"/>
            <w:vAlign w:val="bottom"/>
          </w:tcPr>
          <w:p w14:paraId="22CFC3FA" w14:textId="77777777" w:rsidR="002661BA" w:rsidRDefault="002661BA">
            <w:pPr>
              <w:rPr>
                <w:rFonts w:ascii="宋体"/>
              </w:rPr>
            </w:pPr>
          </w:p>
        </w:tc>
        <w:tc>
          <w:tcPr>
            <w:tcW w:w="624" w:type="pct"/>
            <w:shd w:val="clear" w:color="auto" w:fill="auto"/>
            <w:vAlign w:val="bottom"/>
          </w:tcPr>
          <w:p w14:paraId="22CFC3FB" w14:textId="77777777" w:rsidR="002661BA" w:rsidRDefault="002661BA">
            <w:pPr>
              <w:rPr>
                <w:rFonts w:ascii="宋体"/>
              </w:rPr>
            </w:pPr>
          </w:p>
        </w:tc>
        <w:tc>
          <w:tcPr>
            <w:tcW w:w="5" w:type="pct"/>
            <w:shd w:val="clear" w:color="auto" w:fill="auto"/>
            <w:vAlign w:val="bottom"/>
          </w:tcPr>
          <w:p w14:paraId="22CFC3FC" w14:textId="77777777" w:rsidR="002661BA" w:rsidRDefault="002661BA">
            <w:pPr>
              <w:rPr>
                <w:rFonts w:ascii="宋体"/>
              </w:rPr>
            </w:pPr>
          </w:p>
        </w:tc>
        <w:tc>
          <w:tcPr>
            <w:tcW w:w="5" w:type="pct"/>
            <w:shd w:val="clear" w:color="auto" w:fill="auto"/>
            <w:vAlign w:val="bottom"/>
          </w:tcPr>
          <w:p w14:paraId="22CFC3FD" w14:textId="77777777" w:rsidR="002661BA" w:rsidRDefault="002661BA">
            <w:pPr>
              <w:rPr>
                <w:rFonts w:ascii="宋体"/>
              </w:rPr>
            </w:pPr>
          </w:p>
        </w:tc>
        <w:tc>
          <w:tcPr>
            <w:tcW w:w="19" w:type="pct"/>
            <w:shd w:val="clear" w:color="auto" w:fill="auto"/>
            <w:vAlign w:val="bottom"/>
          </w:tcPr>
          <w:p w14:paraId="22CFC3FE" w14:textId="77777777" w:rsidR="002661BA" w:rsidRDefault="002661BA">
            <w:pPr>
              <w:rPr>
                <w:rFonts w:ascii="宋体"/>
              </w:rPr>
            </w:pPr>
          </w:p>
        </w:tc>
        <w:tc>
          <w:tcPr>
            <w:tcW w:w="5" w:type="pct"/>
            <w:shd w:val="clear" w:color="auto" w:fill="auto"/>
            <w:vAlign w:val="bottom"/>
          </w:tcPr>
          <w:p w14:paraId="22CFC3FF" w14:textId="77777777" w:rsidR="002661BA" w:rsidRDefault="002661BA">
            <w:pPr>
              <w:rPr>
                <w:rFonts w:ascii="宋体"/>
              </w:rPr>
            </w:pPr>
          </w:p>
        </w:tc>
        <w:tc>
          <w:tcPr>
            <w:tcW w:w="50" w:type="pct"/>
            <w:shd w:val="clear" w:color="auto" w:fill="auto"/>
            <w:vAlign w:val="bottom"/>
          </w:tcPr>
          <w:p w14:paraId="22CFC400" w14:textId="77777777" w:rsidR="002661BA" w:rsidRDefault="002661BA">
            <w:pPr>
              <w:rPr>
                <w:rFonts w:ascii="宋体"/>
              </w:rPr>
            </w:pPr>
          </w:p>
        </w:tc>
        <w:tc>
          <w:tcPr>
            <w:tcW w:w="624" w:type="pct"/>
            <w:shd w:val="clear" w:color="auto" w:fill="auto"/>
            <w:vAlign w:val="bottom"/>
          </w:tcPr>
          <w:p w14:paraId="22CFC401" w14:textId="77777777" w:rsidR="002661BA" w:rsidRDefault="002661BA">
            <w:pPr>
              <w:rPr>
                <w:rFonts w:ascii="宋体"/>
              </w:rPr>
            </w:pPr>
          </w:p>
        </w:tc>
        <w:tc>
          <w:tcPr>
            <w:tcW w:w="5" w:type="pct"/>
            <w:shd w:val="clear" w:color="auto" w:fill="auto"/>
            <w:vAlign w:val="bottom"/>
          </w:tcPr>
          <w:p w14:paraId="22CFC402" w14:textId="77777777" w:rsidR="002661BA" w:rsidRDefault="002661BA">
            <w:pPr>
              <w:rPr>
                <w:rFonts w:ascii="宋体"/>
              </w:rPr>
            </w:pPr>
          </w:p>
        </w:tc>
      </w:tr>
      <w:tr w:rsidR="002661BA" w14:paraId="22CFC406" w14:textId="77777777">
        <w:tc>
          <w:tcPr>
            <w:tcW w:w="0" w:type="auto"/>
            <w:gridSpan w:val="3"/>
            <w:shd w:val="clear" w:color="auto" w:fill="auto"/>
            <w:tcMar>
              <w:top w:w="0" w:type="dxa"/>
              <w:left w:w="20" w:type="dxa"/>
              <w:bottom w:w="0" w:type="dxa"/>
              <w:right w:w="20" w:type="dxa"/>
            </w:tcMar>
            <w:vAlign w:val="bottom"/>
          </w:tcPr>
          <w:p w14:paraId="22CFC404"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C405"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C40B" w14:textId="77777777">
        <w:tc>
          <w:tcPr>
            <w:tcW w:w="0" w:type="auto"/>
            <w:gridSpan w:val="3"/>
            <w:shd w:val="clear" w:color="auto" w:fill="auto"/>
            <w:tcMar>
              <w:top w:w="40" w:type="dxa"/>
              <w:left w:w="20" w:type="dxa"/>
              <w:bottom w:w="40" w:type="dxa"/>
              <w:right w:w="20" w:type="dxa"/>
            </w:tcMar>
            <w:vAlign w:val="bottom"/>
          </w:tcPr>
          <w:p w14:paraId="22CFC407" w14:textId="77777777" w:rsidR="002661BA" w:rsidRDefault="00D972BC">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408"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409"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40A" w14:textId="77777777" w:rsidR="002661BA" w:rsidRDefault="00D972BC">
            <w:pPr>
              <w:jc w:val="center"/>
              <w:textAlignment w:val="bottom"/>
            </w:pPr>
            <w:r>
              <w:rPr>
                <w:rFonts w:ascii="Arial" w:eastAsia="宋体" w:hAnsi="Arial" w:cs="Arial"/>
                <w:b/>
                <w:bCs/>
                <w:color w:val="000000"/>
                <w:sz w:val="17"/>
                <w:szCs w:val="17"/>
              </w:rPr>
              <w:t>2020</w:t>
            </w:r>
          </w:p>
        </w:tc>
      </w:tr>
      <w:tr w:rsidR="002661BA" w14:paraId="22CFC414" w14:textId="77777777">
        <w:tc>
          <w:tcPr>
            <w:tcW w:w="0" w:type="auto"/>
            <w:gridSpan w:val="3"/>
            <w:shd w:val="clear" w:color="auto" w:fill="E2E2E2"/>
            <w:tcMar>
              <w:top w:w="40" w:type="dxa"/>
              <w:left w:w="20" w:type="dxa"/>
              <w:bottom w:w="40" w:type="dxa"/>
              <w:right w:w="20" w:type="dxa"/>
            </w:tcMar>
            <w:vAlign w:val="bottom"/>
          </w:tcPr>
          <w:p w14:paraId="22CFC40C" w14:textId="77777777" w:rsidR="002661BA" w:rsidRDefault="00D972BC">
            <w:pPr>
              <w:textAlignment w:val="bottom"/>
            </w:pPr>
            <w:r>
              <w:rPr>
                <w:rFonts w:ascii="Arial" w:eastAsia="宋体" w:hAnsi="Arial" w:cs="Arial"/>
                <w:color w:val="000000"/>
                <w:sz w:val="18"/>
                <w:szCs w:val="18"/>
              </w:rPr>
              <w:t>Net gains/(losses) recognized during the period on equity investments</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C40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40E" w14:textId="77777777" w:rsidR="002661BA" w:rsidRDefault="00D972BC">
            <w:pPr>
              <w:jc w:val="right"/>
              <w:textAlignment w:val="bottom"/>
            </w:pPr>
            <w:r>
              <w:rPr>
                <w:rFonts w:ascii="Arial" w:eastAsia="宋体" w:hAnsi="Arial" w:cs="Arial"/>
                <w:color w:val="000000"/>
                <w:sz w:val="18"/>
                <w:szCs w:val="18"/>
              </w:rPr>
              <w:t>(2,716)</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40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410"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41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412" w14:textId="77777777" w:rsidR="002661BA" w:rsidRDefault="00D972BC">
            <w:pPr>
              <w:jc w:val="right"/>
              <w:textAlignment w:val="bottom"/>
            </w:pPr>
            <w:r>
              <w:rPr>
                <w:rFonts w:ascii="Arial" w:eastAsia="宋体" w:hAnsi="Arial" w:cs="Arial"/>
                <w:color w:val="000000"/>
                <w:sz w:val="18"/>
                <w:szCs w:val="18"/>
              </w:rPr>
              <w:t>200 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413" w14:textId="77777777" w:rsidR="002661BA" w:rsidRDefault="002661BA">
            <w:pPr>
              <w:jc w:val="right"/>
              <w:rPr>
                <w:rFonts w:ascii="宋体"/>
              </w:rPr>
            </w:pPr>
          </w:p>
        </w:tc>
      </w:tr>
      <w:tr w:rsidR="002661BA" w14:paraId="22CFC41B" w14:textId="77777777">
        <w:tc>
          <w:tcPr>
            <w:tcW w:w="0" w:type="auto"/>
            <w:gridSpan w:val="3"/>
            <w:shd w:val="clear" w:color="auto" w:fill="FFFFFF"/>
            <w:tcMar>
              <w:top w:w="40" w:type="dxa"/>
              <w:left w:w="20" w:type="dxa"/>
              <w:bottom w:w="40" w:type="dxa"/>
              <w:right w:w="20" w:type="dxa"/>
            </w:tcMar>
            <w:vAlign w:val="bottom"/>
          </w:tcPr>
          <w:p w14:paraId="22CFC415" w14:textId="77777777" w:rsidR="002661BA" w:rsidRDefault="00D972BC">
            <w:pPr>
              <w:textAlignment w:val="bottom"/>
            </w:pPr>
            <w:r>
              <w:rPr>
                <w:rFonts w:ascii="Arial" w:eastAsia="宋体" w:hAnsi="Arial" w:cs="Arial"/>
                <w:color w:val="000000"/>
                <w:sz w:val="18"/>
                <w:szCs w:val="18"/>
              </w:rPr>
              <w:t xml:space="preserve">Less: Net gains/(losses) recognized during the period on equity investments sold during the period </w:t>
            </w:r>
            <w:r>
              <w:rPr>
                <w:rFonts w:ascii="Arial" w:eastAsia="宋体" w:hAnsi="Arial" w:cs="Arial"/>
                <w:color w:val="000000"/>
                <w:sz w:val="11"/>
                <w:szCs w:val="11"/>
              </w:rPr>
              <w:t>(1)</w:t>
            </w:r>
          </w:p>
        </w:tc>
        <w:tc>
          <w:tcPr>
            <w:tcW w:w="0" w:type="auto"/>
            <w:gridSpan w:val="2"/>
            <w:shd w:val="clear" w:color="auto" w:fill="FFFFFF"/>
            <w:tcMar>
              <w:top w:w="40" w:type="dxa"/>
              <w:left w:w="20" w:type="dxa"/>
              <w:bottom w:w="40" w:type="dxa"/>
              <w:right w:w="0" w:type="dxa"/>
            </w:tcMar>
            <w:vAlign w:val="bottom"/>
          </w:tcPr>
          <w:p w14:paraId="22CFC416" w14:textId="77777777" w:rsidR="002661BA" w:rsidRDefault="00D972BC">
            <w:pPr>
              <w:jc w:val="right"/>
              <w:textAlignment w:val="bottom"/>
            </w:pPr>
            <w:r>
              <w:rPr>
                <w:rFonts w:ascii="Arial" w:eastAsia="宋体" w:hAnsi="Arial" w:cs="Arial"/>
                <w:color w:val="000000"/>
                <w:sz w:val="18"/>
                <w:szCs w:val="18"/>
              </w:rPr>
              <w:t>92 </w:t>
            </w:r>
          </w:p>
        </w:tc>
        <w:tc>
          <w:tcPr>
            <w:tcW w:w="0" w:type="auto"/>
            <w:shd w:val="clear" w:color="auto" w:fill="FFFFFF"/>
            <w:tcMar>
              <w:top w:w="40" w:type="dxa"/>
              <w:left w:w="0" w:type="dxa"/>
              <w:bottom w:w="40" w:type="dxa"/>
              <w:right w:w="20" w:type="dxa"/>
            </w:tcMar>
            <w:vAlign w:val="bottom"/>
          </w:tcPr>
          <w:p w14:paraId="22CFC41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418"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419"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41A" w14:textId="77777777" w:rsidR="002661BA" w:rsidRDefault="002661BA">
            <w:pPr>
              <w:jc w:val="right"/>
              <w:rPr>
                <w:rFonts w:ascii="宋体"/>
              </w:rPr>
            </w:pPr>
          </w:p>
        </w:tc>
      </w:tr>
      <w:tr w:rsidR="002661BA" w14:paraId="22CFC424" w14:textId="77777777">
        <w:tc>
          <w:tcPr>
            <w:tcW w:w="0" w:type="auto"/>
            <w:gridSpan w:val="3"/>
            <w:shd w:val="clear" w:color="auto" w:fill="E2E2E2"/>
            <w:tcMar>
              <w:top w:w="40" w:type="dxa"/>
              <w:left w:w="20" w:type="dxa"/>
              <w:bottom w:w="40" w:type="dxa"/>
              <w:right w:w="20" w:type="dxa"/>
            </w:tcMar>
            <w:vAlign w:val="bottom"/>
          </w:tcPr>
          <w:p w14:paraId="22CFC41C" w14:textId="77777777" w:rsidR="002661BA" w:rsidRDefault="00D972BC">
            <w:pPr>
              <w:textAlignment w:val="bottom"/>
            </w:pPr>
            <w:r>
              <w:rPr>
                <w:rFonts w:ascii="Arial" w:eastAsia="宋体" w:hAnsi="Arial" w:cs="Arial"/>
                <w:color w:val="000000"/>
                <w:sz w:val="18"/>
                <w:szCs w:val="18"/>
              </w:rPr>
              <w:t>Total unrealized gains/(losses) on equity investments still held at December 31, 2021</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C41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C41E" w14:textId="77777777" w:rsidR="002661BA" w:rsidRDefault="00D972BC">
            <w:pPr>
              <w:jc w:val="right"/>
              <w:textAlignment w:val="bottom"/>
            </w:pPr>
            <w:r>
              <w:rPr>
                <w:rFonts w:ascii="Arial" w:eastAsia="宋体" w:hAnsi="Arial" w:cs="Arial"/>
                <w:color w:val="000000"/>
                <w:sz w:val="18"/>
                <w:szCs w:val="18"/>
              </w:rPr>
              <w:t>(2,808)</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C41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420"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C42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C422" w14:textId="77777777" w:rsidR="002661BA" w:rsidRDefault="00D972BC">
            <w:pPr>
              <w:jc w:val="right"/>
              <w:textAlignment w:val="bottom"/>
            </w:pPr>
            <w:r>
              <w:rPr>
                <w:rFonts w:ascii="Arial" w:eastAsia="宋体" w:hAnsi="Arial" w:cs="Arial"/>
                <w:color w:val="000000"/>
                <w:sz w:val="18"/>
                <w:szCs w:val="18"/>
              </w:rPr>
              <w:t>200 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C423" w14:textId="77777777" w:rsidR="002661BA" w:rsidRDefault="002661BA">
            <w:pPr>
              <w:jc w:val="right"/>
              <w:rPr>
                <w:rFonts w:ascii="宋体"/>
              </w:rPr>
            </w:pPr>
          </w:p>
        </w:tc>
      </w:tr>
    </w:tbl>
    <w:p w14:paraId="22CFC425" w14:textId="77777777" w:rsidR="002661BA" w:rsidRDefault="00D972BC">
      <w:pPr>
        <w:ind w:hanging="360"/>
        <w:jc w:val="both"/>
      </w:pPr>
      <w:r>
        <w:rPr>
          <w:rFonts w:ascii="Arial" w:eastAsia="宋体" w:hAnsi="Arial" w:cs="Arial"/>
          <w:color w:val="000000"/>
          <w:sz w:val="16"/>
          <w:szCs w:val="16"/>
        </w:rPr>
        <w:t xml:space="preserve">(1)Includes </w:t>
      </w:r>
      <w:r>
        <w:rPr>
          <w:rFonts w:ascii="Arial" w:eastAsia="宋体" w:hAnsi="Arial" w:cs="Arial"/>
          <w:color w:val="000000"/>
          <w:sz w:val="16"/>
          <w:szCs w:val="16"/>
        </w:rPr>
        <w:t>gains/(losses) realized on the change in fair value of the shares sold on the respective dates of sale.</w:t>
      </w:r>
    </w:p>
    <w:p w14:paraId="22CFC426" w14:textId="77777777" w:rsidR="002661BA" w:rsidRDefault="002661BA">
      <w:pPr>
        <w:spacing w:before="120"/>
        <w:jc w:val="both"/>
      </w:pPr>
    </w:p>
    <w:p w14:paraId="22CFC427" w14:textId="77777777" w:rsidR="002661BA" w:rsidRDefault="002661BA">
      <w:pPr>
        <w:spacing w:before="120"/>
        <w:jc w:val="both"/>
      </w:pPr>
    </w:p>
    <w:p w14:paraId="22CFC428" w14:textId="77777777" w:rsidR="002661BA" w:rsidRDefault="00D972BC">
      <w:pPr>
        <w:jc w:val="center"/>
      </w:pPr>
      <w:r>
        <w:rPr>
          <w:rFonts w:ascii="Arial" w:eastAsia="宋体" w:hAnsi="Arial" w:cs="Arial"/>
          <w:color w:val="000000"/>
          <w:sz w:val="18"/>
          <w:szCs w:val="18"/>
        </w:rPr>
        <w:t>85</w:t>
      </w:r>
    </w:p>
    <w:p w14:paraId="22CFC429" w14:textId="77777777" w:rsidR="002661BA" w:rsidRDefault="00D972BC">
      <w:r>
        <w:pict w14:anchorId="22CFE506">
          <v:rect id="_x0000_i1109" style="width:415.3pt;height:1.5pt" o:hralign="center" o:hrstd="t" o:hr="t" fillcolor="#a0a0a0" stroked="f"/>
        </w:pict>
      </w:r>
    </w:p>
    <w:p w14:paraId="22CFC42A" w14:textId="77777777" w:rsidR="002661BA" w:rsidRDefault="00D972BC">
      <w:hyperlink r:id="rId120" w:anchor="id0d7a71b05ce452ea9fdb54f3cb359c7_7" w:history="1">
        <w:r>
          <w:rPr>
            <w:rStyle w:val="a5"/>
            <w:rFonts w:ascii="Arial" w:eastAsia="宋体" w:hAnsi="Arial" w:cs="Arial"/>
            <w:sz w:val="18"/>
            <w:szCs w:val="18"/>
          </w:rPr>
          <w:t>Table of Contents</w:t>
        </w:r>
      </w:hyperlink>
    </w:p>
    <w:p w14:paraId="22CFC42B" w14:textId="77777777" w:rsidR="002661BA" w:rsidRDefault="00D972BC">
      <w:pPr>
        <w:jc w:val="center"/>
      </w:pPr>
      <w:r>
        <w:rPr>
          <w:rFonts w:ascii="Arial" w:eastAsia="宋体" w:hAnsi="Arial" w:cs="Arial"/>
          <w:b/>
          <w:bCs/>
          <w:color w:val="000000"/>
          <w:sz w:val="20"/>
          <w:szCs w:val="20"/>
        </w:rPr>
        <w:t>eBay Inc.</w:t>
      </w:r>
    </w:p>
    <w:p w14:paraId="22CFC42C"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42D" w14:textId="77777777" w:rsidR="002661BA" w:rsidRDefault="00D972BC">
      <w:pPr>
        <w:jc w:val="both"/>
      </w:pPr>
      <w:r>
        <w:rPr>
          <w:rFonts w:ascii="Arial" w:eastAsia="宋体" w:hAnsi="Arial" w:cs="Arial"/>
          <w:b/>
          <w:bCs/>
          <w:color w:val="000000"/>
          <w:sz w:val="20"/>
          <w:szCs w:val="20"/>
        </w:rPr>
        <w:t xml:space="preserve">Note 7 — Derivative </w:t>
      </w:r>
      <w:r>
        <w:rPr>
          <w:rFonts w:ascii="Arial" w:eastAsia="宋体" w:hAnsi="Arial" w:cs="Arial"/>
          <w:b/>
          <w:bCs/>
          <w:color w:val="000000"/>
          <w:sz w:val="20"/>
          <w:szCs w:val="20"/>
        </w:rPr>
        <w:t xml:space="preserve">Instruments </w:t>
      </w:r>
    </w:p>
    <w:p w14:paraId="22CFC42E" w14:textId="77777777" w:rsidR="002661BA" w:rsidRDefault="002661BA">
      <w:pPr>
        <w:jc w:val="both"/>
      </w:pPr>
    </w:p>
    <w:p w14:paraId="22CFC42F" w14:textId="77777777" w:rsidR="002661BA" w:rsidRDefault="00D972BC">
      <w:pPr>
        <w:ind w:firstLine="540"/>
        <w:jc w:val="both"/>
      </w:pPr>
      <w:r>
        <w:rPr>
          <w:rFonts w:ascii="Arial" w:eastAsia="宋体" w:hAnsi="Arial" w:cs="Arial"/>
          <w:color w:val="000000"/>
          <w:sz w:val="20"/>
          <w:szCs w:val="20"/>
        </w:rPr>
        <w:t xml:space="preserve">Our primary objective in holding derivatives is to reduce the volatility of earnings and cash flows associated with changes in foreign currency exchange rates and interest rates. These hedging contracts reduce, but do not entirely eliminate, </w:t>
      </w:r>
      <w:r>
        <w:rPr>
          <w:rFonts w:ascii="Arial" w:eastAsia="宋体" w:hAnsi="Arial" w:cs="Arial"/>
          <w:color w:val="000000"/>
          <w:sz w:val="20"/>
          <w:szCs w:val="20"/>
        </w:rPr>
        <w:t>the impact of adverse foreign exchange rate and interest rate movements. We do not use any of our derivative instruments for trading purposes.</w:t>
      </w:r>
    </w:p>
    <w:p w14:paraId="22CFC430" w14:textId="77777777" w:rsidR="002661BA" w:rsidRDefault="002661BA">
      <w:pPr>
        <w:ind w:firstLine="540"/>
        <w:jc w:val="both"/>
      </w:pPr>
    </w:p>
    <w:p w14:paraId="22CFC431" w14:textId="77777777" w:rsidR="002661BA" w:rsidRDefault="00D972BC">
      <w:pPr>
        <w:ind w:firstLine="540"/>
        <w:jc w:val="both"/>
      </w:pPr>
      <w:r>
        <w:rPr>
          <w:rFonts w:ascii="Arial" w:eastAsia="宋体" w:hAnsi="Arial" w:cs="Arial"/>
          <w:color w:val="000000"/>
          <w:sz w:val="20"/>
          <w:szCs w:val="20"/>
        </w:rPr>
        <w:t>We use foreign currency exchange contracts to reduce the volatility of cash flows related to forecasted revenues</w:t>
      </w:r>
      <w:r>
        <w:rPr>
          <w:rFonts w:ascii="Arial" w:eastAsia="宋体" w:hAnsi="Arial" w:cs="Arial"/>
          <w:color w:val="000000"/>
          <w:sz w:val="20"/>
          <w:szCs w:val="20"/>
        </w:rPr>
        <w:t xml:space="preserve">, expenses, assets and liabilities, including intercompany balances denominated in foreign currencies. These contracts are generally one month to one year in duration, but with maturities up to 24 months. The objective of the foreign exchange contracts is </w:t>
      </w:r>
      <w:r>
        <w:rPr>
          <w:rFonts w:ascii="Arial" w:eastAsia="宋体" w:hAnsi="Arial" w:cs="Arial"/>
          <w:color w:val="000000"/>
          <w:sz w:val="20"/>
          <w:szCs w:val="20"/>
        </w:rPr>
        <w:t>to ensure that ultimately the U.S. dollar-equivalent cash flows are not adversely affected by changes in the applicable U.S. dollar/foreign currency exchange rate. We evaluate the effectiveness of our foreign exchange contracts designated as cash flow or n</w:t>
      </w:r>
      <w:r>
        <w:rPr>
          <w:rFonts w:ascii="Arial" w:eastAsia="宋体" w:hAnsi="Arial" w:cs="Arial"/>
          <w:color w:val="000000"/>
          <w:sz w:val="20"/>
          <w:szCs w:val="20"/>
        </w:rPr>
        <w:t xml:space="preserve">et investment hedges on a quarterly basis. </w:t>
      </w:r>
    </w:p>
    <w:p w14:paraId="22CFC432" w14:textId="77777777" w:rsidR="002661BA" w:rsidRDefault="002661BA">
      <w:pPr>
        <w:ind w:firstLine="540"/>
        <w:jc w:val="both"/>
      </w:pPr>
    </w:p>
    <w:p w14:paraId="22CFC433" w14:textId="77777777" w:rsidR="002661BA" w:rsidRDefault="00D972BC">
      <w:pPr>
        <w:ind w:firstLine="540"/>
        <w:jc w:val="both"/>
      </w:pPr>
      <w:r>
        <w:rPr>
          <w:rFonts w:ascii="Arial" w:eastAsia="宋体" w:hAnsi="Arial" w:cs="Arial"/>
          <w:color w:val="000000"/>
          <w:sz w:val="20"/>
          <w:szCs w:val="20"/>
        </w:rPr>
        <w:t>In 2020, we began to hedge the variability of forecasted interest payments on anticipated debt issuance using forward-starting interest rate swaps. These interest rate swaps effectively fix the benchmark interes</w:t>
      </w:r>
      <w:r>
        <w:rPr>
          <w:rFonts w:ascii="Arial" w:eastAsia="宋体" w:hAnsi="Arial" w:cs="Arial"/>
          <w:color w:val="000000"/>
          <w:sz w:val="20"/>
          <w:szCs w:val="20"/>
        </w:rPr>
        <w:t>t rate and have the economic effect of hedging the variability of forecasted interest payments for up to 10 years on an anticipated debt issuance. Similar to other cash flow hedges, we recorded changes in the fair value of these interest rate swaps in accu</w:t>
      </w:r>
      <w:r>
        <w:rPr>
          <w:rFonts w:ascii="Arial" w:eastAsia="宋体" w:hAnsi="Arial" w:cs="Arial"/>
          <w:color w:val="000000"/>
          <w:sz w:val="20"/>
          <w:szCs w:val="20"/>
        </w:rPr>
        <w:t>mulated other comprehensive income (loss) (“AOCI”) until the anticipated debt issuance. In May 2021, we issued $2.5 billion of senior unsecured notes, which consisted of notes maturing in 2026, 2031 and 2051. As a result, we terminated the interest rate sw</w:t>
      </w:r>
      <w:r>
        <w:rPr>
          <w:rFonts w:ascii="Arial" w:eastAsia="宋体" w:hAnsi="Arial" w:cs="Arial"/>
          <w:color w:val="000000"/>
          <w:sz w:val="20"/>
          <w:szCs w:val="20"/>
        </w:rPr>
        <w:t xml:space="preserve">aps and the gain associated with the termination of approximately $45 million is amortized to interest expense over the terms of our notes due in May 2026 and May 2031. </w:t>
      </w:r>
    </w:p>
    <w:p w14:paraId="22CFC434" w14:textId="77777777" w:rsidR="002661BA" w:rsidRDefault="002661BA">
      <w:pPr>
        <w:ind w:firstLine="540"/>
        <w:jc w:val="both"/>
      </w:pPr>
    </w:p>
    <w:p w14:paraId="22CFC435" w14:textId="77777777" w:rsidR="002661BA" w:rsidRDefault="00D972BC">
      <w:pPr>
        <w:ind w:firstLine="540"/>
        <w:jc w:val="both"/>
      </w:pPr>
      <w:r>
        <w:rPr>
          <w:rFonts w:ascii="Arial" w:eastAsia="宋体" w:hAnsi="Arial" w:cs="Arial"/>
          <w:color w:val="000000"/>
          <w:sz w:val="20"/>
          <w:szCs w:val="20"/>
        </w:rPr>
        <w:t>During 2020, we began to hedge the variability of the cash flows in interest payments</w:t>
      </w:r>
      <w:r>
        <w:rPr>
          <w:rFonts w:ascii="Arial" w:eastAsia="宋体" w:hAnsi="Arial" w:cs="Arial"/>
          <w:color w:val="000000"/>
          <w:sz w:val="20"/>
          <w:szCs w:val="20"/>
        </w:rPr>
        <w:t xml:space="preserve"> associated with our floating-rate debt using interest rate swaps. These interest rate swap agreements effectively convert our floating-rate debt that is based on London Interbank Offered Rate (“LIBOR”) to a fixed-rate basis, reducing the impact of interes</w:t>
      </w:r>
      <w:r>
        <w:rPr>
          <w:rFonts w:ascii="Arial" w:eastAsia="宋体" w:hAnsi="Arial" w:cs="Arial"/>
          <w:color w:val="000000"/>
          <w:sz w:val="20"/>
          <w:szCs w:val="20"/>
        </w:rPr>
        <w:t>t-rate changes on future interest expense. The total notional amount of these interest swaps was $400 million as of December 31, 2021 with terms calling for us to receive interest at a variable rate and to pay interest at a fixed rate. Our interest rate sw</w:t>
      </w:r>
      <w:r>
        <w:rPr>
          <w:rFonts w:ascii="Arial" w:eastAsia="宋体" w:hAnsi="Arial" w:cs="Arial"/>
          <w:color w:val="000000"/>
          <w:sz w:val="20"/>
          <w:szCs w:val="20"/>
        </w:rPr>
        <w:t xml:space="preserve">ap contracts have maturity dates in 2023. Similar to other cash flow hedges, we record changes in the fair value of these interest rate swaps in AOCI and their fair value will be amortized over the term of the debt to interest expense. </w:t>
      </w:r>
    </w:p>
    <w:p w14:paraId="22CFC436" w14:textId="77777777" w:rsidR="002661BA" w:rsidRDefault="002661BA">
      <w:pPr>
        <w:ind w:firstLine="540"/>
        <w:jc w:val="both"/>
      </w:pPr>
    </w:p>
    <w:p w14:paraId="22CFC437" w14:textId="77777777" w:rsidR="002661BA" w:rsidRDefault="00D972BC">
      <w:pPr>
        <w:ind w:firstLine="540"/>
        <w:jc w:val="both"/>
      </w:pPr>
      <w:r>
        <w:rPr>
          <w:rFonts w:ascii="Arial" w:eastAsia="宋体" w:hAnsi="Arial" w:cs="Arial"/>
          <w:color w:val="000000"/>
          <w:sz w:val="20"/>
          <w:szCs w:val="20"/>
        </w:rPr>
        <w:t>We used interest r</w:t>
      </w:r>
      <w:r>
        <w:rPr>
          <w:rFonts w:ascii="Arial" w:eastAsia="宋体" w:hAnsi="Arial" w:cs="Arial"/>
          <w:color w:val="000000"/>
          <w:sz w:val="20"/>
          <w:szCs w:val="20"/>
        </w:rPr>
        <w:t>ate swaps to manage interest rate risk on our fixed rate notes issued in July 2014 and maturing in 2019, 2021 and 2024. These interest rate swaps had the economic effect of modifying the fixed interest obligations associated with $2.4 billion of these note</w:t>
      </w:r>
      <w:r>
        <w:rPr>
          <w:rFonts w:ascii="Arial" w:eastAsia="宋体" w:hAnsi="Arial" w:cs="Arial"/>
          <w:color w:val="000000"/>
          <w:sz w:val="20"/>
          <w:szCs w:val="20"/>
        </w:rPr>
        <w:t>s so that the interest payable on these senior notes effectively became variable based on LIBOR plus a spread. These interest rate swaps were terminated in 2019.</w:t>
      </w:r>
    </w:p>
    <w:p w14:paraId="22CFC438" w14:textId="77777777" w:rsidR="002661BA" w:rsidRDefault="002661BA">
      <w:pPr>
        <w:ind w:firstLine="540"/>
        <w:jc w:val="both"/>
      </w:pPr>
    </w:p>
    <w:p w14:paraId="22CFC439" w14:textId="77777777" w:rsidR="002661BA" w:rsidRDefault="00D972BC">
      <w:pPr>
        <w:jc w:val="both"/>
      </w:pPr>
      <w:r>
        <w:rPr>
          <w:rFonts w:ascii="Arial" w:eastAsia="宋体" w:hAnsi="Arial" w:cs="Arial"/>
          <w:b/>
          <w:bCs/>
          <w:i/>
          <w:iCs/>
          <w:color w:val="000000"/>
          <w:sz w:val="20"/>
          <w:szCs w:val="20"/>
        </w:rPr>
        <w:t>Cash Flow Hedges</w:t>
      </w:r>
    </w:p>
    <w:p w14:paraId="22CFC43A" w14:textId="77777777" w:rsidR="002661BA" w:rsidRDefault="002661BA">
      <w:pPr>
        <w:ind w:firstLine="540"/>
        <w:jc w:val="both"/>
      </w:pPr>
    </w:p>
    <w:p w14:paraId="22CFC43B" w14:textId="77777777" w:rsidR="002661BA" w:rsidRDefault="00D972BC">
      <w:pPr>
        <w:ind w:firstLine="540"/>
        <w:jc w:val="both"/>
      </w:pPr>
      <w:r>
        <w:rPr>
          <w:rFonts w:ascii="Arial" w:eastAsia="宋体" w:hAnsi="Arial" w:cs="Arial"/>
          <w:color w:val="000000"/>
          <w:sz w:val="20"/>
          <w:szCs w:val="20"/>
        </w:rPr>
        <w:t>For derivative instruments that are designated as cash flow hedges, the der</w:t>
      </w:r>
      <w:r>
        <w:rPr>
          <w:rFonts w:ascii="Arial" w:eastAsia="宋体" w:hAnsi="Arial" w:cs="Arial"/>
          <w:color w:val="000000"/>
          <w:sz w:val="20"/>
          <w:szCs w:val="20"/>
        </w:rPr>
        <w:t>ivative’s gain or loss is initially reported as a component of AOCI and subsequently reclassified into earnings in the same period the forecasted hedged transaction affects earnings. Derivative instruments designated as cash flow hedges must be de-designat</w:t>
      </w:r>
      <w:r>
        <w:rPr>
          <w:rFonts w:ascii="Arial" w:eastAsia="宋体" w:hAnsi="Arial" w:cs="Arial"/>
          <w:color w:val="000000"/>
          <w:sz w:val="20"/>
          <w:szCs w:val="20"/>
        </w:rPr>
        <w:t>ed as hedges when it is probable the forecasted hedged transaction will not occur in the initially identified time period or within a subsequent two-month time period. Unrealized gains and losses in AOCI associated with such derivative instruments are imme</w:t>
      </w:r>
      <w:r>
        <w:rPr>
          <w:rFonts w:ascii="Arial" w:eastAsia="宋体" w:hAnsi="Arial" w:cs="Arial"/>
          <w:color w:val="000000"/>
          <w:sz w:val="20"/>
          <w:szCs w:val="20"/>
        </w:rPr>
        <w:t>diately reclassified into earnings</w:t>
      </w:r>
      <w:r>
        <w:rPr>
          <w:rFonts w:ascii="Times New Roman" w:eastAsia="宋体" w:hAnsi="Times New Roman"/>
          <w:color w:val="000000"/>
          <w:sz w:val="20"/>
          <w:szCs w:val="20"/>
        </w:rPr>
        <w:t xml:space="preserve">. </w:t>
      </w:r>
      <w:r>
        <w:rPr>
          <w:rFonts w:ascii="Arial" w:eastAsia="宋体" w:hAnsi="Arial" w:cs="Arial"/>
          <w:color w:val="000000"/>
          <w:sz w:val="20"/>
          <w:szCs w:val="20"/>
        </w:rPr>
        <w:t>As of December 31, 2021, we have estimated that approximately $16 million of net derivative gains related to our foreign exchange cash flow hedges and no net derivative losses related to our interest rate cash flow hedge</w:t>
      </w:r>
      <w:r>
        <w:rPr>
          <w:rFonts w:ascii="Arial" w:eastAsia="宋体" w:hAnsi="Arial" w:cs="Arial"/>
          <w:color w:val="000000"/>
          <w:sz w:val="20"/>
          <w:szCs w:val="20"/>
        </w:rPr>
        <w:t>s included in accumulated other comprehensive income will be reclassified into earnings within the next 12 months. We classify cash flows related to our cash flow hedges as operating activities in our consolidated statement of cash flows.</w:t>
      </w:r>
    </w:p>
    <w:p w14:paraId="22CFC43C" w14:textId="77777777" w:rsidR="002661BA" w:rsidRDefault="002661BA">
      <w:pPr>
        <w:ind w:firstLine="540"/>
        <w:jc w:val="both"/>
      </w:pPr>
    </w:p>
    <w:p w14:paraId="22CFC43D" w14:textId="77777777" w:rsidR="002661BA" w:rsidRDefault="00D972BC">
      <w:pPr>
        <w:jc w:val="center"/>
      </w:pPr>
      <w:r>
        <w:rPr>
          <w:rFonts w:ascii="Arial" w:eastAsia="宋体" w:hAnsi="Arial" w:cs="Arial"/>
          <w:color w:val="000000"/>
          <w:sz w:val="18"/>
          <w:szCs w:val="18"/>
        </w:rPr>
        <w:t>86</w:t>
      </w:r>
    </w:p>
    <w:p w14:paraId="22CFC43E" w14:textId="77777777" w:rsidR="002661BA" w:rsidRDefault="00D972BC">
      <w:r>
        <w:pict w14:anchorId="22CFE507">
          <v:rect id="_x0000_i1110" style="width:415.3pt;height:1.5pt" o:hralign="center" o:hrstd="t" o:hr="t" fillcolor="#a0a0a0" stroked="f"/>
        </w:pict>
      </w:r>
    </w:p>
    <w:p w14:paraId="22CFC43F" w14:textId="77777777" w:rsidR="002661BA" w:rsidRDefault="00D972BC">
      <w:hyperlink r:id="rId121" w:anchor="id0d7a71b05ce452ea9fdb54f3cb359c7_7" w:history="1">
        <w:r>
          <w:rPr>
            <w:rStyle w:val="a5"/>
            <w:rFonts w:ascii="Arial" w:eastAsia="宋体" w:hAnsi="Arial" w:cs="Arial"/>
            <w:sz w:val="18"/>
            <w:szCs w:val="18"/>
          </w:rPr>
          <w:t>Table of Contents</w:t>
        </w:r>
      </w:hyperlink>
    </w:p>
    <w:p w14:paraId="22CFC440" w14:textId="77777777" w:rsidR="002661BA" w:rsidRDefault="00D972BC">
      <w:pPr>
        <w:jc w:val="center"/>
      </w:pPr>
      <w:r>
        <w:rPr>
          <w:rFonts w:ascii="Arial" w:eastAsia="宋体" w:hAnsi="Arial" w:cs="Arial"/>
          <w:b/>
          <w:bCs/>
          <w:color w:val="000000"/>
          <w:sz w:val="20"/>
          <w:szCs w:val="20"/>
        </w:rPr>
        <w:t>eBay Inc.</w:t>
      </w:r>
    </w:p>
    <w:p w14:paraId="22CFC441"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442" w14:textId="77777777" w:rsidR="002661BA" w:rsidRDefault="00D972BC">
      <w:pPr>
        <w:jc w:val="both"/>
      </w:pPr>
      <w:r>
        <w:rPr>
          <w:rFonts w:ascii="Arial" w:eastAsia="宋体" w:hAnsi="Arial" w:cs="Arial"/>
          <w:b/>
          <w:bCs/>
          <w:i/>
          <w:iCs/>
          <w:color w:val="000000"/>
          <w:sz w:val="20"/>
          <w:szCs w:val="20"/>
        </w:rPr>
        <w:t>Fair Value Hedges</w:t>
      </w:r>
    </w:p>
    <w:p w14:paraId="22CFC443" w14:textId="77777777" w:rsidR="002661BA" w:rsidRDefault="002661BA">
      <w:pPr>
        <w:jc w:val="both"/>
      </w:pPr>
    </w:p>
    <w:p w14:paraId="22CFC444" w14:textId="77777777" w:rsidR="002661BA" w:rsidRDefault="00D972BC">
      <w:pPr>
        <w:ind w:firstLine="540"/>
        <w:jc w:val="both"/>
      </w:pPr>
      <w:r>
        <w:rPr>
          <w:rFonts w:ascii="Arial" w:eastAsia="宋体" w:hAnsi="Arial" w:cs="Arial"/>
          <w:color w:val="000000"/>
          <w:sz w:val="20"/>
          <w:szCs w:val="20"/>
        </w:rPr>
        <w:t>W</w:t>
      </w:r>
      <w:r>
        <w:rPr>
          <w:rFonts w:ascii="Arial" w:eastAsia="宋体" w:hAnsi="Arial" w:cs="Arial"/>
          <w:color w:val="000000"/>
          <w:sz w:val="20"/>
          <w:szCs w:val="20"/>
        </w:rPr>
        <w:t>e designated the interest rate swaps used to manage interest rate risk on our fixed rate notes issued in July 2014 and maturing in 2019, 2021 and 2024 as qualifying hedging instruments and accounted for them as fair value hedges. These transactions were de</w:t>
      </w:r>
      <w:r>
        <w:rPr>
          <w:rFonts w:ascii="Arial" w:eastAsia="宋体" w:hAnsi="Arial" w:cs="Arial"/>
          <w:color w:val="000000"/>
          <w:sz w:val="20"/>
          <w:szCs w:val="20"/>
        </w:rPr>
        <w:t>signated as fair value hedges for financial accounting purposes because they protected us against changes in the fair value of certain of our fixed rate borrowings due to benchmark interest rate movements. In 2019, $1.15 billion related to our 2.200% senio</w:t>
      </w:r>
      <w:r>
        <w:rPr>
          <w:rFonts w:ascii="Arial" w:eastAsia="宋体" w:hAnsi="Arial" w:cs="Arial"/>
          <w:color w:val="000000"/>
          <w:sz w:val="20"/>
          <w:szCs w:val="20"/>
        </w:rPr>
        <w:t>r notes due 2019 of the $2.4 billion aggregate notional amount matured. In addition, during 2019, we terminated the interest rate swaps related to $750 million of our 2.875% senior notes due July 2021 and $500 million of our 3.450% senior notes due July 20</w:t>
      </w:r>
      <w:r>
        <w:rPr>
          <w:rFonts w:ascii="Arial" w:eastAsia="宋体" w:hAnsi="Arial" w:cs="Arial"/>
          <w:color w:val="000000"/>
          <w:sz w:val="20"/>
          <w:szCs w:val="20"/>
        </w:rPr>
        <w:t>24. As a result of the early termination, hedge accounting was discontinued prospectively and the gain on termination was recorded as an increase to the long-term debt balance and is being recognized over the remaining life of the underlying debt as a redu</w:t>
      </w:r>
      <w:r>
        <w:rPr>
          <w:rFonts w:ascii="Arial" w:eastAsia="宋体" w:hAnsi="Arial" w:cs="Arial"/>
          <w:color w:val="000000"/>
          <w:sz w:val="20"/>
          <w:szCs w:val="20"/>
        </w:rPr>
        <w:t>ction to interest expense. The gain recognized was immaterial for the years ended December 31, 2020 and December 31, 2019</w:t>
      </w:r>
      <w:r>
        <w:rPr>
          <w:rFonts w:ascii="Times New Roman" w:eastAsia="宋体" w:hAnsi="Times New Roman"/>
          <w:color w:val="000000"/>
          <w:sz w:val="20"/>
          <w:szCs w:val="20"/>
        </w:rPr>
        <w:t>.</w:t>
      </w:r>
    </w:p>
    <w:p w14:paraId="22CFC445" w14:textId="77777777" w:rsidR="002661BA" w:rsidRDefault="002661BA">
      <w:pPr>
        <w:jc w:val="both"/>
      </w:pPr>
    </w:p>
    <w:p w14:paraId="22CFC446" w14:textId="77777777" w:rsidR="002661BA" w:rsidRDefault="00D972BC">
      <w:pPr>
        <w:jc w:val="both"/>
      </w:pPr>
      <w:r>
        <w:rPr>
          <w:rFonts w:ascii="Arial" w:eastAsia="宋体" w:hAnsi="Arial" w:cs="Arial"/>
          <w:b/>
          <w:bCs/>
          <w:i/>
          <w:iCs/>
          <w:color w:val="000000"/>
          <w:sz w:val="20"/>
          <w:szCs w:val="20"/>
        </w:rPr>
        <w:t>Non-Designated Hedges</w:t>
      </w:r>
    </w:p>
    <w:p w14:paraId="22CFC447" w14:textId="77777777" w:rsidR="002661BA" w:rsidRDefault="002661BA"/>
    <w:p w14:paraId="22CFC448" w14:textId="77777777" w:rsidR="002661BA" w:rsidRDefault="00D972BC">
      <w:pPr>
        <w:ind w:firstLine="540"/>
        <w:jc w:val="both"/>
      </w:pPr>
      <w:r>
        <w:rPr>
          <w:rFonts w:ascii="Arial" w:eastAsia="宋体" w:hAnsi="Arial" w:cs="Arial"/>
          <w:color w:val="000000"/>
          <w:sz w:val="20"/>
          <w:szCs w:val="20"/>
        </w:rPr>
        <w:t>Our derivatives not designated as hedging instruments consist of foreign currency forward contracts that we p</w:t>
      </w:r>
      <w:r>
        <w:rPr>
          <w:rFonts w:ascii="Arial" w:eastAsia="宋体" w:hAnsi="Arial" w:cs="Arial"/>
          <w:color w:val="000000"/>
          <w:sz w:val="20"/>
          <w:szCs w:val="20"/>
        </w:rPr>
        <w:t>rimarily use to hedge monetary assets or liabilities, including intercompany balances and equity investments denominated in non-functional currencies. The gains and losses on our derivatives not designated as hedging instruments are recorded in interest an</w:t>
      </w:r>
      <w:r>
        <w:rPr>
          <w:rFonts w:ascii="Arial" w:eastAsia="宋体" w:hAnsi="Arial" w:cs="Arial"/>
          <w:color w:val="000000"/>
          <w:sz w:val="20"/>
          <w:szCs w:val="20"/>
        </w:rPr>
        <w:t>d other</w:t>
      </w:r>
      <w:r>
        <w:rPr>
          <w:rFonts w:ascii="Times New Roman" w:eastAsia="宋体" w:hAnsi="Times New Roman"/>
          <w:color w:val="000000"/>
          <w:sz w:val="20"/>
          <w:szCs w:val="20"/>
        </w:rPr>
        <w:t>,</w:t>
      </w:r>
      <w:r>
        <w:rPr>
          <w:rFonts w:ascii="Arial" w:eastAsia="宋体" w:hAnsi="Arial" w:cs="Arial"/>
          <w:color w:val="000000"/>
          <w:sz w:val="20"/>
          <w:szCs w:val="20"/>
        </w:rPr>
        <w:t xml:space="preserve"> net, which are offset by the foreign currency gains and losses on the related assets and liabilities that are also recorded in interest and other, net. We classify cash flows related to our non-designated hedging instruments in the same line item </w:t>
      </w:r>
      <w:r>
        <w:rPr>
          <w:rFonts w:ascii="Arial" w:eastAsia="宋体" w:hAnsi="Arial" w:cs="Arial"/>
          <w:color w:val="000000"/>
          <w:sz w:val="20"/>
          <w:szCs w:val="20"/>
        </w:rPr>
        <w:t>as the cash flows of the related assets or liabilities, which is generally within operating activities in our consolidated statement of cash flows. Cash flows related to the settlement of non-designated hedging instruments related to equity investments are</w:t>
      </w:r>
      <w:r>
        <w:rPr>
          <w:rFonts w:ascii="Arial" w:eastAsia="宋体" w:hAnsi="Arial" w:cs="Arial"/>
          <w:color w:val="000000"/>
          <w:sz w:val="20"/>
          <w:szCs w:val="20"/>
        </w:rPr>
        <w:t xml:space="preserve"> classified within investing activities in our consolidated statement of cash flows.</w:t>
      </w:r>
    </w:p>
    <w:p w14:paraId="22CFC449" w14:textId="77777777" w:rsidR="002661BA" w:rsidRDefault="002661BA">
      <w:pPr>
        <w:ind w:firstLine="495"/>
        <w:jc w:val="both"/>
      </w:pPr>
    </w:p>
    <w:p w14:paraId="22CFC44A" w14:textId="77777777" w:rsidR="002661BA" w:rsidRDefault="00D972BC">
      <w:pPr>
        <w:ind w:firstLine="270"/>
      </w:pPr>
      <w:r>
        <w:rPr>
          <w:rFonts w:ascii="Arial" w:eastAsia="宋体" w:hAnsi="Arial" w:cs="Arial"/>
          <w:b/>
          <w:bCs/>
          <w:i/>
          <w:iCs/>
          <w:color w:val="000000"/>
          <w:sz w:val="20"/>
          <w:szCs w:val="20"/>
        </w:rPr>
        <w:t>Warrant</w:t>
      </w:r>
    </w:p>
    <w:p w14:paraId="22CFC44B" w14:textId="77777777" w:rsidR="002661BA" w:rsidRDefault="002661BA"/>
    <w:p w14:paraId="22CFC44C" w14:textId="77777777" w:rsidR="002661BA" w:rsidRDefault="00D972BC">
      <w:pPr>
        <w:ind w:firstLine="540"/>
        <w:jc w:val="both"/>
      </w:pPr>
      <w:r>
        <w:rPr>
          <w:rFonts w:ascii="Arial" w:eastAsia="宋体" w:hAnsi="Arial" w:cs="Arial"/>
          <w:color w:val="000000"/>
          <w:sz w:val="20"/>
          <w:szCs w:val="20"/>
        </w:rPr>
        <w:t>We entered into a warrant agreement in conjunction with a commercial agreement with Adyen that, subject to meeting certain conditions, entitles us to acquire a f</w:t>
      </w:r>
      <w:r>
        <w:rPr>
          <w:rFonts w:ascii="Arial" w:eastAsia="宋体" w:hAnsi="Arial" w:cs="Arial"/>
          <w:color w:val="000000"/>
          <w:sz w:val="20"/>
          <w:szCs w:val="20"/>
        </w:rPr>
        <w:t>ixed number of shares up to 5% of Adyen’s fully diluted issued and outstanding share capital at a specific date. The warrant has a term of seven years and vests in a series of four tranches, at a specified price per share (fixed for the first two tranches)</w:t>
      </w:r>
      <w:r>
        <w:rPr>
          <w:rFonts w:ascii="Arial" w:eastAsia="宋体" w:hAnsi="Arial" w:cs="Arial"/>
          <w:color w:val="000000"/>
          <w:sz w:val="20"/>
          <w:szCs w:val="20"/>
        </w:rPr>
        <w:t xml:space="preserve"> upon meeting processing volume milestone targets on a calendar year basis. When or if a relevant milestone is reached, the warrant becomes exercisable with respect to the corresponding tranche of warrant shares up until the warrant expiration date of Janu</w:t>
      </w:r>
      <w:r>
        <w:rPr>
          <w:rFonts w:ascii="Arial" w:eastAsia="宋体" w:hAnsi="Arial" w:cs="Arial"/>
          <w:color w:val="000000"/>
          <w:sz w:val="20"/>
          <w:szCs w:val="20"/>
        </w:rPr>
        <w:t>ary 31, 2025. The maximum number of tranches that can vest in one calendar year is two.</w:t>
      </w:r>
    </w:p>
    <w:p w14:paraId="22CFC44D" w14:textId="77777777" w:rsidR="002661BA" w:rsidRDefault="002661BA">
      <w:pPr>
        <w:ind w:firstLine="450"/>
        <w:jc w:val="both"/>
      </w:pPr>
    </w:p>
    <w:p w14:paraId="22CFC44E" w14:textId="77777777" w:rsidR="002661BA" w:rsidRDefault="00D972BC">
      <w:pPr>
        <w:ind w:firstLine="540"/>
        <w:jc w:val="both"/>
      </w:pPr>
      <w:r>
        <w:rPr>
          <w:rFonts w:ascii="Arial" w:eastAsia="宋体" w:hAnsi="Arial" w:cs="Arial"/>
          <w:color w:val="000000"/>
          <w:sz w:val="20"/>
          <w:szCs w:val="20"/>
        </w:rPr>
        <w:t>In 2021, we met the processing volume milestone target to vest the first tranche of the warrant. Upon vesting of the first tranche, we exercised the option to purchase</w:t>
      </w:r>
      <w:r>
        <w:rPr>
          <w:rFonts w:ascii="Arial" w:eastAsia="宋体" w:hAnsi="Arial" w:cs="Arial"/>
          <w:color w:val="000000"/>
          <w:sz w:val="20"/>
          <w:szCs w:val="20"/>
        </w:rPr>
        <w:t xml:space="preserve"> shares of Adyen valued at approximately $1.1 billion in exchange for approximately $110 million in cash. Our equity investment in Adyen is accounted for as an equity investment with a readily determinable fair value. Refer to “Note 6 —</w:t>
      </w:r>
      <w:r>
        <w:rPr>
          <w:rFonts w:ascii="Arial" w:eastAsia="宋体" w:hAnsi="Arial" w:cs="Arial"/>
          <w:b/>
          <w:bCs/>
          <w:color w:val="000000"/>
          <w:sz w:val="20"/>
          <w:szCs w:val="20"/>
        </w:rPr>
        <w:t xml:space="preserve"> </w:t>
      </w:r>
      <w:r>
        <w:rPr>
          <w:rFonts w:ascii="Arial" w:eastAsia="宋体" w:hAnsi="Arial" w:cs="Arial"/>
          <w:color w:val="000000"/>
          <w:sz w:val="20"/>
          <w:szCs w:val="20"/>
        </w:rPr>
        <w:t xml:space="preserve">Investments” for more information about our equity investments. </w:t>
      </w:r>
    </w:p>
    <w:p w14:paraId="22CFC44F" w14:textId="77777777" w:rsidR="002661BA" w:rsidRDefault="00D972BC">
      <w:pPr>
        <w:ind w:firstLine="450"/>
        <w:jc w:val="both"/>
      </w:pPr>
      <w:r>
        <w:rPr>
          <w:rFonts w:ascii="Arial" w:eastAsia="宋体" w:hAnsi="Arial" w:cs="Arial"/>
          <w:color w:val="000000"/>
          <w:sz w:val="20"/>
          <w:szCs w:val="20"/>
        </w:rPr>
        <w:t> </w:t>
      </w:r>
    </w:p>
    <w:p w14:paraId="22CFC450" w14:textId="77777777" w:rsidR="002661BA" w:rsidRDefault="00D972BC">
      <w:pPr>
        <w:ind w:firstLine="540"/>
        <w:jc w:val="both"/>
      </w:pPr>
      <w:r>
        <w:rPr>
          <w:rFonts w:ascii="Arial" w:eastAsia="宋体" w:hAnsi="Arial" w:cs="Arial"/>
          <w:color w:val="000000"/>
          <w:sz w:val="20"/>
          <w:szCs w:val="20"/>
        </w:rPr>
        <w:t xml:space="preserve">The warrant is accounted for as a derivative under ASC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We report the warrant at fair value within warrant asset in our consolidated balance sheets and ch</w:t>
      </w:r>
      <w:r>
        <w:rPr>
          <w:rFonts w:ascii="Arial" w:eastAsia="宋体" w:hAnsi="Arial" w:cs="Arial"/>
          <w:color w:val="000000"/>
          <w:sz w:val="20"/>
          <w:szCs w:val="20"/>
        </w:rPr>
        <w:t>anges in the fair value of the warrant are recognized in gain (loss) on equity investments and warrant, net in our consolidated statement of income. The day-one value attributable to the other side of the warrant, which was recorded as a deferred credit, i</w:t>
      </w:r>
      <w:r>
        <w:rPr>
          <w:rFonts w:ascii="Arial" w:eastAsia="宋体" w:hAnsi="Arial" w:cs="Arial"/>
          <w:color w:val="000000"/>
          <w:sz w:val="20"/>
          <w:szCs w:val="20"/>
        </w:rPr>
        <w:t>s reported within other liabilities in our consolidated balance sheets and is amortized over the life of the commercial arrangement. See “Note 8 — Fair Value Measurements” for information about the fair value measurement of the warrant.</w:t>
      </w:r>
    </w:p>
    <w:p w14:paraId="22CFC451" w14:textId="77777777" w:rsidR="002661BA" w:rsidRDefault="002661BA">
      <w:pPr>
        <w:ind w:firstLine="495"/>
        <w:jc w:val="both"/>
      </w:pPr>
    </w:p>
    <w:p w14:paraId="22CFC452" w14:textId="77777777" w:rsidR="002661BA" w:rsidRDefault="00D972BC">
      <w:pPr>
        <w:jc w:val="center"/>
      </w:pPr>
      <w:r>
        <w:rPr>
          <w:rFonts w:ascii="Arial" w:eastAsia="宋体" w:hAnsi="Arial" w:cs="Arial"/>
          <w:color w:val="000000"/>
          <w:sz w:val="18"/>
          <w:szCs w:val="18"/>
        </w:rPr>
        <w:t>87</w:t>
      </w:r>
    </w:p>
    <w:p w14:paraId="22CFC453" w14:textId="77777777" w:rsidR="002661BA" w:rsidRDefault="00D972BC">
      <w:r>
        <w:pict w14:anchorId="22CFE508">
          <v:rect id="_x0000_i1111" style="width:415.3pt;height:1.5pt" o:hralign="center" o:hrstd="t" o:hr="t" fillcolor="#a0a0a0" stroked="f"/>
        </w:pict>
      </w:r>
    </w:p>
    <w:p w14:paraId="22CFC454" w14:textId="77777777" w:rsidR="002661BA" w:rsidRDefault="00D972BC">
      <w:hyperlink r:id="rId122" w:anchor="id0d7a71b05ce452ea9fdb54f3cb359c7_7" w:history="1">
        <w:r>
          <w:rPr>
            <w:rStyle w:val="a5"/>
            <w:rFonts w:ascii="Arial" w:eastAsia="宋体" w:hAnsi="Arial" w:cs="Arial"/>
            <w:sz w:val="18"/>
            <w:szCs w:val="18"/>
          </w:rPr>
          <w:t>Table of Contents</w:t>
        </w:r>
      </w:hyperlink>
    </w:p>
    <w:p w14:paraId="22CFC455" w14:textId="77777777" w:rsidR="002661BA" w:rsidRDefault="00D972BC">
      <w:pPr>
        <w:jc w:val="center"/>
      </w:pPr>
      <w:r>
        <w:rPr>
          <w:rFonts w:ascii="Arial" w:eastAsia="宋体" w:hAnsi="Arial" w:cs="Arial"/>
          <w:b/>
          <w:bCs/>
          <w:color w:val="000000"/>
          <w:sz w:val="20"/>
          <w:szCs w:val="20"/>
        </w:rPr>
        <w:t>eBay Inc.</w:t>
      </w:r>
    </w:p>
    <w:p w14:paraId="22CFC456"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457" w14:textId="77777777" w:rsidR="002661BA" w:rsidRDefault="00D972BC">
      <w:pPr>
        <w:jc w:val="both"/>
      </w:pPr>
      <w:r>
        <w:rPr>
          <w:rFonts w:ascii="Arial" w:eastAsia="宋体" w:hAnsi="Arial" w:cs="Arial"/>
          <w:b/>
          <w:bCs/>
          <w:i/>
          <w:iCs/>
          <w:color w:val="000000"/>
          <w:sz w:val="20"/>
          <w:szCs w:val="20"/>
        </w:rPr>
        <w:t xml:space="preserve">Fair Value of </w:t>
      </w:r>
      <w:r>
        <w:rPr>
          <w:rFonts w:ascii="Arial" w:eastAsia="宋体" w:hAnsi="Arial" w:cs="Arial"/>
          <w:b/>
          <w:bCs/>
          <w:i/>
          <w:iCs/>
          <w:color w:val="000000"/>
          <w:sz w:val="20"/>
          <w:szCs w:val="20"/>
        </w:rPr>
        <w:t>Derivative Contracts</w:t>
      </w:r>
    </w:p>
    <w:p w14:paraId="22CFC458" w14:textId="77777777" w:rsidR="002661BA" w:rsidRDefault="002661BA">
      <w:pPr>
        <w:ind w:firstLine="720"/>
        <w:jc w:val="both"/>
      </w:pPr>
    </w:p>
    <w:p w14:paraId="22CFC459" w14:textId="77777777" w:rsidR="002661BA" w:rsidRDefault="00D972BC">
      <w:pPr>
        <w:spacing w:after="120"/>
        <w:ind w:firstLine="540"/>
        <w:jc w:val="both"/>
      </w:pPr>
      <w:r>
        <w:rPr>
          <w:rFonts w:ascii="Arial" w:eastAsia="宋体" w:hAnsi="Arial" w:cs="Arial"/>
          <w:color w:val="000000"/>
          <w:sz w:val="20"/>
          <w:szCs w:val="20"/>
        </w:rPr>
        <w:t>The following table presents the fair values of our outstanding derivative instruments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4299"/>
        <w:gridCol w:w="39"/>
        <w:gridCol w:w="38"/>
        <w:gridCol w:w="1520"/>
        <w:gridCol w:w="36"/>
        <w:gridCol w:w="36"/>
        <w:gridCol w:w="36"/>
        <w:gridCol w:w="36"/>
        <w:gridCol w:w="121"/>
        <w:gridCol w:w="916"/>
        <w:gridCol w:w="36"/>
        <w:gridCol w:w="36"/>
        <w:gridCol w:w="36"/>
        <w:gridCol w:w="36"/>
        <w:gridCol w:w="121"/>
        <w:gridCol w:w="918"/>
        <w:gridCol w:w="36"/>
      </w:tblGrid>
      <w:tr w:rsidR="002661BA" w14:paraId="22CFC46C" w14:textId="77777777">
        <w:tc>
          <w:tcPr>
            <w:tcW w:w="50" w:type="pct"/>
            <w:shd w:val="clear" w:color="auto" w:fill="auto"/>
            <w:vAlign w:val="bottom"/>
          </w:tcPr>
          <w:p w14:paraId="22CFC45A" w14:textId="77777777" w:rsidR="002661BA" w:rsidRDefault="002661BA">
            <w:pPr>
              <w:rPr>
                <w:rFonts w:ascii="宋体"/>
              </w:rPr>
            </w:pPr>
          </w:p>
        </w:tc>
        <w:tc>
          <w:tcPr>
            <w:tcW w:w="2613" w:type="pct"/>
            <w:shd w:val="clear" w:color="auto" w:fill="auto"/>
            <w:vAlign w:val="bottom"/>
          </w:tcPr>
          <w:p w14:paraId="22CFC45B" w14:textId="77777777" w:rsidR="002661BA" w:rsidRDefault="002661BA">
            <w:pPr>
              <w:rPr>
                <w:rFonts w:ascii="宋体"/>
              </w:rPr>
            </w:pPr>
          </w:p>
        </w:tc>
        <w:tc>
          <w:tcPr>
            <w:tcW w:w="5" w:type="pct"/>
            <w:shd w:val="clear" w:color="auto" w:fill="auto"/>
            <w:vAlign w:val="bottom"/>
          </w:tcPr>
          <w:p w14:paraId="22CFC45C" w14:textId="77777777" w:rsidR="002661BA" w:rsidRDefault="002661BA">
            <w:pPr>
              <w:rPr>
                <w:rFonts w:ascii="宋体"/>
              </w:rPr>
            </w:pPr>
          </w:p>
        </w:tc>
        <w:tc>
          <w:tcPr>
            <w:tcW w:w="50" w:type="pct"/>
            <w:shd w:val="clear" w:color="auto" w:fill="auto"/>
            <w:vAlign w:val="bottom"/>
          </w:tcPr>
          <w:p w14:paraId="22CFC45D" w14:textId="77777777" w:rsidR="002661BA" w:rsidRDefault="002661BA">
            <w:pPr>
              <w:rPr>
                <w:rFonts w:ascii="宋体"/>
              </w:rPr>
            </w:pPr>
          </w:p>
        </w:tc>
        <w:tc>
          <w:tcPr>
            <w:tcW w:w="946" w:type="pct"/>
            <w:shd w:val="clear" w:color="auto" w:fill="auto"/>
            <w:vAlign w:val="bottom"/>
          </w:tcPr>
          <w:p w14:paraId="22CFC45E" w14:textId="77777777" w:rsidR="002661BA" w:rsidRDefault="002661BA">
            <w:pPr>
              <w:rPr>
                <w:rFonts w:ascii="宋体"/>
              </w:rPr>
            </w:pPr>
          </w:p>
        </w:tc>
        <w:tc>
          <w:tcPr>
            <w:tcW w:w="5" w:type="pct"/>
            <w:shd w:val="clear" w:color="auto" w:fill="auto"/>
            <w:vAlign w:val="bottom"/>
          </w:tcPr>
          <w:p w14:paraId="22CFC45F" w14:textId="77777777" w:rsidR="002661BA" w:rsidRDefault="002661BA">
            <w:pPr>
              <w:rPr>
                <w:rFonts w:ascii="宋体"/>
              </w:rPr>
            </w:pPr>
          </w:p>
        </w:tc>
        <w:tc>
          <w:tcPr>
            <w:tcW w:w="5" w:type="pct"/>
            <w:shd w:val="clear" w:color="auto" w:fill="auto"/>
            <w:vAlign w:val="bottom"/>
          </w:tcPr>
          <w:p w14:paraId="22CFC460" w14:textId="77777777" w:rsidR="002661BA" w:rsidRDefault="002661BA">
            <w:pPr>
              <w:rPr>
                <w:rFonts w:ascii="宋体"/>
              </w:rPr>
            </w:pPr>
          </w:p>
        </w:tc>
        <w:tc>
          <w:tcPr>
            <w:tcW w:w="19" w:type="pct"/>
            <w:shd w:val="clear" w:color="auto" w:fill="auto"/>
            <w:vAlign w:val="bottom"/>
          </w:tcPr>
          <w:p w14:paraId="22CFC461" w14:textId="77777777" w:rsidR="002661BA" w:rsidRDefault="002661BA">
            <w:pPr>
              <w:rPr>
                <w:rFonts w:ascii="宋体"/>
              </w:rPr>
            </w:pPr>
          </w:p>
        </w:tc>
        <w:tc>
          <w:tcPr>
            <w:tcW w:w="5" w:type="pct"/>
            <w:shd w:val="clear" w:color="auto" w:fill="auto"/>
            <w:vAlign w:val="bottom"/>
          </w:tcPr>
          <w:p w14:paraId="22CFC462" w14:textId="77777777" w:rsidR="002661BA" w:rsidRDefault="002661BA">
            <w:pPr>
              <w:rPr>
                <w:rFonts w:ascii="宋体"/>
              </w:rPr>
            </w:pPr>
          </w:p>
        </w:tc>
        <w:tc>
          <w:tcPr>
            <w:tcW w:w="50" w:type="pct"/>
            <w:shd w:val="clear" w:color="auto" w:fill="auto"/>
            <w:vAlign w:val="bottom"/>
          </w:tcPr>
          <w:p w14:paraId="22CFC463" w14:textId="77777777" w:rsidR="002661BA" w:rsidRDefault="002661BA">
            <w:pPr>
              <w:rPr>
                <w:rFonts w:ascii="宋体"/>
              </w:rPr>
            </w:pPr>
          </w:p>
        </w:tc>
        <w:tc>
          <w:tcPr>
            <w:tcW w:w="580" w:type="pct"/>
            <w:shd w:val="clear" w:color="auto" w:fill="auto"/>
            <w:vAlign w:val="bottom"/>
          </w:tcPr>
          <w:p w14:paraId="22CFC464" w14:textId="77777777" w:rsidR="002661BA" w:rsidRDefault="002661BA">
            <w:pPr>
              <w:rPr>
                <w:rFonts w:ascii="宋体"/>
              </w:rPr>
            </w:pPr>
          </w:p>
        </w:tc>
        <w:tc>
          <w:tcPr>
            <w:tcW w:w="5" w:type="pct"/>
            <w:shd w:val="clear" w:color="auto" w:fill="auto"/>
            <w:vAlign w:val="bottom"/>
          </w:tcPr>
          <w:p w14:paraId="22CFC465" w14:textId="77777777" w:rsidR="002661BA" w:rsidRDefault="002661BA">
            <w:pPr>
              <w:rPr>
                <w:rFonts w:ascii="宋体"/>
              </w:rPr>
            </w:pPr>
          </w:p>
        </w:tc>
        <w:tc>
          <w:tcPr>
            <w:tcW w:w="5" w:type="pct"/>
            <w:shd w:val="clear" w:color="auto" w:fill="auto"/>
            <w:vAlign w:val="bottom"/>
          </w:tcPr>
          <w:p w14:paraId="22CFC466" w14:textId="77777777" w:rsidR="002661BA" w:rsidRDefault="002661BA">
            <w:pPr>
              <w:rPr>
                <w:rFonts w:ascii="宋体"/>
              </w:rPr>
            </w:pPr>
          </w:p>
        </w:tc>
        <w:tc>
          <w:tcPr>
            <w:tcW w:w="19" w:type="pct"/>
            <w:shd w:val="clear" w:color="auto" w:fill="auto"/>
            <w:vAlign w:val="bottom"/>
          </w:tcPr>
          <w:p w14:paraId="22CFC467" w14:textId="77777777" w:rsidR="002661BA" w:rsidRDefault="002661BA">
            <w:pPr>
              <w:rPr>
                <w:rFonts w:ascii="宋体"/>
              </w:rPr>
            </w:pPr>
          </w:p>
        </w:tc>
        <w:tc>
          <w:tcPr>
            <w:tcW w:w="5" w:type="pct"/>
            <w:shd w:val="clear" w:color="auto" w:fill="auto"/>
            <w:vAlign w:val="bottom"/>
          </w:tcPr>
          <w:p w14:paraId="22CFC468" w14:textId="77777777" w:rsidR="002661BA" w:rsidRDefault="002661BA">
            <w:pPr>
              <w:rPr>
                <w:rFonts w:ascii="宋体"/>
              </w:rPr>
            </w:pPr>
          </w:p>
        </w:tc>
        <w:tc>
          <w:tcPr>
            <w:tcW w:w="50" w:type="pct"/>
            <w:shd w:val="clear" w:color="auto" w:fill="auto"/>
            <w:vAlign w:val="bottom"/>
          </w:tcPr>
          <w:p w14:paraId="22CFC469" w14:textId="77777777" w:rsidR="002661BA" w:rsidRDefault="002661BA">
            <w:pPr>
              <w:rPr>
                <w:rFonts w:ascii="宋体"/>
              </w:rPr>
            </w:pPr>
          </w:p>
        </w:tc>
        <w:tc>
          <w:tcPr>
            <w:tcW w:w="581" w:type="pct"/>
            <w:shd w:val="clear" w:color="auto" w:fill="auto"/>
            <w:vAlign w:val="bottom"/>
          </w:tcPr>
          <w:p w14:paraId="22CFC46A" w14:textId="77777777" w:rsidR="002661BA" w:rsidRDefault="002661BA">
            <w:pPr>
              <w:rPr>
                <w:rFonts w:ascii="宋体"/>
              </w:rPr>
            </w:pPr>
          </w:p>
        </w:tc>
        <w:tc>
          <w:tcPr>
            <w:tcW w:w="5" w:type="pct"/>
            <w:shd w:val="clear" w:color="auto" w:fill="auto"/>
            <w:vAlign w:val="bottom"/>
          </w:tcPr>
          <w:p w14:paraId="22CFC46B" w14:textId="77777777" w:rsidR="002661BA" w:rsidRDefault="002661BA">
            <w:pPr>
              <w:rPr>
                <w:rFonts w:ascii="宋体"/>
              </w:rPr>
            </w:pPr>
          </w:p>
        </w:tc>
      </w:tr>
      <w:tr w:rsidR="002661BA" w14:paraId="22CFC471" w14:textId="77777777">
        <w:tc>
          <w:tcPr>
            <w:tcW w:w="0" w:type="auto"/>
            <w:gridSpan w:val="3"/>
            <w:shd w:val="clear" w:color="auto" w:fill="auto"/>
            <w:tcMar>
              <w:top w:w="0" w:type="dxa"/>
              <w:left w:w="20" w:type="dxa"/>
              <w:bottom w:w="0" w:type="dxa"/>
              <w:right w:w="20" w:type="dxa"/>
            </w:tcMar>
            <w:vAlign w:val="bottom"/>
          </w:tcPr>
          <w:p w14:paraId="22CFC46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C46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C46F"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C470" w14:textId="77777777" w:rsidR="002661BA" w:rsidRDefault="00D972BC">
            <w:pPr>
              <w:jc w:val="center"/>
              <w:textAlignment w:val="bottom"/>
            </w:pPr>
            <w:r>
              <w:rPr>
                <w:rFonts w:ascii="Arial" w:eastAsia="宋体" w:hAnsi="Arial" w:cs="Arial"/>
                <w:b/>
                <w:bCs/>
                <w:color w:val="000000"/>
                <w:sz w:val="17"/>
                <w:szCs w:val="17"/>
              </w:rPr>
              <w:t>December 31,</w:t>
            </w:r>
          </w:p>
        </w:tc>
      </w:tr>
      <w:tr w:rsidR="002661BA" w14:paraId="22CFC478" w14:textId="77777777">
        <w:tc>
          <w:tcPr>
            <w:tcW w:w="0" w:type="auto"/>
            <w:gridSpan w:val="3"/>
            <w:shd w:val="clear" w:color="auto" w:fill="auto"/>
            <w:tcMar>
              <w:top w:w="40" w:type="dxa"/>
              <w:left w:w="20" w:type="dxa"/>
              <w:bottom w:w="40" w:type="dxa"/>
              <w:right w:w="20" w:type="dxa"/>
            </w:tcMar>
            <w:vAlign w:val="bottom"/>
          </w:tcPr>
          <w:p w14:paraId="22CFC472" w14:textId="77777777" w:rsidR="002661BA" w:rsidRDefault="00D972BC">
            <w:pPr>
              <w:textAlignment w:val="bottom"/>
            </w:pPr>
            <w:r>
              <w:rPr>
                <w:rFonts w:ascii="Arial" w:eastAsia="宋体" w:hAnsi="Arial" w:cs="Arial"/>
                <w:color w:val="000000"/>
                <w:sz w:val="17"/>
                <w:szCs w:val="17"/>
              </w:rPr>
              <w:t> </w:t>
            </w:r>
          </w:p>
        </w:tc>
        <w:tc>
          <w:tcPr>
            <w:tcW w:w="0" w:type="auto"/>
            <w:gridSpan w:val="3"/>
            <w:shd w:val="clear" w:color="auto" w:fill="auto"/>
            <w:tcMar>
              <w:top w:w="40" w:type="dxa"/>
              <w:left w:w="20" w:type="dxa"/>
              <w:bottom w:w="40" w:type="dxa"/>
              <w:right w:w="20" w:type="dxa"/>
            </w:tcMar>
            <w:vAlign w:val="bottom"/>
          </w:tcPr>
          <w:p w14:paraId="22CFC473" w14:textId="77777777" w:rsidR="002661BA" w:rsidRDefault="00D972BC">
            <w:pPr>
              <w:jc w:val="right"/>
              <w:textAlignment w:val="bottom"/>
            </w:pPr>
            <w:r>
              <w:rPr>
                <w:rFonts w:ascii="Arial" w:eastAsia="宋体" w:hAnsi="Arial" w:cs="Arial"/>
                <w:b/>
                <w:bCs/>
                <w:color w:val="000000"/>
                <w:sz w:val="17"/>
                <w:szCs w:val="17"/>
              </w:rPr>
              <w:t>Balance Sheet Location</w:t>
            </w:r>
          </w:p>
        </w:tc>
        <w:tc>
          <w:tcPr>
            <w:tcW w:w="0" w:type="auto"/>
            <w:gridSpan w:val="3"/>
            <w:shd w:val="clear" w:color="auto" w:fill="auto"/>
            <w:tcMar>
              <w:top w:w="0" w:type="dxa"/>
              <w:left w:w="20" w:type="dxa"/>
              <w:bottom w:w="0" w:type="dxa"/>
              <w:right w:w="20" w:type="dxa"/>
            </w:tcMar>
            <w:vAlign w:val="bottom"/>
          </w:tcPr>
          <w:p w14:paraId="22CFC474"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475"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2CFC476"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477" w14:textId="77777777" w:rsidR="002661BA" w:rsidRDefault="00D972BC">
            <w:pPr>
              <w:jc w:val="center"/>
              <w:textAlignment w:val="bottom"/>
            </w:pPr>
            <w:r>
              <w:rPr>
                <w:rFonts w:ascii="Arial" w:eastAsia="宋体" w:hAnsi="Arial" w:cs="Arial"/>
                <w:b/>
                <w:bCs/>
                <w:color w:val="000000"/>
                <w:sz w:val="17"/>
                <w:szCs w:val="17"/>
              </w:rPr>
              <w:t>2020</w:t>
            </w:r>
          </w:p>
        </w:tc>
      </w:tr>
      <w:tr w:rsidR="002661BA" w14:paraId="22CFC47F" w14:textId="77777777">
        <w:tc>
          <w:tcPr>
            <w:tcW w:w="0" w:type="auto"/>
            <w:gridSpan w:val="3"/>
            <w:shd w:val="clear" w:color="auto" w:fill="E2E2E2"/>
            <w:tcMar>
              <w:top w:w="40" w:type="dxa"/>
              <w:left w:w="20" w:type="dxa"/>
              <w:bottom w:w="40" w:type="dxa"/>
              <w:right w:w="20" w:type="dxa"/>
            </w:tcMar>
            <w:vAlign w:val="bottom"/>
          </w:tcPr>
          <w:p w14:paraId="22CFC479" w14:textId="77777777" w:rsidR="002661BA" w:rsidRDefault="00D972BC">
            <w:pPr>
              <w:textAlignment w:val="bottom"/>
            </w:pPr>
            <w:r>
              <w:rPr>
                <w:rFonts w:ascii="Arial" w:eastAsia="宋体" w:hAnsi="Arial" w:cs="Arial"/>
                <w:b/>
                <w:bCs/>
                <w:color w:val="000000"/>
                <w:sz w:val="18"/>
                <w:szCs w:val="18"/>
              </w:rPr>
              <w:t>Derivative Assets: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47A"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47B"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47C"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47D"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47E" w14:textId="77777777" w:rsidR="002661BA" w:rsidRDefault="002661BA">
            <w:pPr>
              <w:rPr>
                <w:rFonts w:ascii="宋体"/>
              </w:rPr>
            </w:pPr>
          </w:p>
        </w:tc>
      </w:tr>
      <w:tr w:rsidR="002661BA" w14:paraId="22CFC48A" w14:textId="77777777">
        <w:tc>
          <w:tcPr>
            <w:tcW w:w="0" w:type="auto"/>
            <w:gridSpan w:val="3"/>
            <w:shd w:val="clear" w:color="auto" w:fill="FFFFFF"/>
            <w:tcMar>
              <w:top w:w="40" w:type="dxa"/>
              <w:left w:w="20" w:type="dxa"/>
              <w:bottom w:w="40" w:type="dxa"/>
              <w:right w:w="20" w:type="dxa"/>
            </w:tcMar>
            <w:vAlign w:val="bottom"/>
          </w:tcPr>
          <w:p w14:paraId="22CFC480" w14:textId="77777777" w:rsidR="002661BA" w:rsidRDefault="00D972BC">
            <w:pPr>
              <w:textAlignment w:val="bottom"/>
            </w:pPr>
            <w:r>
              <w:rPr>
                <w:rFonts w:ascii="Arial" w:eastAsia="宋体" w:hAnsi="Arial" w:cs="Arial"/>
                <w:color w:val="000000"/>
                <w:sz w:val="18"/>
                <w:szCs w:val="18"/>
              </w:rPr>
              <w:t>Foreign exchange contracts designated as cash flow hedges</w:t>
            </w:r>
          </w:p>
        </w:tc>
        <w:tc>
          <w:tcPr>
            <w:tcW w:w="0" w:type="auto"/>
            <w:gridSpan w:val="3"/>
            <w:shd w:val="clear" w:color="auto" w:fill="FFFFFF"/>
            <w:tcMar>
              <w:top w:w="40" w:type="dxa"/>
              <w:left w:w="20" w:type="dxa"/>
              <w:bottom w:w="40" w:type="dxa"/>
              <w:right w:w="20" w:type="dxa"/>
            </w:tcMar>
            <w:vAlign w:val="bottom"/>
          </w:tcPr>
          <w:p w14:paraId="22CFC481" w14:textId="77777777" w:rsidR="002661BA" w:rsidRDefault="00D972BC">
            <w:pPr>
              <w:jc w:val="right"/>
              <w:textAlignment w:val="bottom"/>
            </w:pPr>
            <w:r>
              <w:rPr>
                <w:rFonts w:ascii="Arial" w:eastAsia="宋体" w:hAnsi="Arial" w:cs="Arial"/>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22CFC482"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C48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484" w14:textId="77777777" w:rsidR="002661BA" w:rsidRDefault="00D972BC">
            <w:pPr>
              <w:jc w:val="right"/>
              <w:textAlignment w:val="bottom"/>
            </w:pPr>
            <w:r>
              <w:rPr>
                <w:rFonts w:ascii="Arial" w:eastAsia="宋体" w:hAnsi="Arial" w:cs="Arial"/>
                <w:color w:val="000000"/>
                <w:sz w:val="18"/>
                <w:szCs w:val="18"/>
              </w:rPr>
              <w:t>63 </w:t>
            </w:r>
          </w:p>
        </w:tc>
        <w:tc>
          <w:tcPr>
            <w:tcW w:w="0" w:type="auto"/>
            <w:shd w:val="clear" w:color="auto" w:fill="FFFFFF"/>
            <w:tcMar>
              <w:top w:w="40" w:type="dxa"/>
              <w:left w:w="0" w:type="dxa"/>
              <w:bottom w:w="40" w:type="dxa"/>
              <w:right w:w="20" w:type="dxa"/>
            </w:tcMar>
            <w:vAlign w:val="bottom"/>
          </w:tcPr>
          <w:p w14:paraId="22CFC48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486"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C48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488" w14:textId="77777777" w:rsidR="002661BA" w:rsidRDefault="00D972BC">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22CFC489" w14:textId="77777777" w:rsidR="002661BA" w:rsidRDefault="002661BA">
            <w:pPr>
              <w:jc w:val="right"/>
              <w:rPr>
                <w:rFonts w:ascii="宋体"/>
              </w:rPr>
            </w:pPr>
          </w:p>
        </w:tc>
      </w:tr>
      <w:tr w:rsidR="002661BA" w14:paraId="22CFC491" w14:textId="77777777">
        <w:trPr>
          <w:hidden/>
        </w:trPr>
        <w:tc>
          <w:tcPr>
            <w:tcW w:w="0" w:type="auto"/>
            <w:gridSpan w:val="3"/>
            <w:shd w:val="clear" w:color="auto" w:fill="auto"/>
            <w:vAlign w:val="bottom"/>
          </w:tcPr>
          <w:p w14:paraId="22CFC48B" w14:textId="77777777" w:rsidR="002661BA" w:rsidRDefault="002661BA">
            <w:pPr>
              <w:rPr>
                <w:rFonts w:ascii="宋体"/>
                <w:vanish/>
              </w:rPr>
            </w:pPr>
          </w:p>
        </w:tc>
        <w:tc>
          <w:tcPr>
            <w:tcW w:w="0" w:type="auto"/>
            <w:gridSpan w:val="3"/>
            <w:shd w:val="clear" w:color="auto" w:fill="auto"/>
            <w:vAlign w:val="bottom"/>
          </w:tcPr>
          <w:p w14:paraId="22CFC48C" w14:textId="77777777" w:rsidR="002661BA" w:rsidRDefault="002661BA">
            <w:pPr>
              <w:rPr>
                <w:rFonts w:ascii="宋体"/>
                <w:vanish/>
              </w:rPr>
            </w:pPr>
          </w:p>
        </w:tc>
        <w:tc>
          <w:tcPr>
            <w:tcW w:w="0" w:type="auto"/>
            <w:gridSpan w:val="3"/>
            <w:shd w:val="clear" w:color="auto" w:fill="auto"/>
            <w:vAlign w:val="bottom"/>
          </w:tcPr>
          <w:p w14:paraId="22CFC48D" w14:textId="77777777" w:rsidR="002661BA" w:rsidRDefault="002661BA">
            <w:pPr>
              <w:rPr>
                <w:rFonts w:ascii="宋体"/>
                <w:vanish/>
              </w:rPr>
            </w:pPr>
          </w:p>
        </w:tc>
        <w:tc>
          <w:tcPr>
            <w:tcW w:w="0" w:type="auto"/>
            <w:gridSpan w:val="3"/>
            <w:shd w:val="clear" w:color="auto" w:fill="auto"/>
            <w:vAlign w:val="bottom"/>
          </w:tcPr>
          <w:p w14:paraId="22CFC48E" w14:textId="77777777" w:rsidR="002661BA" w:rsidRDefault="002661BA">
            <w:pPr>
              <w:rPr>
                <w:rFonts w:ascii="宋体"/>
                <w:vanish/>
              </w:rPr>
            </w:pPr>
          </w:p>
        </w:tc>
        <w:tc>
          <w:tcPr>
            <w:tcW w:w="0" w:type="auto"/>
            <w:gridSpan w:val="3"/>
            <w:shd w:val="clear" w:color="auto" w:fill="auto"/>
            <w:vAlign w:val="bottom"/>
          </w:tcPr>
          <w:p w14:paraId="22CFC48F" w14:textId="77777777" w:rsidR="002661BA" w:rsidRDefault="002661BA">
            <w:pPr>
              <w:rPr>
                <w:rFonts w:ascii="宋体"/>
                <w:vanish/>
              </w:rPr>
            </w:pPr>
          </w:p>
        </w:tc>
        <w:tc>
          <w:tcPr>
            <w:tcW w:w="0" w:type="auto"/>
            <w:gridSpan w:val="3"/>
            <w:shd w:val="clear" w:color="auto" w:fill="auto"/>
            <w:vAlign w:val="bottom"/>
          </w:tcPr>
          <w:p w14:paraId="22CFC490" w14:textId="77777777" w:rsidR="002661BA" w:rsidRDefault="002661BA">
            <w:pPr>
              <w:rPr>
                <w:rFonts w:ascii="宋体"/>
                <w:vanish/>
              </w:rPr>
            </w:pPr>
          </w:p>
        </w:tc>
      </w:tr>
      <w:tr w:rsidR="002661BA" w14:paraId="22CFC49A" w14:textId="77777777">
        <w:tc>
          <w:tcPr>
            <w:tcW w:w="0" w:type="auto"/>
            <w:gridSpan w:val="3"/>
            <w:shd w:val="clear" w:color="auto" w:fill="E2E2E2"/>
            <w:tcMar>
              <w:top w:w="40" w:type="dxa"/>
              <w:left w:w="20" w:type="dxa"/>
              <w:bottom w:w="40" w:type="dxa"/>
              <w:right w:w="20" w:type="dxa"/>
            </w:tcMar>
            <w:vAlign w:val="bottom"/>
          </w:tcPr>
          <w:p w14:paraId="22CFC492" w14:textId="77777777" w:rsidR="002661BA" w:rsidRDefault="00D972BC">
            <w:pPr>
              <w:textAlignment w:val="bottom"/>
            </w:pPr>
            <w:r>
              <w:rPr>
                <w:rFonts w:ascii="Arial" w:eastAsia="宋体" w:hAnsi="Arial" w:cs="Arial"/>
                <w:color w:val="000000"/>
                <w:sz w:val="18"/>
                <w:szCs w:val="18"/>
              </w:rPr>
              <w:t>Foreign exchange contracts not designated as hedging instruments</w:t>
            </w:r>
          </w:p>
        </w:tc>
        <w:tc>
          <w:tcPr>
            <w:tcW w:w="0" w:type="auto"/>
            <w:gridSpan w:val="3"/>
            <w:shd w:val="clear" w:color="auto" w:fill="E2E2E2"/>
            <w:tcMar>
              <w:top w:w="40" w:type="dxa"/>
              <w:left w:w="20" w:type="dxa"/>
              <w:bottom w:w="40" w:type="dxa"/>
              <w:right w:w="20" w:type="dxa"/>
            </w:tcMar>
            <w:vAlign w:val="bottom"/>
          </w:tcPr>
          <w:p w14:paraId="22CFC493" w14:textId="77777777" w:rsidR="002661BA" w:rsidRDefault="00D972BC">
            <w:pPr>
              <w:jc w:val="right"/>
              <w:textAlignment w:val="bottom"/>
            </w:pPr>
            <w:r>
              <w:rPr>
                <w:rFonts w:ascii="Arial" w:eastAsia="宋体" w:hAnsi="Arial" w:cs="Arial"/>
                <w:color w:val="000000"/>
                <w:sz w:val="18"/>
                <w:szCs w:val="18"/>
              </w:rPr>
              <w:t>Other current assets</w:t>
            </w:r>
          </w:p>
        </w:tc>
        <w:tc>
          <w:tcPr>
            <w:tcW w:w="0" w:type="auto"/>
            <w:gridSpan w:val="3"/>
            <w:shd w:val="clear" w:color="auto" w:fill="E2E2E2"/>
            <w:tcMar>
              <w:top w:w="0" w:type="dxa"/>
              <w:left w:w="20" w:type="dxa"/>
              <w:bottom w:w="0" w:type="dxa"/>
              <w:right w:w="20" w:type="dxa"/>
            </w:tcMar>
            <w:vAlign w:val="bottom"/>
          </w:tcPr>
          <w:p w14:paraId="22CFC494"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495" w14:textId="77777777" w:rsidR="002661BA" w:rsidRDefault="00D972BC">
            <w:pPr>
              <w:jc w:val="right"/>
              <w:textAlignment w:val="bottom"/>
            </w:pPr>
            <w:r>
              <w:rPr>
                <w:rFonts w:ascii="Arial" w:eastAsia="宋体" w:hAnsi="Arial" w:cs="Arial"/>
                <w:color w:val="000000"/>
                <w:sz w:val="18"/>
                <w:szCs w:val="18"/>
              </w:rPr>
              <w:t>22 </w:t>
            </w:r>
          </w:p>
        </w:tc>
        <w:tc>
          <w:tcPr>
            <w:tcW w:w="0" w:type="auto"/>
            <w:shd w:val="clear" w:color="auto" w:fill="E2E2E2"/>
            <w:tcMar>
              <w:top w:w="40" w:type="dxa"/>
              <w:left w:w="0" w:type="dxa"/>
              <w:bottom w:w="40" w:type="dxa"/>
              <w:right w:w="20" w:type="dxa"/>
            </w:tcMar>
            <w:vAlign w:val="bottom"/>
          </w:tcPr>
          <w:p w14:paraId="22CFC496"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497"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498" w14:textId="77777777" w:rsidR="002661BA" w:rsidRDefault="00D972BC">
            <w:pPr>
              <w:jc w:val="right"/>
              <w:textAlignment w:val="bottom"/>
            </w:pPr>
            <w:r>
              <w:rPr>
                <w:rFonts w:ascii="Arial" w:eastAsia="宋体" w:hAnsi="Arial" w:cs="Arial"/>
                <w:color w:val="000000"/>
                <w:sz w:val="18"/>
                <w:szCs w:val="18"/>
              </w:rPr>
              <w:t>23 </w:t>
            </w:r>
          </w:p>
        </w:tc>
        <w:tc>
          <w:tcPr>
            <w:tcW w:w="0" w:type="auto"/>
            <w:shd w:val="clear" w:color="auto" w:fill="E2E2E2"/>
            <w:tcMar>
              <w:top w:w="40" w:type="dxa"/>
              <w:left w:w="0" w:type="dxa"/>
              <w:bottom w:w="40" w:type="dxa"/>
              <w:right w:w="20" w:type="dxa"/>
            </w:tcMar>
            <w:vAlign w:val="bottom"/>
          </w:tcPr>
          <w:p w14:paraId="22CFC499" w14:textId="77777777" w:rsidR="002661BA" w:rsidRDefault="002661BA">
            <w:pPr>
              <w:jc w:val="right"/>
              <w:rPr>
                <w:rFonts w:ascii="宋体"/>
              </w:rPr>
            </w:pPr>
          </w:p>
        </w:tc>
      </w:tr>
      <w:tr w:rsidR="002661BA" w14:paraId="22CFC4A3" w14:textId="77777777">
        <w:tc>
          <w:tcPr>
            <w:tcW w:w="0" w:type="auto"/>
            <w:gridSpan w:val="3"/>
            <w:shd w:val="clear" w:color="auto" w:fill="FFFFFF"/>
            <w:tcMar>
              <w:top w:w="40" w:type="dxa"/>
              <w:left w:w="20" w:type="dxa"/>
              <w:bottom w:w="40" w:type="dxa"/>
              <w:right w:w="20" w:type="dxa"/>
            </w:tcMar>
            <w:vAlign w:val="bottom"/>
          </w:tcPr>
          <w:p w14:paraId="22CFC49B" w14:textId="77777777" w:rsidR="002661BA" w:rsidRDefault="00D972BC">
            <w:pPr>
              <w:textAlignment w:val="bottom"/>
            </w:pPr>
            <w:r>
              <w:rPr>
                <w:rFonts w:ascii="Arial" w:eastAsia="宋体" w:hAnsi="Arial" w:cs="Arial"/>
                <w:color w:val="000000"/>
                <w:sz w:val="18"/>
                <w:szCs w:val="18"/>
              </w:rPr>
              <w:t>Warrant</w:t>
            </w:r>
          </w:p>
        </w:tc>
        <w:tc>
          <w:tcPr>
            <w:tcW w:w="0" w:type="auto"/>
            <w:gridSpan w:val="3"/>
            <w:shd w:val="clear" w:color="auto" w:fill="FFFFFF"/>
            <w:tcMar>
              <w:top w:w="40" w:type="dxa"/>
              <w:left w:w="20" w:type="dxa"/>
              <w:bottom w:w="40" w:type="dxa"/>
              <w:right w:w="20" w:type="dxa"/>
            </w:tcMar>
            <w:vAlign w:val="bottom"/>
          </w:tcPr>
          <w:p w14:paraId="22CFC49C" w14:textId="77777777" w:rsidR="002661BA" w:rsidRDefault="00D972BC">
            <w:pPr>
              <w:jc w:val="right"/>
              <w:textAlignment w:val="bottom"/>
            </w:pPr>
            <w:r>
              <w:rPr>
                <w:rFonts w:ascii="Arial" w:eastAsia="宋体" w:hAnsi="Arial" w:cs="Arial"/>
                <w:color w:val="000000"/>
                <w:sz w:val="18"/>
                <w:szCs w:val="18"/>
              </w:rPr>
              <w:t>Warrant asset</w:t>
            </w:r>
          </w:p>
        </w:tc>
        <w:tc>
          <w:tcPr>
            <w:tcW w:w="0" w:type="auto"/>
            <w:gridSpan w:val="3"/>
            <w:shd w:val="clear" w:color="auto" w:fill="FFFFFF"/>
            <w:tcMar>
              <w:top w:w="0" w:type="dxa"/>
              <w:left w:w="20" w:type="dxa"/>
              <w:bottom w:w="0" w:type="dxa"/>
              <w:right w:w="20" w:type="dxa"/>
            </w:tcMar>
            <w:vAlign w:val="bottom"/>
          </w:tcPr>
          <w:p w14:paraId="22CFC49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49E" w14:textId="77777777" w:rsidR="002661BA" w:rsidRDefault="00D972BC">
            <w:pPr>
              <w:jc w:val="right"/>
              <w:textAlignment w:val="bottom"/>
            </w:pPr>
            <w:r>
              <w:rPr>
                <w:rFonts w:ascii="Arial" w:eastAsia="宋体" w:hAnsi="Arial" w:cs="Arial"/>
                <w:color w:val="000000"/>
                <w:sz w:val="18"/>
                <w:szCs w:val="18"/>
              </w:rPr>
              <w:t>444 </w:t>
            </w:r>
          </w:p>
        </w:tc>
        <w:tc>
          <w:tcPr>
            <w:tcW w:w="0" w:type="auto"/>
            <w:shd w:val="clear" w:color="auto" w:fill="FFFFFF"/>
            <w:tcMar>
              <w:top w:w="40" w:type="dxa"/>
              <w:left w:w="0" w:type="dxa"/>
              <w:bottom w:w="40" w:type="dxa"/>
              <w:right w:w="20" w:type="dxa"/>
            </w:tcMar>
            <w:vAlign w:val="bottom"/>
          </w:tcPr>
          <w:p w14:paraId="22CFC49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4A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4A1" w14:textId="77777777" w:rsidR="002661BA" w:rsidRDefault="00D972BC">
            <w:pPr>
              <w:jc w:val="right"/>
              <w:textAlignment w:val="bottom"/>
            </w:pPr>
            <w:r>
              <w:rPr>
                <w:rFonts w:ascii="Arial" w:eastAsia="宋体" w:hAnsi="Arial" w:cs="Arial"/>
                <w:color w:val="000000"/>
                <w:sz w:val="18"/>
                <w:szCs w:val="18"/>
              </w:rPr>
              <w:t>1,051 </w:t>
            </w:r>
          </w:p>
        </w:tc>
        <w:tc>
          <w:tcPr>
            <w:tcW w:w="0" w:type="auto"/>
            <w:shd w:val="clear" w:color="auto" w:fill="FFFFFF"/>
            <w:tcMar>
              <w:top w:w="40" w:type="dxa"/>
              <w:left w:w="0" w:type="dxa"/>
              <w:bottom w:w="40" w:type="dxa"/>
              <w:right w:w="20" w:type="dxa"/>
            </w:tcMar>
            <w:vAlign w:val="bottom"/>
          </w:tcPr>
          <w:p w14:paraId="22CFC4A2" w14:textId="77777777" w:rsidR="002661BA" w:rsidRDefault="002661BA">
            <w:pPr>
              <w:jc w:val="right"/>
              <w:rPr>
                <w:rFonts w:ascii="宋体"/>
              </w:rPr>
            </w:pPr>
          </w:p>
        </w:tc>
      </w:tr>
      <w:tr w:rsidR="002661BA" w14:paraId="22CFC4AC" w14:textId="77777777">
        <w:tc>
          <w:tcPr>
            <w:tcW w:w="0" w:type="auto"/>
            <w:gridSpan w:val="3"/>
            <w:shd w:val="clear" w:color="auto" w:fill="E2E2E2"/>
            <w:tcMar>
              <w:top w:w="40" w:type="dxa"/>
              <w:left w:w="20" w:type="dxa"/>
              <w:bottom w:w="40" w:type="dxa"/>
              <w:right w:w="20" w:type="dxa"/>
            </w:tcMar>
            <w:vAlign w:val="bottom"/>
          </w:tcPr>
          <w:p w14:paraId="22CFC4A4" w14:textId="77777777" w:rsidR="002661BA" w:rsidRDefault="00D972BC">
            <w:pPr>
              <w:textAlignment w:val="bottom"/>
            </w:pPr>
            <w:r>
              <w:rPr>
                <w:rFonts w:ascii="Arial" w:eastAsia="宋体" w:hAnsi="Arial" w:cs="Arial"/>
                <w:color w:val="000000"/>
                <w:sz w:val="18"/>
                <w:szCs w:val="18"/>
              </w:rPr>
              <w:t xml:space="preserve">Foreign </w:t>
            </w:r>
            <w:r>
              <w:rPr>
                <w:rFonts w:ascii="Arial" w:eastAsia="宋体" w:hAnsi="Arial" w:cs="Arial"/>
                <w:color w:val="000000"/>
                <w:sz w:val="18"/>
                <w:szCs w:val="18"/>
              </w:rPr>
              <w:t>exchange contracts designated as cash flow hedges</w:t>
            </w:r>
          </w:p>
        </w:tc>
        <w:tc>
          <w:tcPr>
            <w:tcW w:w="0" w:type="auto"/>
            <w:gridSpan w:val="3"/>
            <w:shd w:val="clear" w:color="auto" w:fill="E2E2E2"/>
            <w:tcMar>
              <w:top w:w="40" w:type="dxa"/>
              <w:left w:w="20" w:type="dxa"/>
              <w:bottom w:w="40" w:type="dxa"/>
              <w:right w:w="20" w:type="dxa"/>
            </w:tcMar>
            <w:vAlign w:val="bottom"/>
          </w:tcPr>
          <w:p w14:paraId="22CFC4A5" w14:textId="77777777" w:rsidR="002661BA" w:rsidRDefault="00D972BC">
            <w:pPr>
              <w:jc w:val="right"/>
              <w:textAlignment w:val="bottom"/>
            </w:pPr>
            <w:r>
              <w:rPr>
                <w:rFonts w:ascii="Arial" w:eastAsia="宋体" w:hAnsi="Arial" w:cs="Arial"/>
                <w:color w:val="000000"/>
                <w:sz w:val="18"/>
                <w:szCs w:val="18"/>
              </w:rPr>
              <w:t>Other assets</w:t>
            </w:r>
          </w:p>
        </w:tc>
        <w:tc>
          <w:tcPr>
            <w:tcW w:w="0" w:type="auto"/>
            <w:gridSpan w:val="3"/>
            <w:shd w:val="clear" w:color="auto" w:fill="E2E2E2"/>
            <w:tcMar>
              <w:top w:w="0" w:type="dxa"/>
              <w:left w:w="20" w:type="dxa"/>
              <w:bottom w:w="0" w:type="dxa"/>
              <w:right w:w="20" w:type="dxa"/>
            </w:tcMar>
            <w:vAlign w:val="bottom"/>
          </w:tcPr>
          <w:p w14:paraId="22CFC4A6"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4A7" w14:textId="77777777" w:rsidR="002661BA" w:rsidRDefault="00D972BC">
            <w:pPr>
              <w:jc w:val="right"/>
              <w:textAlignment w:val="bottom"/>
            </w:pPr>
            <w:r>
              <w:rPr>
                <w:rFonts w:ascii="Arial" w:eastAsia="宋体" w:hAnsi="Arial" w:cs="Arial"/>
                <w:color w:val="000000"/>
                <w:sz w:val="18"/>
                <w:szCs w:val="18"/>
              </w:rPr>
              <w:t>24 </w:t>
            </w:r>
          </w:p>
        </w:tc>
        <w:tc>
          <w:tcPr>
            <w:tcW w:w="0" w:type="auto"/>
            <w:shd w:val="clear" w:color="auto" w:fill="E2E2E2"/>
            <w:tcMar>
              <w:top w:w="40" w:type="dxa"/>
              <w:left w:w="0" w:type="dxa"/>
              <w:bottom w:w="40" w:type="dxa"/>
              <w:right w:w="20" w:type="dxa"/>
            </w:tcMar>
            <w:vAlign w:val="bottom"/>
          </w:tcPr>
          <w:p w14:paraId="22CFC4A8"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4A9"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4AA" w14:textId="77777777" w:rsidR="002661BA" w:rsidRDefault="00D972BC">
            <w:pPr>
              <w:jc w:val="right"/>
              <w:textAlignment w:val="bottom"/>
            </w:pPr>
            <w:r>
              <w:rPr>
                <w:rFonts w:ascii="Arial" w:eastAsia="宋体" w:hAnsi="Arial" w:cs="Arial"/>
                <w:color w:val="000000"/>
                <w:sz w:val="18"/>
                <w:szCs w:val="18"/>
              </w:rPr>
              <w:t>14 </w:t>
            </w:r>
          </w:p>
        </w:tc>
        <w:tc>
          <w:tcPr>
            <w:tcW w:w="0" w:type="auto"/>
            <w:shd w:val="clear" w:color="auto" w:fill="E2E2E2"/>
            <w:tcMar>
              <w:top w:w="40" w:type="dxa"/>
              <w:left w:w="0" w:type="dxa"/>
              <w:bottom w:w="40" w:type="dxa"/>
              <w:right w:w="20" w:type="dxa"/>
            </w:tcMar>
            <w:vAlign w:val="bottom"/>
          </w:tcPr>
          <w:p w14:paraId="22CFC4AB" w14:textId="77777777" w:rsidR="002661BA" w:rsidRDefault="002661BA">
            <w:pPr>
              <w:jc w:val="right"/>
              <w:rPr>
                <w:rFonts w:ascii="宋体"/>
              </w:rPr>
            </w:pPr>
          </w:p>
        </w:tc>
      </w:tr>
      <w:tr w:rsidR="002661BA" w14:paraId="22CFC4B5" w14:textId="77777777">
        <w:tc>
          <w:tcPr>
            <w:tcW w:w="0" w:type="auto"/>
            <w:gridSpan w:val="3"/>
            <w:shd w:val="clear" w:color="auto" w:fill="FFFFFF"/>
            <w:tcMar>
              <w:top w:w="40" w:type="dxa"/>
              <w:left w:w="20" w:type="dxa"/>
              <w:bottom w:w="40" w:type="dxa"/>
              <w:right w:w="20" w:type="dxa"/>
            </w:tcMar>
            <w:vAlign w:val="bottom"/>
          </w:tcPr>
          <w:p w14:paraId="22CFC4AD" w14:textId="77777777" w:rsidR="002661BA" w:rsidRDefault="00D972BC">
            <w:pPr>
              <w:textAlignment w:val="bottom"/>
            </w:pPr>
            <w:r>
              <w:rPr>
                <w:rFonts w:ascii="Arial" w:eastAsia="宋体" w:hAnsi="Arial" w:cs="Arial"/>
                <w:color w:val="000000"/>
                <w:sz w:val="18"/>
                <w:szCs w:val="18"/>
              </w:rPr>
              <w:t>Interest rate contracts designated as cash flow hedges</w:t>
            </w:r>
          </w:p>
        </w:tc>
        <w:tc>
          <w:tcPr>
            <w:tcW w:w="0" w:type="auto"/>
            <w:gridSpan w:val="3"/>
            <w:shd w:val="clear" w:color="auto" w:fill="FFFFFF"/>
            <w:tcMar>
              <w:top w:w="40" w:type="dxa"/>
              <w:left w:w="20" w:type="dxa"/>
              <w:bottom w:w="40" w:type="dxa"/>
              <w:right w:w="20" w:type="dxa"/>
            </w:tcMar>
            <w:vAlign w:val="bottom"/>
          </w:tcPr>
          <w:p w14:paraId="22CFC4AE" w14:textId="77777777" w:rsidR="002661BA" w:rsidRDefault="00D972BC">
            <w:pPr>
              <w:jc w:val="right"/>
              <w:textAlignment w:val="bottom"/>
            </w:pPr>
            <w:r>
              <w:rPr>
                <w:rFonts w:ascii="Arial" w:eastAsia="宋体" w:hAnsi="Arial" w:cs="Arial"/>
                <w:color w:val="000000"/>
                <w:sz w:val="18"/>
                <w:szCs w:val="18"/>
              </w:rPr>
              <w:t>Other assets</w:t>
            </w:r>
          </w:p>
        </w:tc>
        <w:tc>
          <w:tcPr>
            <w:tcW w:w="0" w:type="auto"/>
            <w:gridSpan w:val="3"/>
            <w:shd w:val="clear" w:color="auto" w:fill="FFFFFF"/>
            <w:tcMar>
              <w:top w:w="0" w:type="dxa"/>
              <w:left w:w="20" w:type="dxa"/>
              <w:bottom w:w="0" w:type="dxa"/>
              <w:right w:w="20" w:type="dxa"/>
            </w:tcMar>
            <w:vAlign w:val="bottom"/>
          </w:tcPr>
          <w:p w14:paraId="22CFC4AF"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4B0"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4B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4B2"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4B3" w14:textId="77777777" w:rsidR="002661BA" w:rsidRDefault="00D972BC">
            <w:pPr>
              <w:jc w:val="right"/>
              <w:textAlignment w:val="bottom"/>
            </w:pPr>
            <w:r>
              <w:rPr>
                <w:rFonts w:ascii="Arial" w:eastAsia="宋体" w:hAnsi="Arial" w:cs="Arial"/>
                <w:color w:val="000000"/>
                <w:sz w:val="18"/>
                <w:szCs w:val="18"/>
              </w:rPr>
              <w:t>13 </w:t>
            </w:r>
          </w:p>
        </w:tc>
        <w:tc>
          <w:tcPr>
            <w:tcW w:w="0" w:type="auto"/>
            <w:shd w:val="clear" w:color="auto" w:fill="FFFFFF"/>
            <w:tcMar>
              <w:top w:w="40" w:type="dxa"/>
              <w:left w:w="0" w:type="dxa"/>
              <w:bottom w:w="40" w:type="dxa"/>
              <w:right w:w="20" w:type="dxa"/>
            </w:tcMar>
            <w:vAlign w:val="bottom"/>
          </w:tcPr>
          <w:p w14:paraId="22CFC4B4" w14:textId="77777777" w:rsidR="002661BA" w:rsidRDefault="002661BA">
            <w:pPr>
              <w:jc w:val="right"/>
              <w:rPr>
                <w:rFonts w:ascii="宋体"/>
              </w:rPr>
            </w:pPr>
          </w:p>
        </w:tc>
      </w:tr>
      <w:tr w:rsidR="002661BA" w14:paraId="22CFC4BC" w14:textId="77777777">
        <w:trPr>
          <w:hidden/>
        </w:trPr>
        <w:tc>
          <w:tcPr>
            <w:tcW w:w="0" w:type="auto"/>
            <w:gridSpan w:val="3"/>
            <w:shd w:val="clear" w:color="auto" w:fill="auto"/>
            <w:vAlign w:val="bottom"/>
          </w:tcPr>
          <w:p w14:paraId="22CFC4B6" w14:textId="77777777" w:rsidR="002661BA" w:rsidRDefault="002661BA">
            <w:pPr>
              <w:rPr>
                <w:rFonts w:ascii="宋体"/>
                <w:vanish/>
              </w:rPr>
            </w:pPr>
          </w:p>
        </w:tc>
        <w:tc>
          <w:tcPr>
            <w:tcW w:w="0" w:type="auto"/>
            <w:gridSpan w:val="3"/>
            <w:shd w:val="clear" w:color="auto" w:fill="auto"/>
            <w:vAlign w:val="bottom"/>
          </w:tcPr>
          <w:p w14:paraId="22CFC4B7" w14:textId="77777777" w:rsidR="002661BA" w:rsidRDefault="002661BA">
            <w:pPr>
              <w:rPr>
                <w:rFonts w:ascii="宋体"/>
                <w:vanish/>
              </w:rPr>
            </w:pPr>
          </w:p>
        </w:tc>
        <w:tc>
          <w:tcPr>
            <w:tcW w:w="0" w:type="auto"/>
            <w:gridSpan w:val="3"/>
            <w:shd w:val="clear" w:color="auto" w:fill="auto"/>
            <w:vAlign w:val="bottom"/>
          </w:tcPr>
          <w:p w14:paraId="22CFC4B8" w14:textId="77777777" w:rsidR="002661BA" w:rsidRDefault="002661BA">
            <w:pPr>
              <w:rPr>
                <w:rFonts w:ascii="宋体"/>
                <w:vanish/>
              </w:rPr>
            </w:pPr>
          </w:p>
        </w:tc>
        <w:tc>
          <w:tcPr>
            <w:tcW w:w="0" w:type="auto"/>
            <w:gridSpan w:val="3"/>
            <w:shd w:val="clear" w:color="auto" w:fill="auto"/>
            <w:vAlign w:val="bottom"/>
          </w:tcPr>
          <w:p w14:paraId="22CFC4B9" w14:textId="77777777" w:rsidR="002661BA" w:rsidRDefault="002661BA">
            <w:pPr>
              <w:rPr>
                <w:rFonts w:ascii="宋体"/>
                <w:vanish/>
              </w:rPr>
            </w:pPr>
          </w:p>
        </w:tc>
        <w:tc>
          <w:tcPr>
            <w:tcW w:w="0" w:type="auto"/>
            <w:gridSpan w:val="3"/>
            <w:shd w:val="clear" w:color="auto" w:fill="auto"/>
            <w:vAlign w:val="bottom"/>
          </w:tcPr>
          <w:p w14:paraId="22CFC4BA" w14:textId="77777777" w:rsidR="002661BA" w:rsidRDefault="002661BA">
            <w:pPr>
              <w:rPr>
                <w:rFonts w:ascii="宋体"/>
                <w:vanish/>
              </w:rPr>
            </w:pPr>
          </w:p>
        </w:tc>
        <w:tc>
          <w:tcPr>
            <w:tcW w:w="0" w:type="auto"/>
            <w:gridSpan w:val="3"/>
            <w:shd w:val="clear" w:color="auto" w:fill="auto"/>
            <w:vAlign w:val="bottom"/>
          </w:tcPr>
          <w:p w14:paraId="22CFC4BB" w14:textId="77777777" w:rsidR="002661BA" w:rsidRDefault="002661BA">
            <w:pPr>
              <w:rPr>
                <w:rFonts w:ascii="宋体"/>
                <w:vanish/>
              </w:rPr>
            </w:pPr>
          </w:p>
        </w:tc>
      </w:tr>
      <w:tr w:rsidR="002661BA" w14:paraId="22CFC4C7" w14:textId="77777777">
        <w:tc>
          <w:tcPr>
            <w:tcW w:w="0" w:type="auto"/>
            <w:gridSpan w:val="3"/>
            <w:shd w:val="clear" w:color="auto" w:fill="E2E2E2"/>
            <w:tcMar>
              <w:top w:w="40" w:type="dxa"/>
              <w:left w:w="245" w:type="dxa"/>
              <w:bottom w:w="40" w:type="dxa"/>
              <w:right w:w="20" w:type="dxa"/>
            </w:tcMar>
            <w:vAlign w:val="bottom"/>
          </w:tcPr>
          <w:p w14:paraId="22CFC4BD" w14:textId="77777777" w:rsidR="002661BA" w:rsidRDefault="00D972BC">
            <w:pPr>
              <w:textAlignment w:val="bottom"/>
            </w:pPr>
            <w:r>
              <w:rPr>
                <w:rFonts w:ascii="Arial" w:eastAsia="宋体" w:hAnsi="Arial" w:cs="Arial"/>
                <w:color w:val="000000"/>
                <w:sz w:val="18"/>
                <w:szCs w:val="18"/>
              </w:rPr>
              <w:t>Total derivative assets</w:t>
            </w:r>
          </w:p>
        </w:tc>
        <w:tc>
          <w:tcPr>
            <w:tcW w:w="0" w:type="auto"/>
            <w:gridSpan w:val="3"/>
            <w:shd w:val="clear" w:color="auto" w:fill="E2E2E2"/>
            <w:tcMar>
              <w:top w:w="0" w:type="dxa"/>
              <w:left w:w="20" w:type="dxa"/>
              <w:bottom w:w="0" w:type="dxa"/>
              <w:right w:w="20" w:type="dxa"/>
            </w:tcMar>
            <w:vAlign w:val="bottom"/>
          </w:tcPr>
          <w:p w14:paraId="22CFC4BE"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4BF"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4C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4C1" w14:textId="77777777" w:rsidR="002661BA" w:rsidRDefault="00D972BC">
            <w:pPr>
              <w:jc w:val="right"/>
              <w:textAlignment w:val="bottom"/>
            </w:pPr>
            <w:r>
              <w:rPr>
                <w:rFonts w:ascii="Arial" w:eastAsia="宋体" w:hAnsi="Arial" w:cs="Arial"/>
                <w:color w:val="000000"/>
                <w:sz w:val="18"/>
                <w:szCs w:val="18"/>
              </w:rPr>
              <w:t>553 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4C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4C3"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4C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4C5" w14:textId="77777777" w:rsidR="002661BA" w:rsidRDefault="00D972BC">
            <w:pPr>
              <w:jc w:val="right"/>
              <w:textAlignment w:val="bottom"/>
            </w:pPr>
            <w:r>
              <w:rPr>
                <w:rFonts w:ascii="Arial" w:eastAsia="宋体" w:hAnsi="Arial" w:cs="Arial"/>
                <w:color w:val="000000"/>
                <w:sz w:val="18"/>
                <w:szCs w:val="18"/>
              </w:rPr>
              <w:t>1,113 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4C6" w14:textId="77777777" w:rsidR="002661BA" w:rsidRDefault="002661BA">
            <w:pPr>
              <w:jc w:val="right"/>
              <w:rPr>
                <w:rFonts w:ascii="宋体"/>
              </w:rPr>
            </w:pPr>
          </w:p>
        </w:tc>
      </w:tr>
      <w:tr w:rsidR="002661BA" w14:paraId="22CFC4CE" w14:textId="77777777">
        <w:trPr>
          <w:trHeight w:val="280"/>
        </w:trPr>
        <w:tc>
          <w:tcPr>
            <w:tcW w:w="0" w:type="auto"/>
            <w:gridSpan w:val="3"/>
            <w:shd w:val="clear" w:color="auto" w:fill="FFFFFF"/>
            <w:tcMar>
              <w:top w:w="0" w:type="dxa"/>
              <w:left w:w="20" w:type="dxa"/>
              <w:bottom w:w="0" w:type="dxa"/>
              <w:right w:w="20" w:type="dxa"/>
            </w:tcMar>
            <w:vAlign w:val="bottom"/>
          </w:tcPr>
          <w:p w14:paraId="22CFC4C8"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4C9"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4CA"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4CB"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4C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4CD" w14:textId="77777777" w:rsidR="002661BA" w:rsidRDefault="002661BA">
            <w:pPr>
              <w:rPr>
                <w:rFonts w:ascii="宋体"/>
              </w:rPr>
            </w:pPr>
          </w:p>
        </w:tc>
      </w:tr>
      <w:tr w:rsidR="002661BA" w14:paraId="22CFC4D5" w14:textId="77777777">
        <w:tc>
          <w:tcPr>
            <w:tcW w:w="0" w:type="auto"/>
            <w:gridSpan w:val="3"/>
            <w:shd w:val="clear" w:color="auto" w:fill="E2E2E2"/>
            <w:tcMar>
              <w:top w:w="40" w:type="dxa"/>
              <w:left w:w="20" w:type="dxa"/>
              <w:bottom w:w="40" w:type="dxa"/>
              <w:right w:w="20" w:type="dxa"/>
            </w:tcMar>
            <w:vAlign w:val="bottom"/>
          </w:tcPr>
          <w:p w14:paraId="22CFC4CF" w14:textId="77777777" w:rsidR="002661BA" w:rsidRDefault="00D972BC">
            <w:pPr>
              <w:textAlignment w:val="bottom"/>
            </w:pPr>
            <w:r>
              <w:rPr>
                <w:rFonts w:ascii="Arial" w:eastAsia="宋体" w:hAnsi="Arial" w:cs="Arial"/>
                <w:b/>
                <w:bCs/>
                <w:color w:val="000000"/>
                <w:sz w:val="18"/>
                <w:szCs w:val="18"/>
              </w:rPr>
              <w:t>Derivative Liabilities:</w:t>
            </w:r>
          </w:p>
        </w:tc>
        <w:tc>
          <w:tcPr>
            <w:tcW w:w="0" w:type="auto"/>
            <w:gridSpan w:val="3"/>
            <w:shd w:val="clear" w:color="auto" w:fill="E2E2E2"/>
            <w:tcMar>
              <w:top w:w="0" w:type="dxa"/>
              <w:left w:w="20" w:type="dxa"/>
              <w:bottom w:w="0" w:type="dxa"/>
              <w:right w:w="20" w:type="dxa"/>
            </w:tcMar>
            <w:vAlign w:val="bottom"/>
          </w:tcPr>
          <w:p w14:paraId="22CFC4D0"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4D1"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4D2"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4D3"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4D4" w14:textId="77777777" w:rsidR="002661BA" w:rsidRDefault="002661BA">
            <w:pPr>
              <w:rPr>
                <w:rFonts w:ascii="宋体"/>
              </w:rPr>
            </w:pPr>
          </w:p>
        </w:tc>
      </w:tr>
      <w:tr w:rsidR="002661BA" w14:paraId="22CFC4E0" w14:textId="77777777">
        <w:tc>
          <w:tcPr>
            <w:tcW w:w="0" w:type="auto"/>
            <w:gridSpan w:val="3"/>
            <w:shd w:val="clear" w:color="auto" w:fill="FFFFFF"/>
            <w:tcMar>
              <w:top w:w="40" w:type="dxa"/>
              <w:left w:w="20" w:type="dxa"/>
              <w:bottom w:w="40" w:type="dxa"/>
              <w:right w:w="20" w:type="dxa"/>
            </w:tcMar>
            <w:vAlign w:val="bottom"/>
          </w:tcPr>
          <w:p w14:paraId="22CFC4D6" w14:textId="77777777" w:rsidR="002661BA" w:rsidRDefault="00D972BC">
            <w:pPr>
              <w:textAlignment w:val="bottom"/>
            </w:pPr>
            <w:r>
              <w:rPr>
                <w:rFonts w:ascii="Arial" w:eastAsia="宋体" w:hAnsi="Arial" w:cs="Arial"/>
                <w:color w:val="000000"/>
                <w:sz w:val="18"/>
                <w:szCs w:val="18"/>
              </w:rPr>
              <w:t>Foreign exchange contracts designated as cash flow hedges</w:t>
            </w:r>
          </w:p>
        </w:tc>
        <w:tc>
          <w:tcPr>
            <w:tcW w:w="0" w:type="auto"/>
            <w:gridSpan w:val="3"/>
            <w:shd w:val="clear" w:color="auto" w:fill="FFFFFF"/>
            <w:tcMar>
              <w:top w:w="40" w:type="dxa"/>
              <w:left w:w="20" w:type="dxa"/>
              <w:bottom w:w="40" w:type="dxa"/>
              <w:right w:w="20" w:type="dxa"/>
            </w:tcMar>
            <w:vAlign w:val="bottom"/>
          </w:tcPr>
          <w:p w14:paraId="22CFC4D7" w14:textId="77777777" w:rsidR="002661BA" w:rsidRDefault="00D972BC">
            <w:pPr>
              <w:jc w:val="right"/>
              <w:textAlignment w:val="bottom"/>
            </w:pPr>
            <w:r>
              <w:rPr>
                <w:rFonts w:ascii="Arial" w:eastAsia="宋体" w:hAnsi="Arial" w:cs="Arial"/>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22CFC4D8"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C4D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4DA"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4D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4DC"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C4D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4DE" w14:textId="77777777" w:rsidR="002661BA" w:rsidRDefault="00D972BC">
            <w:pPr>
              <w:jc w:val="right"/>
              <w:textAlignment w:val="bottom"/>
            </w:pPr>
            <w:r>
              <w:rPr>
                <w:rFonts w:ascii="Arial" w:eastAsia="宋体" w:hAnsi="Arial" w:cs="Arial"/>
                <w:color w:val="000000"/>
                <w:sz w:val="18"/>
                <w:szCs w:val="18"/>
              </w:rPr>
              <w:t>17 </w:t>
            </w:r>
          </w:p>
        </w:tc>
        <w:tc>
          <w:tcPr>
            <w:tcW w:w="0" w:type="auto"/>
            <w:shd w:val="clear" w:color="auto" w:fill="FFFFFF"/>
            <w:tcMar>
              <w:top w:w="40" w:type="dxa"/>
              <w:left w:w="0" w:type="dxa"/>
              <w:bottom w:w="40" w:type="dxa"/>
              <w:right w:w="20" w:type="dxa"/>
            </w:tcMar>
            <w:vAlign w:val="bottom"/>
          </w:tcPr>
          <w:p w14:paraId="22CFC4DF" w14:textId="77777777" w:rsidR="002661BA" w:rsidRDefault="002661BA">
            <w:pPr>
              <w:jc w:val="right"/>
              <w:rPr>
                <w:rFonts w:ascii="宋体"/>
              </w:rPr>
            </w:pPr>
          </w:p>
        </w:tc>
      </w:tr>
      <w:tr w:rsidR="002661BA" w14:paraId="22CFC4E7" w14:textId="77777777">
        <w:trPr>
          <w:hidden/>
        </w:trPr>
        <w:tc>
          <w:tcPr>
            <w:tcW w:w="0" w:type="auto"/>
            <w:gridSpan w:val="3"/>
            <w:shd w:val="clear" w:color="auto" w:fill="auto"/>
            <w:vAlign w:val="bottom"/>
          </w:tcPr>
          <w:p w14:paraId="22CFC4E1" w14:textId="77777777" w:rsidR="002661BA" w:rsidRDefault="002661BA">
            <w:pPr>
              <w:rPr>
                <w:rFonts w:ascii="宋体"/>
                <w:vanish/>
              </w:rPr>
            </w:pPr>
          </w:p>
        </w:tc>
        <w:tc>
          <w:tcPr>
            <w:tcW w:w="0" w:type="auto"/>
            <w:gridSpan w:val="3"/>
            <w:shd w:val="clear" w:color="auto" w:fill="auto"/>
            <w:vAlign w:val="bottom"/>
          </w:tcPr>
          <w:p w14:paraId="22CFC4E2" w14:textId="77777777" w:rsidR="002661BA" w:rsidRDefault="002661BA">
            <w:pPr>
              <w:rPr>
                <w:rFonts w:ascii="宋体"/>
                <w:vanish/>
              </w:rPr>
            </w:pPr>
          </w:p>
        </w:tc>
        <w:tc>
          <w:tcPr>
            <w:tcW w:w="0" w:type="auto"/>
            <w:gridSpan w:val="3"/>
            <w:shd w:val="clear" w:color="auto" w:fill="auto"/>
            <w:vAlign w:val="bottom"/>
          </w:tcPr>
          <w:p w14:paraId="22CFC4E3" w14:textId="77777777" w:rsidR="002661BA" w:rsidRDefault="002661BA">
            <w:pPr>
              <w:rPr>
                <w:rFonts w:ascii="宋体"/>
                <w:vanish/>
              </w:rPr>
            </w:pPr>
          </w:p>
        </w:tc>
        <w:tc>
          <w:tcPr>
            <w:tcW w:w="0" w:type="auto"/>
            <w:gridSpan w:val="3"/>
            <w:shd w:val="clear" w:color="auto" w:fill="auto"/>
            <w:vAlign w:val="bottom"/>
          </w:tcPr>
          <w:p w14:paraId="22CFC4E4" w14:textId="77777777" w:rsidR="002661BA" w:rsidRDefault="002661BA">
            <w:pPr>
              <w:rPr>
                <w:rFonts w:ascii="宋体"/>
                <w:vanish/>
              </w:rPr>
            </w:pPr>
          </w:p>
        </w:tc>
        <w:tc>
          <w:tcPr>
            <w:tcW w:w="0" w:type="auto"/>
            <w:gridSpan w:val="3"/>
            <w:shd w:val="clear" w:color="auto" w:fill="auto"/>
            <w:vAlign w:val="bottom"/>
          </w:tcPr>
          <w:p w14:paraId="22CFC4E5" w14:textId="77777777" w:rsidR="002661BA" w:rsidRDefault="002661BA">
            <w:pPr>
              <w:rPr>
                <w:rFonts w:ascii="宋体"/>
                <w:vanish/>
              </w:rPr>
            </w:pPr>
          </w:p>
        </w:tc>
        <w:tc>
          <w:tcPr>
            <w:tcW w:w="0" w:type="auto"/>
            <w:gridSpan w:val="3"/>
            <w:shd w:val="clear" w:color="auto" w:fill="auto"/>
            <w:vAlign w:val="bottom"/>
          </w:tcPr>
          <w:p w14:paraId="22CFC4E6" w14:textId="77777777" w:rsidR="002661BA" w:rsidRDefault="002661BA">
            <w:pPr>
              <w:rPr>
                <w:rFonts w:ascii="宋体"/>
                <w:vanish/>
              </w:rPr>
            </w:pPr>
          </w:p>
        </w:tc>
      </w:tr>
      <w:tr w:rsidR="002661BA" w14:paraId="22CFC4EE" w14:textId="77777777">
        <w:trPr>
          <w:hidden/>
        </w:trPr>
        <w:tc>
          <w:tcPr>
            <w:tcW w:w="0" w:type="auto"/>
            <w:gridSpan w:val="3"/>
            <w:shd w:val="clear" w:color="auto" w:fill="auto"/>
            <w:vAlign w:val="bottom"/>
          </w:tcPr>
          <w:p w14:paraId="22CFC4E8" w14:textId="77777777" w:rsidR="002661BA" w:rsidRDefault="002661BA">
            <w:pPr>
              <w:rPr>
                <w:rFonts w:ascii="宋体"/>
                <w:vanish/>
              </w:rPr>
            </w:pPr>
          </w:p>
        </w:tc>
        <w:tc>
          <w:tcPr>
            <w:tcW w:w="0" w:type="auto"/>
            <w:gridSpan w:val="3"/>
            <w:shd w:val="clear" w:color="auto" w:fill="auto"/>
            <w:vAlign w:val="bottom"/>
          </w:tcPr>
          <w:p w14:paraId="22CFC4E9" w14:textId="77777777" w:rsidR="002661BA" w:rsidRDefault="002661BA">
            <w:pPr>
              <w:rPr>
                <w:rFonts w:ascii="宋体"/>
                <w:vanish/>
              </w:rPr>
            </w:pPr>
          </w:p>
        </w:tc>
        <w:tc>
          <w:tcPr>
            <w:tcW w:w="0" w:type="auto"/>
            <w:gridSpan w:val="3"/>
            <w:shd w:val="clear" w:color="auto" w:fill="auto"/>
            <w:vAlign w:val="bottom"/>
          </w:tcPr>
          <w:p w14:paraId="22CFC4EA" w14:textId="77777777" w:rsidR="002661BA" w:rsidRDefault="002661BA">
            <w:pPr>
              <w:rPr>
                <w:rFonts w:ascii="宋体"/>
                <w:vanish/>
              </w:rPr>
            </w:pPr>
          </w:p>
        </w:tc>
        <w:tc>
          <w:tcPr>
            <w:tcW w:w="0" w:type="auto"/>
            <w:gridSpan w:val="3"/>
            <w:shd w:val="clear" w:color="auto" w:fill="auto"/>
            <w:vAlign w:val="bottom"/>
          </w:tcPr>
          <w:p w14:paraId="22CFC4EB" w14:textId="77777777" w:rsidR="002661BA" w:rsidRDefault="002661BA">
            <w:pPr>
              <w:rPr>
                <w:rFonts w:ascii="宋体"/>
                <w:vanish/>
              </w:rPr>
            </w:pPr>
          </w:p>
        </w:tc>
        <w:tc>
          <w:tcPr>
            <w:tcW w:w="0" w:type="auto"/>
            <w:gridSpan w:val="3"/>
            <w:shd w:val="clear" w:color="auto" w:fill="auto"/>
            <w:vAlign w:val="bottom"/>
          </w:tcPr>
          <w:p w14:paraId="22CFC4EC" w14:textId="77777777" w:rsidR="002661BA" w:rsidRDefault="002661BA">
            <w:pPr>
              <w:rPr>
                <w:rFonts w:ascii="宋体"/>
                <w:vanish/>
              </w:rPr>
            </w:pPr>
          </w:p>
        </w:tc>
        <w:tc>
          <w:tcPr>
            <w:tcW w:w="0" w:type="auto"/>
            <w:gridSpan w:val="3"/>
            <w:shd w:val="clear" w:color="auto" w:fill="auto"/>
            <w:vAlign w:val="bottom"/>
          </w:tcPr>
          <w:p w14:paraId="22CFC4ED" w14:textId="77777777" w:rsidR="002661BA" w:rsidRDefault="002661BA">
            <w:pPr>
              <w:rPr>
                <w:rFonts w:ascii="宋体"/>
                <w:vanish/>
              </w:rPr>
            </w:pPr>
          </w:p>
        </w:tc>
      </w:tr>
      <w:tr w:rsidR="002661BA" w14:paraId="22CFC4F7" w14:textId="77777777">
        <w:tc>
          <w:tcPr>
            <w:tcW w:w="0" w:type="auto"/>
            <w:gridSpan w:val="3"/>
            <w:shd w:val="clear" w:color="auto" w:fill="E2E2E2"/>
            <w:tcMar>
              <w:top w:w="40" w:type="dxa"/>
              <w:left w:w="20" w:type="dxa"/>
              <w:bottom w:w="40" w:type="dxa"/>
              <w:right w:w="20" w:type="dxa"/>
            </w:tcMar>
            <w:vAlign w:val="bottom"/>
          </w:tcPr>
          <w:p w14:paraId="22CFC4EF" w14:textId="77777777" w:rsidR="002661BA" w:rsidRDefault="00D972BC">
            <w:pPr>
              <w:textAlignment w:val="bottom"/>
            </w:pPr>
            <w:r>
              <w:rPr>
                <w:rFonts w:ascii="Arial" w:eastAsia="宋体" w:hAnsi="Arial" w:cs="Arial"/>
                <w:color w:val="000000"/>
                <w:sz w:val="18"/>
                <w:szCs w:val="18"/>
              </w:rPr>
              <w:t>Foreign exchange contracts not designated as hedging instruments</w:t>
            </w:r>
          </w:p>
        </w:tc>
        <w:tc>
          <w:tcPr>
            <w:tcW w:w="0" w:type="auto"/>
            <w:gridSpan w:val="3"/>
            <w:shd w:val="clear" w:color="auto" w:fill="E2E2E2"/>
            <w:tcMar>
              <w:top w:w="40" w:type="dxa"/>
              <w:left w:w="20" w:type="dxa"/>
              <w:bottom w:w="40" w:type="dxa"/>
              <w:right w:w="20" w:type="dxa"/>
            </w:tcMar>
            <w:vAlign w:val="bottom"/>
          </w:tcPr>
          <w:p w14:paraId="22CFC4F0" w14:textId="77777777" w:rsidR="002661BA" w:rsidRDefault="00D972BC">
            <w:pPr>
              <w:jc w:val="right"/>
              <w:textAlignment w:val="bottom"/>
            </w:pPr>
            <w:r>
              <w:rPr>
                <w:rFonts w:ascii="Arial" w:eastAsia="宋体" w:hAnsi="Arial" w:cs="Arial"/>
                <w:color w:val="000000"/>
                <w:sz w:val="18"/>
                <w:szCs w:val="18"/>
              </w:rPr>
              <w:t>Other current liabilities</w:t>
            </w:r>
          </w:p>
        </w:tc>
        <w:tc>
          <w:tcPr>
            <w:tcW w:w="0" w:type="auto"/>
            <w:gridSpan w:val="3"/>
            <w:shd w:val="clear" w:color="auto" w:fill="E2E2E2"/>
            <w:tcMar>
              <w:top w:w="0" w:type="dxa"/>
              <w:left w:w="20" w:type="dxa"/>
              <w:bottom w:w="0" w:type="dxa"/>
              <w:right w:w="20" w:type="dxa"/>
            </w:tcMar>
            <w:vAlign w:val="bottom"/>
          </w:tcPr>
          <w:p w14:paraId="22CFC4F1"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4F2" w14:textId="77777777" w:rsidR="002661BA" w:rsidRDefault="00D972BC">
            <w:pPr>
              <w:jc w:val="right"/>
              <w:textAlignment w:val="bottom"/>
            </w:pPr>
            <w:r>
              <w:rPr>
                <w:rFonts w:ascii="Arial" w:eastAsia="宋体" w:hAnsi="Arial" w:cs="Arial"/>
                <w:color w:val="000000"/>
                <w:sz w:val="18"/>
                <w:szCs w:val="18"/>
              </w:rPr>
              <w:t>17 </w:t>
            </w:r>
          </w:p>
        </w:tc>
        <w:tc>
          <w:tcPr>
            <w:tcW w:w="0" w:type="auto"/>
            <w:shd w:val="clear" w:color="auto" w:fill="E2E2E2"/>
            <w:tcMar>
              <w:top w:w="40" w:type="dxa"/>
              <w:left w:w="0" w:type="dxa"/>
              <w:bottom w:w="40" w:type="dxa"/>
              <w:right w:w="20" w:type="dxa"/>
            </w:tcMar>
            <w:vAlign w:val="bottom"/>
          </w:tcPr>
          <w:p w14:paraId="22CFC4F3"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4F4"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4F5" w14:textId="77777777" w:rsidR="002661BA" w:rsidRDefault="00D972BC">
            <w:pPr>
              <w:jc w:val="right"/>
              <w:textAlignment w:val="bottom"/>
            </w:pPr>
            <w:r>
              <w:rPr>
                <w:rFonts w:ascii="Arial" w:eastAsia="宋体" w:hAnsi="Arial" w:cs="Arial"/>
                <w:color w:val="000000"/>
                <w:sz w:val="18"/>
                <w:szCs w:val="18"/>
              </w:rPr>
              <w:t>25 </w:t>
            </w:r>
          </w:p>
        </w:tc>
        <w:tc>
          <w:tcPr>
            <w:tcW w:w="0" w:type="auto"/>
            <w:shd w:val="clear" w:color="auto" w:fill="E2E2E2"/>
            <w:tcMar>
              <w:top w:w="40" w:type="dxa"/>
              <w:left w:w="0" w:type="dxa"/>
              <w:bottom w:w="40" w:type="dxa"/>
              <w:right w:w="20" w:type="dxa"/>
            </w:tcMar>
            <w:vAlign w:val="bottom"/>
          </w:tcPr>
          <w:p w14:paraId="22CFC4F6" w14:textId="77777777" w:rsidR="002661BA" w:rsidRDefault="002661BA">
            <w:pPr>
              <w:jc w:val="right"/>
              <w:rPr>
                <w:rFonts w:ascii="宋体"/>
              </w:rPr>
            </w:pPr>
          </w:p>
        </w:tc>
      </w:tr>
      <w:tr w:rsidR="002661BA" w14:paraId="22CFC500" w14:textId="77777777">
        <w:tc>
          <w:tcPr>
            <w:tcW w:w="0" w:type="auto"/>
            <w:gridSpan w:val="3"/>
            <w:shd w:val="clear" w:color="auto" w:fill="FFFFFF"/>
            <w:tcMar>
              <w:top w:w="40" w:type="dxa"/>
              <w:left w:w="20" w:type="dxa"/>
              <w:bottom w:w="40" w:type="dxa"/>
              <w:right w:w="20" w:type="dxa"/>
            </w:tcMar>
            <w:vAlign w:val="bottom"/>
          </w:tcPr>
          <w:p w14:paraId="22CFC4F8" w14:textId="77777777" w:rsidR="002661BA" w:rsidRDefault="00D972BC">
            <w:pPr>
              <w:textAlignment w:val="bottom"/>
            </w:pPr>
            <w:r>
              <w:rPr>
                <w:rFonts w:ascii="Arial" w:eastAsia="宋体" w:hAnsi="Arial" w:cs="Arial"/>
                <w:color w:val="000000"/>
                <w:sz w:val="18"/>
                <w:szCs w:val="18"/>
              </w:rPr>
              <w:t xml:space="preserve">Interest rate contracts </w:t>
            </w:r>
            <w:r>
              <w:rPr>
                <w:rFonts w:ascii="Arial" w:eastAsia="宋体" w:hAnsi="Arial" w:cs="Arial"/>
                <w:color w:val="000000"/>
                <w:sz w:val="18"/>
                <w:szCs w:val="18"/>
              </w:rPr>
              <w:t>designated as cash flow hedges</w:t>
            </w:r>
          </w:p>
        </w:tc>
        <w:tc>
          <w:tcPr>
            <w:tcW w:w="0" w:type="auto"/>
            <w:gridSpan w:val="3"/>
            <w:shd w:val="clear" w:color="auto" w:fill="FFFFFF"/>
            <w:tcMar>
              <w:top w:w="40" w:type="dxa"/>
              <w:left w:w="20" w:type="dxa"/>
              <w:bottom w:w="40" w:type="dxa"/>
              <w:right w:w="20" w:type="dxa"/>
            </w:tcMar>
            <w:vAlign w:val="bottom"/>
          </w:tcPr>
          <w:p w14:paraId="22CFC4F9" w14:textId="77777777" w:rsidR="002661BA" w:rsidRDefault="00D972BC">
            <w:pPr>
              <w:jc w:val="right"/>
              <w:textAlignment w:val="bottom"/>
            </w:pPr>
            <w:r>
              <w:rPr>
                <w:rFonts w:ascii="Arial" w:eastAsia="宋体" w:hAnsi="Arial" w:cs="Arial"/>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22CFC4F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4FB"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4F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4F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4FE" w14:textId="77777777" w:rsidR="002661BA" w:rsidRDefault="00D972BC">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22CFC4FF" w14:textId="77777777" w:rsidR="002661BA" w:rsidRDefault="002661BA">
            <w:pPr>
              <w:jc w:val="right"/>
              <w:rPr>
                <w:rFonts w:ascii="宋体"/>
              </w:rPr>
            </w:pPr>
          </w:p>
        </w:tc>
      </w:tr>
      <w:tr w:rsidR="002661BA" w14:paraId="22CFC509" w14:textId="77777777">
        <w:tc>
          <w:tcPr>
            <w:tcW w:w="0" w:type="auto"/>
            <w:gridSpan w:val="3"/>
            <w:shd w:val="clear" w:color="auto" w:fill="E2E2E2"/>
            <w:tcMar>
              <w:top w:w="40" w:type="dxa"/>
              <w:left w:w="20" w:type="dxa"/>
              <w:bottom w:w="40" w:type="dxa"/>
              <w:right w:w="20" w:type="dxa"/>
            </w:tcMar>
            <w:vAlign w:val="bottom"/>
          </w:tcPr>
          <w:p w14:paraId="22CFC501" w14:textId="77777777" w:rsidR="002661BA" w:rsidRDefault="00D972BC">
            <w:pPr>
              <w:textAlignment w:val="bottom"/>
            </w:pPr>
            <w:r>
              <w:rPr>
                <w:rFonts w:ascii="Arial" w:eastAsia="宋体" w:hAnsi="Arial" w:cs="Arial"/>
                <w:color w:val="000000"/>
                <w:sz w:val="18"/>
                <w:szCs w:val="18"/>
              </w:rPr>
              <w:t>Interest rate contracts designated as cash flow hedges</w:t>
            </w:r>
          </w:p>
        </w:tc>
        <w:tc>
          <w:tcPr>
            <w:tcW w:w="0" w:type="auto"/>
            <w:gridSpan w:val="3"/>
            <w:shd w:val="clear" w:color="auto" w:fill="E2E2E2"/>
            <w:tcMar>
              <w:top w:w="40" w:type="dxa"/>
              <w:left w:w="20" w:type="dxa"/>
              <w:bottom w:w="40" w:type="dxa"/>
              <w:right w:w="20" w:type="dxa"/>
            </w:tcMar>
            <w:vAlign w:val="bottom"/>
          </w:tcPr>
          <w:p w14:paraId="22CFC502" w14:textId="77777777" w:rsidR="002661BA" w:rsidRDefault="00D972BC">
            <w:pPr>
              <w:jc w:val="right"/>
              <w:textAlignment w:val="bottom"/>
            </w:pPr>
            <w:r>
              <w:rPr>
                <w:rFonts w:ascii="Arial" w:eastAsia="宋体" w:hAnsi="Arial" w:cs="Arial"/>
                <w:color w:val="000000"/>
                <w:sz w:val="18"/>
                <w:szCs w:val="18"/>
              </w:rPr>
              <w:t>Other liabilities</w:t>
            </w:r>
          </w:p>
        </w:tc>
        <w:tc>
          <w:tcPr>
            <w:tcW w:w="0" w:type="auto"/>
            <w:gridSpan w:val="3"/>
            <w:shd w:val="clear" w:color="auto" w:fill="E2E2E2"/>
            <w:tcMar>
              <w:top w:w="0" w:type="dxa"/>
              <w:left w:w="20" w:type="dxa"/>
              <w:bottom w:w="0" w:type="dxa"/>
              <w:right w:w="20" w:type="dxa"/>
            </w:tcMar>
            <w:vAlign w:val="bottom"/>
          </w:tcPr>
          <w:p w14:paraId="22CFC503"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504"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C50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506"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507" w14:textId="77777777" w:rsidR="002661BA" w:rsidRDefault="00D972BC">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22CFC508" w14:textId="77777777" w:rsidR="002661BA" w:rsidRDefault="002661BA">
            <w:pPr>
              <w:jc w:val="right"/>
              <w:rPr>
                <w:rFonts w:ascii="宋体"/>
              </w:rPr>
            </w:pPr>
          </w:p>
        </w:tc>
      </w:tr>
      <w:tr w:rsidR="002661BA" w14:paraId="22CFC510" w14:textId="77777777">
        <w:trPr>
          <w:hidden/>
        </w:trPr>
        <w:tc>
          <w:tcPr>
            <w:tcW w:w="0" w:type="auto"/>
            <w:gridSpan w:val="3"/>
            <w:shd w:val="clear" w:color="auto" w:fill="auto"/>
            <w:vAlign w:val="bottom"/>
          </w:tcPr>
          <w:p w14:paraId="22CFC50A" w14:textId="77777777" w:rsidR="002661BA" w:rsidRDefault="002661BA">
            <w:pPr>
              <w:rPr>
                <w:rFonts w:ascii="宋体"/>
                <w:vanish/>
              </w:rPr>
            </w:pPr>
          </w:p>
        </w:tc>
        <w:tc>
          <w:tcPr>
            <w:tcW w:w="0" w:type="auto"/>
            <w:gridSpan w:val="3"/>
            <w:shd w:val="clear" w:color="auto" w:fill="auto"/>
            <w:vAlign w:val="bottom"/>
          </w:tcPr>
          <w:p w14:paraId="22CFC50B" w14:textId="77777777" w:rsidR="002661BA" w:rsidRDefault="002661BA">
            <w:pPr>
              <w:rPr>
                <w:rFonts w:ascii="宋体"/>
                <w:vanish/>
              </w:rPr>
            </w:pPr>
          </w:p>
        </w:tc>
        <w:tc>
          <w:tcPr>
            <w:tcW w:w="0" w:type="auto"/>
            <w:gridSpan w:val="3"/>
            <w:shd w:val="clear" w:color="auto" w:fill="auto"/>
            <w:vAlign w:val="bottom"/>
          </w:tcPr>
          <w:p w14:paraId="22CFC50C" w14:textId="77777777" w:rsidR="002661BA" w:rsidRDefault="002661BA">
            <w:pPr>
              <w:rPr>
                <w:rFonts w:ascii="宋体"/>
                <w:vanish/>
              </w:rPr>
            </w:pPr>
          </w:p>
        </w:tc>
        <w:tc>
          <w:tcPr>
            <w:tcW w:w="0" w:type="auto"/>
            <w:gridSpan w:val="3"/>
            <w:shd w:val="clear" w:color="auto" w:fill="auto"/>
            <w:vAlign w:val="bottom"/>
          </w:tcPr>
          <w:p w14:paraId="22CFC50D" w14:textId="77777777" w:rsidR="002661BA" w:rsidRDefault="002661BA">
            <w:pPr>
              <w:rPr>
                <w:rFonts w:ascii="宋体"/>
                <w:vanish/>
              </w:rPr>
            </w:pPr>
          </w:p>
        </w:tc>
        <w:tc>
          <w:tcPr>
            <w:tcW w:w="0" w:type="auto"/>
            <w:gridSpan w:val="3"/>
            <w:shd w:val="clear" w:color="auto" w:fill="auto"/>
            <w:vAlign w:val="bottom"/>
          </w:tcPr>
          <w:p w14:paraId="22CFC50E" w14:textId="77777777" w:rsidR="002661BA" w:rsidRDefault="002661BA">
            <w:pPr>
              <w:rPr>
                <w:rFonts w:ascii="宋体"/>
                <w:vanish/>
              </w:rPr>
            </w:pPr>
          </w:p>
        </w:tc>
        <w:tc>
          <w:tcPr>
            <w:tcW w:w="0" w:type="auto"/>
            <w:gridSpan w:val="3"/>
            <w:shd w:val="clear" w:color="auto" w:fill="auto"/>
            <w:vAlign w:val="bottom"/>
          </w:tcPr>
          <w:p w14:paraId="22CFC50F" w14:textId="77777777" w:rsidR="002661BA" w:rsidRDefault="002661BA">
            <w:pPr>
              <w:rPr>
                <w:rFonts w:ascii="宋体"/>
                <w:vanish/>
              </w:rPr>
            </w:pPr>
          </w:p>
        </w:tc>
      </w:tr>
      <w:tr w:rsidR="002661BA" w14:paraId="22CFC51B" w14:textId="77777777">
        <w:tc>
          <w:tcPr>
            <w:tcW w:w="0" w:type="auto"/>
            <w:gridSpan w:val="3"/>
            <w:shd w:val="clear" w:color="auto" w:fill="FFFFFF"/>
            <w:tcMar>
              <w:top w:w="40" w:type="dxa"/>
              <w:left w:w="245" w:type="dxa"/>
              <w:bottom w:w="40" w:type="dxa"/>
              <w:right w:w="20" w:type="dxa"/>
            </w:tcMar>
            <w:vAlign w:val="bottom"/>
          </w:tcPr>
          <w:p w14:paraId="22CFC511" w14:textId="77777777" w:rsidR="002661BA" w:rsidRDefault="00D972BC">
            <w:pPr>
              <w:textAlignment w:val="bottom"/>
            </w:pPr>
            <w:r>
              <w:rPr>
                <w:rFonts w:ascii="Arial" w:eastAsia="宋体" w:hAnsi="Arial" w:cs="Arial"/>
                <w:color w:val="000000"/>
                <w:sz w:val="18"/>
                <w:szCs w:val="18"/>
              </w:rPr>
              <w:t>Total derivative liabilities</w:t>
            </w:r>
          </w:p>
        </w:tc>
        <w:tc>
          <w:tcPr>
            <w:tcW w:w="0" w:type="auto"/>
            <w:gridSpan w:val="3"/>
            <w:shd w:val="clear" w:color="auto" w:fill="FFFFFF"/>
            <w:tcMar>
              <w:top w:w="0" w:type="dxa"/>
              <w:left w:w="20" w:type="dxa"/>
              <w:bottom w:w="0" w:type="dxa"/>
              <w:right w:w="20" w:type="dxa"/>
            </w:tcMar>
            <w:vAlign w:val="bottom"/>
          </w:tcPr>
          <w:p w14:paraId="22CFC512"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513"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C51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C515" w14:textId="77777777" w:rsidR="002661BA" w:rsidRDefault="00D972BC">
            <w:pPr>
              <w:jc w:val="right"/>
              <w:textAlignment w:val="bottom"/>
            </w:pPr>
            <w:r>
              <w:rPr>
                <w:rFonts w:ascii="Arial" w:eastAsia="宋体" w:hAnsi="Arial" w:cs="Arial"/>
                <w:color w:val="000000"/>
                <w:sz w:val="18"/>
                <w:szCs w:val="18"/>
              </w:rPr>
              <w:t>17 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51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517"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C51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C519" w14:textId="77777777" w:rsidR="002661BA" w:rsidRDefault="00D972BC">
            <w:pPr>
              <w:jc w:val="right"/>
              <w:textAlignment w:val="bottom"/>
            </w:pPr>
            <w:r>
              <w:rPr>
                <w:rFonts w:ascii="Arial" w:eastAsia="宋体" w:hAnsi="Arial" w:cs="Arial"/>
                <w:color w:val="000000"/>
                <w:sz w:val="18"/>
                <w:szCs w:val="18"/>
              </w:rPr>
              <w:t>44 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51A" w14:textId="77777777" w:rsidR="002661BA" w:rsidRDefault="002661BA">
            <w:pPr>
              <w:jc w:val="right"/>
              <w:rPr>
                <w:rFonts w:ascii="宋体"/>
              </w:rPr>
            </w:pPr>
          </w:p>
        </w:tc>
      </w:tr>
      <w:tr w:rsidR="002661BA" w14:paraId="22CFC522" w14:textId="77777777">
        <w:trPr>
          <w:trHeight w:val="280"/>
        </w:trPr>
        <w:tc>
          <w:tcPr>
            <w:tcW w:w="0" w:type="auto"/>
            <w:gridSpan w:val="3"/>
            <w:shd w:val="clear" w:color="auto" w:fill="E2E2E2"/>
            <w:tcMar>
              <w:top w:w="0" w:type="dxa"/>
              <w:left w:w="20" w:type="dxa"/>
              <w:bottom w:w="0" w:type="dxa"/>
              <w:right w:w="20" w:type="dxa"/>
            </w:tcMar>
            <w:vAlign w:val="bottom"/>
          </w:tcPr>
          <w:p w14:paraId="22CFC51C"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51D"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51E"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51F"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520"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521" w14:textId="77777777" w:rsidR="002661BA" w:rsidRDefault="002661BA">
            <w:pPr>
              <w:rPr>
                <w:rFonts w:ascii="宋体"/>
              </w:rPr>
            </w:pPr>
          </w:p>
        </w:tc>
      </w:tr>
      <w:tr w:rsidR="002661BA" w14:paraId="22CFC52D" w14:textId="77777777">
        <w:tc>
          <w:tcPr>
            <w:tcW w:w="0" w:type="auto"/>
            <w:gridSpan w:val="3"/>
            <w:shd w:val="clear" w:color="auto" w:fill="FFFFFF"/>
            <w:tcMar>
              <w:top w:w="40" w:type="dxa"/>
              <w:left w:w="245" w:type="dxa"/>
              <w:bottom w:w="40" w:type="dxa"/>
              <w:right w:w="20" w:type="dxa"/>
            </w:tcMar>
            <w:vAlign w:val="bottom"/>
          </w:tcPr>
          <w:p w14:paraId="22CFC523" w14:textId="77777777" w:rsidR="002661BA" w:rsidRDefault="00D972BC">
            <w:pPr>
              <w:textAlignment w:val="bottom"/>
            </w:pPr>
            <w:r>
              <w:rPr>
                <w:rFonts w:ascii="Arial" w:eastAsia="宋体" w:hAnsi="Arial" w:cs="Arial"/>
                <w:color w:val="000000"/>
                <w:sz w:val="18"/>
                <w:szCs w:val="18"/>
              </w:rPr>
              <w:t xml:space="preserve">Total fair value of derivative </w:t>
            </w:r>
            <w:r>
              <w:rPr>
                <w:rFonts w:ascii="Arial" w:eastAsia="宋体" w:hAnsi="Arial" w:cs="Arial"/>
                <w:color w:val="000000"/>
                <w:sz w:val="18"/>
                <w:szCs w:val="18"/>
              </w:rPr>
              <w:t>instruments</w:t>
            </w:r>
          </w:p>
        </w:tc>
        <w:tc>
          <w:tcPr>
            <w:tcW w:w="0" w:type="auto"/>
            <w:gridSpan w:val="3"/>
            <w:shd w:val="clear" w:color="auto" w:fill="FFFFFF"/>
            <w:tcMar>
              <w:top w:w="0" w:type="dxa"/>
              <w:left w:w="20" w:type="dxa"/>
              <w:bottom w:w="0" w:type="dxa"/>
              <w:right w:w="20" w:type="dxa"/>
            </w:tcMar>
            <w:vAlign w:val="bottom"/>
          </w:tcPr>
          <w:p w14:paraId="22CFC524"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525"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526"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527" w14:textId="77777777" w:rsidR="002661BA" w:rsidRDefault="00D972BC">
            <w:pPr>
              <w:jc w:val="right"/>
              <w:textAlignment w:val="bottom"/>
            </w:pPr>
            <w:r>
              <w:rPr>
                <w:rFonts w:ascii="Arial" w:eastAsia="宋体" w:hAnsi="Arial" w:cs="Arial"/>
                <w:color w:val="000000"/>
                <w:sz w:val="18"/>
                <w:szCs w:val="18"/>
              </w:rPr>
              <w:t>536 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52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529"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52A"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52B" w14:textId="77777777" w:rsidR="002661BA" w:rsidRDefault="00D972BC">
            <w:pPr>
              <w:jc w:val="right"/>
              <w:textAlignment w:val="bottom"/>
            </w:pPr>
            <w:r>
              <w:rPr>
                <w:rFonts w:ascii="Arial" w:eastAsia="宋体" w:hAnsi="Arial" w:cs="Arial"/>
                <w:color w:val="000000"/>
                <w:sz w:val="18"/>
                <w:szCs w:val="18"/>
              </w:rPr>
              <w:t>1,069 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52C" w14:textId="77777777" w:rsidR="002661BA" w:rsidRDefault="002661BA">
            <w:pPr>
              <w:jc w:val="right"/>
              <w:rPr>
                <w:rFonts w:ascii="宋体"/>
              </w:rPr>
            </w:pPr>
          </w:p>
        </w:tc>
      </w:tr>
    </w:tbl>
    <w:p w14:paraId="22CFC52E" w14:textId="77777777" w:rsidR="002661BA" w:rsidRDefault="002661BA">
      <w:pPr>
        <w:jc w:val="both"/>
      </w:pPr>
    </w:p>
    <w:p w14:paraId="22CFC52F" w14:textId="77777777" w:rsidR="002661BA" w:rsidRDefault="00D972BC">
      <w:pPr>
        <w:ind w:firstLine="540"/>
        <w:jc w:val="both"/>
      </w:pPr>
      <w:r>
        <w:rPr>
          <w:rFonts w:ascii="Arial" w:eastAsia="宋体" w:hAnsi="Arial" w:cs="Arial"/>
          <w:color w:val="000000"/>
          <w:sz w:val="20"/>
          <w:szCs w:val="20"/>
        </w:rPr>
        <w:t xml:space="preserve">Under </w:t>
      </w:r>
      <w:r>
        <w:rPr>
          <w:rFonts w:ascii="Arial" w:eastAsia="宋体" w:hAnsi="Arial" w:cs="Arial"/>
          <w:color w:val="000000"/>
          <w:sz w:val="20"/>
          <w:szCs w:val="20"/>
        </w:rPr>
        <w:t>the master netting agreements with the respective counterparties to our derivative contracts, subject to applicable requirements, we are allowed to net settle transactions of the same type with a single net amount payable by one party to the other. However</w:t>
      </w:r>
      <w:r>
        <w:rPr>
          <w:rFonts w:ascii="Arial" w:eastAsia="宋体" w:hAnsi="Arial" w:cs="Arial"/>
          <w:color w:val="000000"/>
          <w:sz w:val="20"/>
          <w:szCs w:val="20"/>
        </w:rPr>
        <w:t xml:space="preserve">, we have elected to present the derivative assets and derivative liabilities on a gross basis on our consolidated balance sheet. As of December 31, 2021, the potential effect of rights of set-off associated with the foreign exchange contracts would be an </w:t>
      </w:r>
      <w:r>
        <w:rPr>
          <w:rFonts w:ascii="Arial" w:eastAsia="宋体" w:hAnsi="Arial" w:cs="Arial"/>
          <w:color w:val="000000"/>
          <w:sz w:val="20"/>
          <w:szCs w:val="20"/>
        </w:rPr>
        <w:t xml:space="preserve">offset to both assets and liabilities by $18 million, resulting in net derivative assets of $92 million and no net derivative liabilities. As of December 31, 2021, there is no effect of rights of set-off associated with the interest rate contracts. </w:t>
      </w:r>
    </w:p>
    <w:p w14:paraId="22CFC530" w14:textId="77777777" w:rsidR="002661BA" w:rsidRDefault="002661BA">
      <w:pPr>
        <w:ind w:firstLine="540"/>
        <w:jc w:val="both"/>
      </w:pPr>
    </w:p>
    <w:p w14:paraId="22CFC531" w14:textId="77777777" w:rsidR="002661BA" w:rsidRDefault="00D972BC">
      <w:pPr>
        <w:jc w:val="both"/>
      </w:pPr>
      <w:r>
        <w:rPr>
          <w:rFonts w:ascii="Arial" w:eastAsia="宋体" w:hAnsi="Arial" w:cs="Arial"/>
          <w:b/>
          <w:bCs/>
          <w:i/>
          <w:iCs/>
          <w:color w:val="000000"/>
          <w:sz w:val="20"/>
          <w:szCs w:val="20"/>
        </w:rPr>
        <w:t>Effec</w:t>
      </w:r>
      <w:r>
        <w:rPr>
          <w:rFonts w:ascii="Arial" w:eastAsia="宋体" w:hAnsi="Arial" w:cs="Arial"/>
          <w:b/>
          <w:bCs/>
          <w:i/>
          <w:iCs/>
          <w:color w:val="000000"/>
          <w:sz w:val="20"/>
          <w:szCs w:val="20"/>
        </w:rPr>
        <w:t>t of Derivative Contracts on Accumulated Other Comprehensive Income</w:t>
      </w:r>
    </w:p>
    <w:p w14:paraId="22CFC532" w14:textId="77777777" w:rsidR="002661BA" w:rsidRDefault="002661BA">
      <w:pPr>
        <w:ind w:firstLine="495"/>
        <w:jc w:val="both"/>
      </w:pPr>
    </w:p>
    <w:p w14:paraId="22CFC533" w14:textId="77777777" w:rsidR="002661BA" w:rsidRDefault="00D972BC">
      <w:pPr>
        <w:spacing w:after="120"/>
        <w:ind w:firstLine="540"/>
        <w:jc w:val="both"/>
      </w:pPr>
      <w:r>
        <w:rPr>
          <w:rFonts w:ascii="Arial" w:eastAsia="宋体" w:hAnsi="Arial" w:cs="Arial"/>
          <w:color w:val="000000"/>
          <w:sz w:val="20"/>
          <w:szCs w:val="20"/>
        </w:rPr>
        <w:t>The following tables present the activity of derivative instruments designated as cash flow hedges as of December 31, 2021 and 2020, and the impact of these derivative contracts on AOCI f</w:t>
      </w:r>
      <w:r>
        <w:rPr>
          <w:rFonts w:ascii="Arial" w:eastAsia="宋体" w:hAnsi="Arial" w:cs="Arial"/>
          <w:color w:val="000000"/>
          <w:sz w:val="20"/>
          <w:szCs w:val="20"/>
        </w:rPr>
        <w:t>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1891"/>
        <w:gridCol w:w="36"/>
        <w:gridCol w:w="122"/>
        <w:gridCol w:w="1082"/>
        <w:gridCol w:w="36"/>
        <w:gridCol w:w="36"/>
        <w:gridCol w:w="36"/>
        <w:gridCol w:w="36"/>
        <w:gridCol w:w="122"/>
        <w:gridCol w:w="1849"/>
        <w:gridCol w:w="36"/>
        <w:gridCol w:w="36"/>
        <w:gridCol w:w="36"/>
        <w:gridCol w:w="36"/>
        <w:gridCol w:w="122"/>
        <w:gridCol w:w="1401"/>
        <w:gridCol w:w="36"/>
        <w:gridCol w:w="36"/>
        <w:gridCol w:w="36"/>
        <w:gridCol w:w="36"/>
        <w:gridCol w:w="122"/>
        <w:gridCol w:w="1084"/>
        <w:gridCol w:w="36"/>
      </w:tblGrid>
      <w:tr w:rsidR="002661BA" w14:paraId="22CFC54C" w14:textId="77777777">
        <w:tc>
          <w:tcPr>
            <w:tcW w:w="50" w:type="pct"/>
            <w:shd w:val="clear" w:color="auto" w:fill="auto"/>
            <w:vAlign w:val="bottom"/>
          </w:tcPr>
          <w:p w14:paraId="22CFC534" w14:textId="77777777" w:rsidR="002661BA" w:rsidRDefault="002661BA">
            <w:pPr>
              <w:rPr>
                <w:rFonts w:ascii="宋体"/>
              </w:rPr>
            </w:pPr>
          </w:p>
        </w:tc>
        <w:tc>
          <w:tcPr>
            <w:tcW w:w="1290" w:type="pct"/>
            <w:shd w:val="clear" w:color="auto" w:fill="auto"/>
            <w:vAlign w:val="bottom"/>
          </w:tcPr>
          <w:p w14:paraId="22CFC535" w14:textId="77777777" w:rsidR="002661BA" w:rsidRDefault="002661BA">
            <w:pPr>
              <w:rPr>
                <w:rFonts w:ascii="宋体"/>
              </w:rPr>
            </w:pPr>
          </w:p>
        </w:tc>
        <w:tc>
          <w:tcPr>
            <w:tcW w:w="5" w:type="pct"/>
            <w:shd w:val="clear" w:color="auto" w:fill="auto"/>
            <w:vAlign w:val="bottom"/>
          </w:tcPr>
          <w:p w14:paraId="22CFC536" w14:textId="77777777" w:rsidR="002661BA" w:rsidRDefault="002661BA">
            <w:pPr>
              <w:rPr>
                <w:rFonts w:ascii="宋体"/>
              </w:rPr>
            </w:pPr>
          </w:p>
        </w:tc>
        <w:tc>
          <w:tcPr>
            <w:tcW w:w="50" w:type="pct"/>
            <w:shd w:val="clear" w:color="auto" w:fill="auto"/>
            <w:vAlign w:val="bottom"/>
          </w:tcPr>
          <w:p w14:paraId="22CFC537" w14:textId="77777777" w:rsidR="002661BA" w:rsidRDefault="002661BA">
            <w:pPr>
              <w:rPr>
                <w:rFonts w:ascii="宋体"/>
              </w:rPr>
            </w:pPr>
          </w:p>
        </w:tc>
        <w:tc>
          <w:tcPr>
            <w:tcW w:w="741" w:type="pct"/>
            <w:shd w:val="clear" w:color="auto" w:fill="auto"/>
            <w:vAlign w:val="bottom"/>
          </w:tcPr>
          <w:p w14:paraId="22CFC538" w14:textId="77777777" w:rsidR="002661BA" w:rsidRDefault="002661BA">
            <w:pPr>
              <w:rPr>
                <w:rFonts w:ascii="宋体"/>
              </w:rPr>
            </w:pPr>
          </w:p>
        </w:tc>
        <w:tc>
          <w:tcPr>
            <w:tcW w:w="5" w:type="pct"/>
            <w:shd w:val="clear" w:color="auto" w:fill="auto"/>
            <w:vAlign w:val="bottom"/>
          </w:tcPr>
          <w:p w14:paraId="22CFC539" w14:textId="77777777" w:rsidR="002661BA" w:rsidRDefault="002661BA">
            <w:pPr>
              <w:rPr>
                <w:rFonts w:ascii="宋体"/>
              </w:rPr>
            </w:pPr>
          </w:p>
        </w:tc>
        <w:tc>
          <w:tcPr>
            <w:tcW w:w="5" w:type="pct"/>
            <w:shd w:val="clear" w:color="auto" w:fill="auto"/>
            <w:vAlign w:val="bottom"/>
          </w:tcPr>
          <w:p w14:paraId="22CFC53A" w14:textId="77777777" w:rsidR="002661BA" w:rsidRDefault="002661BA">
            <w:pPr>
              <w:rPr>
                <w:rFonts w:ascii="宋体"/>
              </w:rPr>
            </w:pPr>
          </w:p>
        </w:tc>
        <w:tc>
          <w:tcPr>
            <w:tcW w:w="19" w:type="pct"/>
            <w:shd w:val="clear" w:color="auto" w:fill="auto"/>
            <w:vAlign w:val="bottom"/>
          </w:tcPr>
          <w:p w14:paraId="22CFC53B" w14:textId="77777777" w:rsidR="002661BA" w:rsidRDefault="002661BA">
            <w:pPr>
              <w:rPr>
                <w:rFonts w:ascii="宋体"/>
              </w:rPr>
            </w:pPr>
          </w:p>
        </w:tc>
        <w:tc>
          <w:tcPr>
            <w:tcW w:w="5" w:type="pct"/>
            <w:shd w:val="clear" w:color="auto" w:fill="auto"/>
            <w:vAlign w:val="bottom"/>
          </w:tcPr>
          <w:p w14:paraId="22CFC53C" w14:textId="77777777" w:rsidR="002661BA" w:rsidRDefault="002661BA">
            <w:pPr>
              <w:rPr>
                <w:rFonts w:ascii="宋体"/>
              </w:rPr>
            </w:pPr>
          </w:p>
        </w:tc>
        <w:tc>
          <w:tcPr>
            <w:tcW w:w="50" w:type="pct"/>
            <w:shd w:val="clear" w:color="auto" w:fill="auto"/>
            <w:vAlign w:val="bottom"/>
          </w:tcPr>
          <w:p w14:paraId="22CFC53D" w14:textId="77777777" w:rsidR="002661BA" w:rsidRDefault="002661BA">
            <w:pPr>
              <w:rPr>
                <w:rFonts w:ascii="宋体"/>
              </w:rPr>
            </w:pPr>
          </w:p>
        </w:tc>
        <w:tc>
          <w:tcPr>
            <w:tcW w:w="931" w:type="pct"/>
            <w:shd w:val="clear" w:color="auto" w:fill="auto"/>
            <w:vAlign w:val="bottom"/>
          </w:tcPr>
          <w:p w14:paraId="22CFC53E" w14:textId="77777777" w:rsidR="002661BA" w:rsidRDefault="002661BA">
            <w:pPr>
              <w:rPr>
                <w:rFonts w:ascii="宋体"/>
              </w:rPr>
            </w:pPr>
          </w:p>
        </w:tc>
        <w:tc>
          <w:tcPr>
            <w:tcW w:w="5" w:type="pct"/>
            <w:shd w:val="clear" w:color="auto" w:fill="auto"/>
            <w:vAlign w:val="bottom"/>
          </w:tcPr>
          <w:p w14:paraId="22CFC53F" w14:textId="77777777" w:rsidR="002661BA" w:rsidRDefault="002661BA">
            <w:pPr>
              <w:rPr>
                <w:rFonts w:ascii="宋体"/>
              </w:rPr>
            </w:pPr>
          </w:p>
        </w:tc>
        <w:tc>
          <w:tcPr>
            <w:tcW w:w="5" w:type="pct"/>
            <w:shd w:val="clear" w:color="auto" w:fill="auto"/>
            <w:vAlign w:val="bottom"/>
          </w:tcPr>
          <w:p w14:paraId="22CFC540" w14:textId="77777777" w:rsidR="002661BA" w:rsidRDefault="002661BA">
            <w:pPr>
              <w:rPr>
                <w:rFonts w:ascii="宋体"/>
              </w:rPr>
            </w:pPr>
          </w:p>
        </w:tc>
        <w:tc>
          <w:tcPr>
            <w:tcW w:w="19" w:type="pct"/>
            <w:shd w:val="clear" w:color="auto" w:fill="auto"/>
            <w:vAlign w:val="bottom"/>
          </w:tcPr>
          <w:p w14:paraId="22CFC541" w14:textId="77777777" w:rsidR="002661BA" w:rsidRDefault="002661BA">
            <w:pPr>
              <w:rPr>
                <w:rFonts w:ascii="宋体"/>
              </w:rPr>
            </w:pPr>
          </w:p>
        </w:tc>
        <w:tc>
          <w:tcPr>
            <w:tcW w:w="5" w:type="pct"/>
            <w:shd w:val="clear" w:color="auto" w:fill="auto"/>
            <w:vAlign w:val="bottom"/>
          </w:tcPr>
          <w:p w14:paraId="22CFC542" w14:textId="77777777" w:rsidR="002661BA" w:rsidRDefault="002661BA">
            <w:pPr>
              <w:rPr>
                <w:rFonts w:ascii="宋体"/>
              </w:rPr>
            </w:pPr>
          </w:p>
        </w:tc>
        <w:tc>
          <w:tcPr>
            <w:tcW w:w="50" w:type="pct"/>
            <w:shd w:val="clear" w:color="auto" w:fill="auto"/>
            <w:vAlign w:val="bottom"/>
          </w:tcPr>
          <w:p w14:paraId="22CFC543" w14:textId="77777777" w:rsidR="002661BA" w:rsidRDefault="002661BA">
            <w:pPr>
              <w:rPr>
                <w:rFonts w:ascii="宋体"/>
              </w:rPr>
            </w:pPr>
          </w:p>
        </w:tc>
        <w:tc>
          <w:tcPr>
            <w:tcW w:w="931" w:type="pct"/>
            <w:shd w:val="clear" w:color="auto" w:fill="auto"/>
            <w:vAlign w:val="bottom"/>
          </w:tcPr>
          <w:p w14:paraId="22CFC544" w14:textId="77777777" w:rsidR="002661BA" w:rsidRDefault="002661BA">
            <w:pPr>
              <w:rPr>
                <w:rFonts w:ascii="宋体"/>
              </w:rPr>
            </w:pPr>
          </w:p>
        </w:tc>
        <w:tc>
          <w:tcPr>
            <w:tcW w:w="5" w:type="pct"/>
            <w:shd w:val="clear" w:color="auto" w:fill="auto"/>
            <w:vAlign w:val="bottom"/>
          </w:tcPr>
          <w:p w14:paraId="22CFC545" w14:textId="77777777" w:rsidR="002661BA" w:rsidRDefault="002661BA">
            <w:pPr>
              <w:rPr>
                <w:rFonts w:ascii="宋体"/>
              </w:rPr>
            </w:pPr>
          </w:p>
        </w:tc>
        <w:tc>
          <w:tcPr>
            <w:tcW w:w="5" w:type="pct"/>
            <w:shd w:val="clear" w:color="auto" w:fill="auto"/>
            <w:vAlign w:val="bottom"/>
          </w:tcPr>
          <w:p w14:paraId="22CFC546" w14:textId="77777777" w:rsidR="002661BA" w:rsidRDefault="002661BA">
            <w:pPr>
              <w:rPr>
                <w:rFonts w:ascii="宋体"/>
              </w:rPr>
            </w:pPr>
          </w:p>
        </w:tc>
        <w:tc>
          <w:tcPr>
            <w:tcW w:w="19" w:type="pct"/>
            <w:shd w:val="clear" w:color="auto" w:fill="auto"/>
            <w:vAlign w:val="bottom"/>
          </w:tcPr>
          <w:p w14:paraId="22CFC547" w14:textId="77777777" w:rsidR="002661BA" w:rsidRDefault="002661BA">
            <w:pPr>
              <w:rPr>
                <w:rFonts w:ascii="宋体"/>
              </w:rPr>
            </w:pPr>
          </w:p>
        </w:tc>
        <w:tc>
          <w:tcPr>
            <w:tcW w:w="5" w:type="pct"/>
            <w:shd w:val="clear" w:color="auto" w:fill="auto"/>
            <w:vAlign w:val="bottom"/>
          </w:tcPr>
          <w:p w14:paraId="22CFC548" w14:textId="77777777" w:rsidR="002661BA" w:rsidRDefault="002661BA">
            <w:pPr>
              <w:rPr>
                <w:rFonts w:ascii="宋体"/>
              </w:rPr>
            </w:pPr>
          </w:p>
        </w:tc>
        <w:tc>
          <w:tcPr>
            <w:tcW w:w="50" w:type="pct"/>
            <w:shd w:val="clear" w:color="auto" w:fill="auto"/>
            <w:vAlign w:val="bottom"/>
          </w:tcPr>
          <w:p w14:paraId="22CFC549" w14:textId="77777777" w:rsidR="002661BA" w:rsidRDefault="002661BA">
            <w:pPr>
              <w:rPr>
                <w:rFonts w:ascii="宋体"/>
              </w:rPr>
            </w:pPr>
          </w:p>
        </w:tc>
        <w:tc>
          <w:tcPr>
            <w:tcW w:w="742" w:type="pct"/>
            <w:shd w:val="clear" w:color="auto" w:fill="auto"/>
            <w:vAlign w:val="bottom"/>
          </w:tcPr>
          <w:p w14:paraId="22CFC54A" w14:textId="77777777" w:rsidR="002661BA" w:rsidRDefault="002661BA">
            <w:pPr>
              <w:rPr>
                <w:rFonts w:ascii="宋体"/>
              </w:rPr>
            </w:pPr>
          </w:p>
        </w:tc>
        <w:tc>
          <w:tcPr>
            <w:tcW w:w="5" w:type="pct"/>
            <w:shd w:val="clear" w:color="auto" w:fill="auto"/>
            <w:vAlign w:val="bottom"/>
          </w:tcPr>
          <w:p w14:paraId="22CFC54B" w14:textId="77777777" w:rsidR="002661BA" w:rsidRDefault="002661BA">
            <w:pPr>
              <w:rPr>
                <w:rFonts w:ascii="宋体"/>
              </w:rPr>
            </w:pPr>
          </w:p>
        </w:tc>
      </w:tr>
      <w:tr w:rsidR="002661BA" w14:paraId="22CFC555" w14:textId="77777777">
        <w:tc>
          <w:tcPr>
            <w:tcW w:w="0" w:type="auto"/>
            <w:gridSpan w:val="3"/>
            <w:shd w:val="clear" w:color="auto" w:fill="auto"/>
            <w:tcMar>
              <w:top w:w="40" w:type="dxa"/>
              <w:left w:w="20" w:type="dxa"/>
              <w:bottom w:w="40" w:type="dxa"/>
              <w:right w:w="20" w:type="dxa"/>
            </w:tcMar>
            <w:vAlign w:val="bottom"/>
          </w:tcPr>
          <w:p w14:paraId="22CFC54D" w14:textId="77777777" w:rsidR="002661BA" w:rsidRDefault="00D972BC">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22CFC54E" w14:textId="77777777" w:rsidR="002661BA" w:rsidRDefault="00D972BC">
            <w:pPr>
              <w:jc w:val="center"/>
              <w:textAlignment w:val="bottom"/>
            </w:pPr>
            <w:r>
              <w:rPr>
                <w:rFonts w:ascii="Arial" w:eastAsia="宋体" w:hAnsi="Arial" w:cs="Arial"/>
                <w:b/>
                <w:bCs/>
                <w:color w:val="000000"/>
                <w:sz w:val="17"/>
                <w:szCs w:val="17"/>
              </w:rPr>
              <w:t>December 31, 2020</w:t>
            </w:r>
          </w:p>
        </w:tc>
        <w:tc>
          <w:tcPr>
            <w:tcW w:w="0" w:type="auto"/>
            <w:gridSpan w:val="3"/>
            <w:shd w:val="clear" w:color="auto" w:fill="auto"/>
            <w:tcMar>
              <w:top w:w="0" w:type="dxa"/>
              <w:left w:w="20" w:type="dxa"/>
              <w:bottom w:w="0" w:type="dxa"/>
              <w:right w:w="20" w:type="dxa"/>
            </w:tcMar>
            <w:vAlign w:val="bottom"/>
          </w:tcPr>
          <w:p w14:paraId="22CFC54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550" w14:textId="77777777" w:rsidR="002661BA" w:rsidRDefault="00D972BC">
            <w:pPr>
              <w:jc w:val="center"/>
              <w:textAlignment w:val="bottom"/>
            </w:pPr>
            <w:r>
              <w:rPr>
                <w:rFonts w:ascii="Arial" w:eastAsia="宋体" w:hAnsi="Arial" w:cs="Arial"/>
                <w:b/>
                <w:bCs/>
                <w:color w:val="000000"/>
                <w:sz w:val="17"/>
                <w:szCs w:val="17"/>
              </w:rPr>
              <w:t>Amount of Gain (Loss) Recognized in Other Comprehensive Income</w:t>
            </w:r>
          </w:p>
        </w:tc>
        <w:tc>
          <w:tcPr>
            <w:tcW w:w="0" w:type="auto"/>
            <w:gridSpan w:val="3"/>
            <w:shd w:val="clear" w:color="auto" w:fill="auto"/>
            <w:tcMar>
              <w:top w:w="0" w:type="dxa"/>
              <w:left w:w="20" w:type="dxa"/>
              <w:bottom w:w="0" w:type="dxa"/>
              <w:right w:w="20" w:type="dxa"/>
            </w:tcMar>
            <w:vAlign w:val="bottom"/>
          </w:tcPr>
          <w:p w14:paraId="22CFC55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552" w14:textId="77777777" w:rsidR="002661BA" w:rsidRDefault="00D972BC">
            <w:pPr>
              <w:jc w:val="center"/>
              <w:textAlignment w:val="bottom"/>
            </w:pPr>
            <w:r>
              <w:rPr>
                <w:rFonts w:ascii="Arial" w:eastAsia="宋体" w:hAnsi="Arial" w:cs="Arial"/>
                <w:b/>
                <w:bCs/>
                <w:color w:val="000000"/>
                <w:sz w:val="17"/>
                <w:szCs w:val="17"/>
              </w:rPr>
              <w:t>Less: Amount of Gain (Loss) Reclassified From AOCI to Earnings</w:t>
            </w:r>
          </w:p>
        </w:tc>
        <w:tc>
          <w:tcPr>
            <w:tcW w:w="0" w:type="auto"/>
            <w:gridSpan w:val="3"/>
            <w:shd w:val="clear" w:color="auto" w:fill="auto"/>
            <w:tcMar>
              <w:top w:w="0" w:type="dxa"/>
              <w:left w:w="20" w:type="dxa"/>
              <w:bottom w:w="0" w:type="dxa"/>
              <w:right w:w="20" w:type="dxa"/>
            </w:tcMar>
            <w:vAlign w:val="bottom"/>
          </w:tcPr>
          <w:p w14:paraId="22CFC55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554" w14:textId="77777777" w:rsidR="002661BA" w:rsidRDefault="00D972BC">
            <w:pPr>
              <w:jc w:val="center"/>
              <w:textAlignment w:val="bottom"/>
            </w:pPr>
            <w:r>
              <w:rPr>
                <w:rFonts w:ascii="Arial" w:eastAsia="宋体" w:hAnsi="Arial" w:cs="Arial"/>
                <w:b/>
                <w:bCs/>
                <w:color w:val="000000"/>
                <w:sz w:val="17"/>
                <w:szCs w:val="17"/>
              </w:rPr>
              <w:t>December 31, 2021</w:t>
            </w:r>
          </w:p>
        </w:tc>
      </w:tr>
      <w:tr w:rsidR="002661BA" w14:paraId="22CFC566" w14:textId="77777777">
        <w:tc>
          <w:tcPr>
            <w:tcW w:w="0" w:type="auto"/>
            <w:gridSpan w:val="3"/>
            <w:shd w:val="clear" w:color="auto" w:fill="E2E2E2"/>
            <w:tcMar>
              <w:top w:w="40" w:type="dxa"/>
              <w:left w:w="20" w:type="dxa"/>
              <w:bottom w:w="40" w:type="dxa"/>
              <w:right w:w="20" w:type="dxa"/>
            </w:tcMar>
            <w:vAlign w:val="bottom"/>
          </w:tcPr>
          <w:p w14:paraId="22CFC556" w14:textId="77777777" w:rsidR="002661BA" w:rsidRDefault="00D972BC">
            <w:pPr>
              <w:textAlignment w:val="bottom"/>
            </w:pPr>
            <w:r>
              <w:rPr>
                <w:rFonts w:ascii="Arial" w:eastAsia="宋体" w:hAnsi="Arial" w:cs="Arial"/>
                <w:color w:val="000000"/>
                <w:sz w:val="18"/>
                <w:szCs w:val="18"/>
              </w:rPr>
              <w:t xml:space="preserve">Foreign exchange contracts designated as cash flow </w:t>
            </w:r>
            <w:r>
              <w:rPr>
                <w:rFonts w:ascii="Arial" w:eastAsia="宋体" w:hAnsi="Arial" w:cs="Arial"/>
                <w:color w:val="000000"/>
                <w:sz w:val="18"/>
                <w:szCs w:val="18"/>
              </w:rPr>
              <w:t>hedges</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C55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558" w14:textId="77777777" w:rsidR="002661BA" w:rsidRDefault="00D972BC">
            <w:pPr>
              <w:jc w:val="right"/>
              <w:textAlignment w:val="bottom"/>
            </w:pPr>
            <w:r>
              <w:rPr>
                <w:rFonts w:ascii="Arial" w:eastAsia="宋体" w:hAnsi="Arial" w:cs="Arial"/>
                <w:color w:val="000000"/>
                <w:sz w:val="18"/>
                <w:szCs w:val="18"/>
              </w:rPr>
              <w:t>(95)</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55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55A"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55B"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55C" w14:textId="77777777" w:rsidR="002661BA" w:rsidRDefault="00D972BC">
            <w:pPr>
              <w:jc w:val="right"/>
              <w:textAlignment w:val="bottom"/>
            </w:pPr>
            <w:r>
              <w:rPr>
                <w:rFonts w:ascii="Arial" w:eastAsia="宋体" w:hAnsi="Arial" w:cs="Arial"/>
                <w:color w:val="000000"/>
                <w:sz w:val="18"/>
                <w:szCs w:val="18"/>
              </w:rPr>
              <w:t>59 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55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55E"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55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560" w14:textId="77777777" w:rsidR="002661BA" w:rsidRDefault="00D972BC">
            <w:pPr>
              <w:jc w:val="right"/>
              <w:textAlignment w:val="bottom"/>
            </w:pPr>
            <w:r>
              <w:rPr>
                <w:rFonts w:ascii="Arial" w:eastAsia="宋体" w:hAnsi="Arial" w:cs="Arial"/>
                <w:color w:val="000000"/>
                <w:sz w:val="18"/>
                <w:szCs w:val="18"/>
              </w:rPr>
              <w:t>(61)</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561"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562"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56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564" w14:textId="77777777" w:rsidR="002661BA" w:rsidRDefault="00D972BC">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565" w14:textId="77777777" w:rsidR="002661BA" w:rsidRDefault="002661BA">
            <w:pPr>
              <w:jc w:val="right"/>
              <w:rPr>
                <w:rFonts w:ascii="宋体"/>
              </w:rPr>
            </w:pPr>
          </w:p>
        </w:tc>
      </w:tr>
      <w:tr w:rsidR="002661BA" w14:paraId="22CFC573" w14:textId="77777777">
        <w:tc>
          <w:tcPr>
            <w:tcW w:w="0" w:type="auto"/>
            <w:gridSpan w:val="3"/>
            <w:shd w:val="clear" w:color="auto" w:fill="FFFFFF"/>
            <w:tcMar>
              <w:top w:w="40" w:type="dxa"/>
              <w:left w:w="20" w:type="dxa"/>
              <w:bottom w:w="40" w:type="dxa"/>
              <w:right w:w="20" w:type="dxa"/>
            </w:tcMar>
            <w:vAlign w:val="bottom"/>
          </w:tcPr>
          <w:p w14:paraId="22CFC567" w14:textId="77777777" w:rsidR="002661BA" w:rsidRDefault="00D972BC">
            <w:pPr>
              <w:textAlignment w:val="bottom"/>
            </w:pPr>
            <w:r>
              <w:rPr>
                <w:rFonts w:ascii="Arial" w:eastAsia="宋体" w:hAnsi="Arial" w:cs="Arial"/>
                <w:color w:val="000000"/>
                <w:sz w:val="18"/>
                <w:szCs w:val="18"/>
              </w:rPr>
              <w:t>Interest rate contracts designated as cash flow hedges</w:t>
            </w:r>
          </w:p>
        </w:tc>
        <w:tc>
          <w:tcPr>
            <w:tcW w:w="0" w:type="auto"/>
            <w:gridSpan w:val="2"/>
            <w:shd w:val="clear" w:color="auto" w:fill="FFFFFF"/>
            <w:tcMar>
              <w:top w:w="40" w:type="dxa"/>
              <w:left w:w="20" w:type="dxa"/>
              <w:bottom w:w="40" w:type="dxa"/>
              <w:right w:w="0" w:type="dxa"/>
            </w:tcMar>
            <w:vAlign w:val="bottom"/>
          </w:tcPr>
          <w:p w14:paraId="22CFC568" w14:textId="77777777" w:rsidR="002661BA" w:rsidRDefault="00D972BC">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22CFC56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56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56B" w14:textId="77777777" w:rsidR="002661BA" w:rsidRDefault="00D972BC">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22CFC56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56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56E" w14:textId="77777777" w:rsidR="002661BA" w:rsidRDefault="00D972BC">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22CFC56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57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571" w14:textId="77777777" w:rsidR="002661BA" w:rsidRDefault="00D972BC">
            <w:pPr>
              <w:jc w:val="right"/>
              <w:textAlignment w:val="bottom"/>
            </w:pPr>
            <w:r>
              <w:rPr>
                <w:rFonts w:ascii="Arial" w:eastAsia="宋体" w:hAnsi="Arial" w:cs="Arial"/>
                <w:color w:val="000000"/>
                <w:sz w:val="18"/>
                <w:szCs w:val="18"/>
              </w:rPr>
              <w:t>30 </w:t>
            </w:r>
          </w:p>
        </w:tc>
        <w:tc>
          <w:tcPr>
            <w:tcW w:w="0" w:type="auto"/>
            <w:shd w:val="clear" w:color="auto" w:fill="FFFFFF"/>
            <w:tcMar>
              <w:top w:w="40" w:type="dxa"/>
              <w:left w:w="0" w:type="dxa"/>
              <w:bottom w:w="40" w:type="dxa"/>
              <w:right w:w="20" w:type="dxa"/>
            </w:tcMar>
            <w:vAlign w:val="bottom"/>
          </w:tcPr>
          <w:p w14:paraId="22CFC572" w14:textId="77777777" w:rsidR="002661BA" w:rsidRDefault="002661BA">
            <w:pPr>
              <w:jc w:val="right"/>
              <w:rPr>
                <w:rFonts w:ascii="宋体"/>
              </w:rPr>
            </w:pPr>
          </w:p>
        </w:tc>
      </w:tr>
      <w:tr w:rsidR="002661BA" w14:paraId="22CFC584" w14:textId="77777777">
        <w:tc>
          <w:tcPr>
            <w:tcW w:w="0" w:type="auto"/>
            <w:gridSpan w:val="3"/>
            <w:shd w:val="clear" w:color="auto" w:fill="E2E2E2"/>
            <w:tcMar>
              <w:top w:w="40" w:type="dxa"/>
              <w:left w:w="20" w:type="dxa"/>
              <w:bottom w:w="40" w:type="dxa"/>
              <w:right w:w="20" w:type="dxa"/>
            </w:tcMar>
            <w:vAlign w:val="bottom"/>
          </w:tcPr>
          <w:p w14:paraId="22CFC574" w14:textId="77777777" w:rsidR="002661BA" w:rsidRDefault="00D972BC">
            <w:pPr>
              <w:ind w:firstLine="225"/>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C57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C576" w14:textId="77777777" w:rsidR="002661BA" w:rsidRDefault="00D972BC">
            <w:pPr>
              <w:jc w:val="right"/>
              <w:textAlignment w:val="bottom"/>
            </w:pPr>
            <w:r>
              <w:rPr>
                <w:rFonts w:ascii="Arial" w:eastAsia="宋体" w:hAnsi="Arial" w:cs="Arial"/>
                <w:color w:val="000000"/>
                <w:sz w:val="18"/>
                <w:szCs w:val="18"/>
              </w:rPr>
              <w:t>(85)</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C577"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578"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C57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C57A" w14:textId="77777777" w:rsidR="002661BA" w:rsidRDefault="00D972BC">
            <w:pPr>
              <w:jc w:val="right"/>
              <w:textAlignment w:val="bottom"/>
            </w:pPr>
            <w:r>
              <w:rPr>
                <w:rFonts w:ascii="Arial" w:eastAsia="宋体" w:hAnsi="Arial" w:cs="Arial"/>
                <w:color w:val="000000"/>
                <w:sz w:val="18"/>
                <w:szCs w:val="18"/>
              </w:rPr>
              <w:t>81 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C57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57C"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C57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C57E" w14:textId="77777777" w:rsidR="002661BA" w:rsidRDefault="00D972BC">
            <w:pPr>
              <w:jc w:val="right"/>
              <w:textAlignment w:val="bottom"/>
            </w:pPr>
            <w:r>
              <w:rPr>
                <w:rFonts w:ascii="Arial" w:eastAsia="宋体" w:hAnsi="Arial" w:cs="Arial"/>
                <w:color w:val="000000"/>
                <w:sz w:val="18"/>
                <w:szCs w:val="18"/>
              </w:rPr>
              <w:t>(59)</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C57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580"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C58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C582" w14:textId="77777777" w:rsidR="002661BA" w:rsidRDefault="00D972BC">
            <w:pPr>
              <w:jc w:val="right"/>
              <w:textAlignment w:val="bottom"/>
            </w:pPr>
            <w:r>
              <w:rPr>
                <w:rFonts w:ascii="Arial" w:eastAsia="宋体" w:hAnsi="Arial" w:cs="Arial"/>
                <w:color w:val="000000"/>
                <w:sz w:val="18"/>
                <w:szCs w:val="18"/>
              </w:rPr>
              <w:t>55 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C583" w14:textId="77777777" w:rsidR="002661BA" w:rsidRDefault="002661BA">
            <w:pPr>
              <w:jc w:val="right"/>
              <w:rPr>
                <w:rFonts w:ascii="宋体"/>
              </w:rPr>
            </w:pPr>
          </w:p>
        </w:tc>
      </w:tr>
    </w:tbl>
    <w:p w14:paraId="22CFC585" w14:textId="77777777" w:rsidR="002661BA" w:rsidRDefault="002661BA">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1891"/>
        <w:gridCol w:w="36"/>
        <w:gridCol w:w="122"/>
        <w:gridCol w:w="1082"/>
        <w:gridCol w:w="36"/>
        <w:gridCol w:w="36"/>
        <w:gridCol w:w="36"/>
        <w:gridCol w:w="36"/>
        <w:gridCol w:w="122"/>
        <w:gridCol w:w="1849"/>
        <w:gridCol w:w="36"/>
        <w:gridCol w:w="36"/>
        <w:gridCol w:w="36"/>
        <w:gridCol w:w="36"/>
        <w:gridCol w:w="122"/>
        <w:gridCol w:w="1401"/>
        <w:gridCol w:w="36"/>
        <w:gridCol w:w="36"/>
        <w:gridCol w:w="36"/>
        <w:gridCol w:w="36"/>
        <w:gridCol w:w="122"/>
        <w:gridCol w:w="1084"/>
        <w:gridCol w:w="36"/>
      </w:tblGrid>
      <w:tr w:rsidR="002661BA" w14:paraId="22CFC59E" w14:textId="77777777">
        <w:tc>
          <w:tcPr>
            <w:tcW w:w="50" w:type="pct"/>
            <w:shd w:val="clear" w:color="auto" w:fill="auto"/>
            <w:vAlign w:val="bottom"/>
          </w:tcPr>
          <w:p w14:paraId="22CFC586" w14:textId="77777777" w:rsidR="002661BA" w:rsidRDefault="002661BA">
            <w:pPr>
              <w:rPr>
                <w:rFonts w:ascii="宋体"/>
              </w:rPr>
            </w:pPr>
          </w:p>
        </w:tc>
        <w:tc>
          <w:tcPr>
            <w:tcW w:w="1290" w:type="pct"/>
            <w:shd w:val="clear" w:color="auto" w:fill="auto"/>
            <w:vAlign w:val="bottom"/>
          </w:tcPr>
          <w:p w14:paraId="22CFC587" w14:textId="77777777" w:rsidR="002661BA" w:rsidRDefault="002661BA">
            <w:pPr>
              <w:rPr>
                <w:rFonts w:ascii="宋体"/>
              </w:rPr>
            </w:pPr>
          </w:p>
        </w:tc>
        <w:tc>
          <w:tcPr>
            <w:tcW w:w="5" w:type="pct"/>
            <w:shd w:val="clear" w:color="auto" w:fill="auto"/>
            <w:vAlign w:val="bottom"/>
          </w:tcPr>
          <w:p w14:paraId="22CFC588" w14:textId="77777777" w:rsidR="002661BA" w:rsidRDefault="002661BA">
            <w:pPr>
              <w:rPr>
                <w:rFonts w:ascii="宋体"/>
              </w:rPr>
            </w:pPr>
          </w:p>
        </w:tc>
        <w:tc>
          <w:tcPr>
            <w:tcW w:w="50" w:type="pct"/>
            <w:shd w:val="clear" w:color="auto" w:fill="auto"/>
            <w:vAlign w:val="bottom"/>
          </w:tcPr>
          <w:p w14:paraId="22CFC589" w14:textId="77777777" w:rsidR="002661BA" w:rsidRDefault="002661BA">
            <w:pPr>
              <w:rPr>
                <w:rFonts w:ascii="宋体"/>
              </w:rPr>
            </w:pPr>
          </w:p>
        </w:tc>
        <w:tc>
          <w:tcPr>
            <w:tcW w:w="741" w:type="pct"/>
            <w:shd w:val="clear" w:color="auto" w:fill="auto"/>
            <w:vAlign w:val="bottom"/>
          </w:tcPr>
          <w:p w14:paraId="22CFC58A" w14:textId="77777777" w:rsidR="002661BA" w:rsidRDefault="002661BA">
            <w:pPr>
              <w:rPr>
                <w:rFonts w:ascii="宋体"/>
              </w:rPr>
            </w:pPr>
          </w:p>
        </w:tc>
        <w:tc>
          <w:tcPr>
            <w:tcW w:w="5" w:type="pct"/>
            <w:shd w:val="clear" w:color="auto" w:fill="auto"/>
            <w:vAlign w:val="bottom"/>
          </w:tcPr>
          <w:p w14:paraId="22CFC58B" w14:textId="77777777" w:rsidR="002661BA" w:rsidRDefault="002661BA">
            <w:pPr>
              <w:rPr>
                <w:rFonts w:ascii="宋体"/>
              </w:rPr>
            </w:pPr>
          </w:p>
        </w:tc>
        <w:tc>
          <w:tcPr>
            <w:tcW w:w="5" w:type="pct"/>
            <w:shd w:val="clear" w:color="auto" w:fill="auto"/>
            <w:vAlign w:val="bottom"/>
          </w:tcPr>
          <w:p w14:paraId="22CFC58C" w14:textId="77777777" w:rsidR="002661BA" w:rsidRDefault="002661BA">
            <w:pPr>
              <w:rPr>
                <w:rFonts w:ascii="宋体"/>
              </w:rPr>
            </w:pPr>
          </w:p>
        </w:tc>
        <w:tc>
          <w:tcPr>
            <w:tcW w:w="19" w:type="pct"/>
            <w:shd w:val="clear" w:color="auto" w:fill="auto"/>
            <w:vAlign w:val="bottom"/>
          </w:tcPr>
          <w:p w14:paraId="22CFC58D" w14:textId="77777777" w:rsidR="002661BA" w:rsidRDefault="002661BA">
            <w:pPr>
              <w:rPr>
                <w:rFonts w:ascii="宋体"/>
              </w:rPr>
            </w:pPr>
          </w:p>
        </w:tc>
        <w:tc>
          <w:tcPr>
            <w:tcW w:w="5" w:type="pct"/>
            <w:shd w:val="clear" w:color="auto" w:fill="auto"/>
            <w:vAlign w:val="bottom"/>
          </w:tcPr>
          <w:p w14:paraId="22CFC58E" w14:textId="77777777" w:rsidR="002661BA" w:rsidRDefault="002661BA">
            <w:pPr>
              <w:rPr>
                <w:rFonts w:ascii="宋体"/>
              </w:rPr>
            </w:pPr>
          </w:p>
        </w:tc>
        <w:tc>
          <w:tcPr>
            <w:tcW w:w="50" w:type="pct"/>
            <w:shd w:val="clear" w:color="auto" w:fill="auto"/>
            <w:vAlign w:val="bottom"/>
          </w:tcPr>
          <w:p w14:paraId="22CFC58F" w14:textId="77777777" w:rsidR="002661BA" w:rsidRDefault="002661BA">
            <w:pPr>
              <w:rPr>
                <w:rFonts w:ascii="宋体"/>
              </w:rPr>
            </w:pPr>
          </w:p>
        </w:tc>
        <w:tc>
          <w:tcPr>
            <w:tcW w:w="931" w:type="pct"/>
            <w:shd w:val="clear" w:color="auto" w:fill="auto"/>
            <w:vAlign w:val="bottom"/>
          </w:tcPr>
          <w:p w14:paraId="22CFC590" w14:textId="77777777" w:rsidR="002661BA" w:rsidRDefault="002661BA">
            <w:pPr>
              <w:rPr>
                <w:rFonts w:ascii="宋体"/>
              </w:rPr>
            </w:pPr>
          </w:p>
        </w:tc>
        <w:tc>
          <w:tcPr>
            <w:tcW w:w="5" w:type="pct"/>
            <w:shd w:val="clear" w:color="auto" w:fill="auto"/>
            <w:vAlign w:val="bottom"/>
          </w:tcPr>
          <w:p w14:paraId="22CFC591" w14:textId="77777777" w:rsidR="002661BA" w:rsidRDefault="002661BA">
            <w:pPr>
              <w:rPr>
                <w:rFonts w:ascii="宋体"/>
              </w:rPr>
            </w:pPr>
          </w:p>
        </w:tc>
        <w:tc>
          <w:tcPr>
            <w:tcW w:w="5" w:type="pct"/>
            <w:shd w:val="clear" w:color="auto" w:fill="auto"/>
            <w:vAlign w:val="bottom"/>
          </w:tcPr>
          <w:p w14:paraId="22CFC592" w14:textId="77777777" w:rsidR="002661BA" w:rsidRDefault="002661BA">
            <w:pPr>
              <w:rPr>
                <w:rFonts w:ascii="宋体"/>
              </w:rPr>
            </w:pPr>
          </w:p>
        </w:tc>
        <w:tc>
          <w:tcPr>
            <w:tcW w:w="19" w:type="pct"/>
            <w:shd w:val="clear" w:color="auto" w:fill="auto"/>
            <w:vAlign w:val="bottom"/>
          </w:tcPr>
          <w:p w14:paraId="22CFC593" w14:textId="77777777" w:rsidR="002661BA" w:rsidRDefault="002661BA">
            <w:pPr>
              <w:rPr>
                <w:rFonts w:ascii="宋体"/>
              </w:rPr>
            </w:pPr>
          </w:p>
        </w:tc>
        <w:tc>
          <w:tcPr>
            <w:tcW w:w="5" w:type="pct"/>
            <w:shd w:val="clear" w:color="auto" w:fill="auto"/>
            <w:vAlign w:val="bottom"/>
          </w:tcPr>
          <w:p w14:paraId="22CFC594" w14:textId="77777777" w:rsidR="002661BA" w:rsidRDefault="002661BA">
            <w:pPr>
              <w:rPr>
                <w:rFonts w:ascii="宋体"/>
              </w:rPr>
            </w:pPr>
          </w:p>
        </w:tc>
        <w:tc>
          <w:tcPr>
            <w:tcW w:w="50" w:type="pct"/>
            <w:shd w:val="clear" w:color="auto" w:fill="auto"/>
            <w:vAlign w:val="bottom"/>
          </w:tcPr>
          <w:p w14:paraId="22CFC595" w14:textId="77777777" w:rsidR="002661BA" w:rsidRDefault="002661BA">
            <w:pPr>
              <w:rPr>
                <w:rFonts w:ascii="宋体"/>
              </w:rPr>
            </w:pPr>
          </w:p>
        </w:tc>
        <w:tc>
          <w:tcPr>
            <w:tcW w:w="931" w:type="pct"/>
            <w:shd w:val="clear" w:color="auto" w:fill="auto"/>
            <w:vAlign w:val="bottom"/>
          </w:tcPr>
          <w:p w14:paraId="22CFC596" w14:textId="77777777" w:rsidR="002661BA" w:rsidRDefault="002661BA">
            <w:pPr>
              <w:rPr>
                <w:rFonts w:ascii="宋体"/>
              </w:rPr>
            </w:pPr>
          </w:p>
        </w:tc>
        <w:tc>
          <w:tcPr>
            <w:tcW w:w="5" w:type="pct"/>
            <w:shd w:val="clear" w:color="auto" w:fill="auto"/>
            <w:vAlign w:val="bottom"/>
          </w:tcPr>
          <w:p w14:paraId="22CFC597" w14:textId="77777777" w:rsidR="002661BA" w:rsidRDefault="002661BA">
            <w:pPr>
              <w:rPr>
                <w:rFonts w:ascii="宋体"/>
              </w:rPr>
            </w:pPr>
          </w:p>
        </w:tc>
        <w:tc>
          <w:tcPr>
            <w:tcW w:w="5" w:type="pct"/>
            <w:shd w:val="clear" w:color="auto" w:fill="auto"/>
            <w:vAlign w:val="bottom"/>
          </w:tcPr>
          <w:p w14:paraId="22CFC598" w14:textId="77777777" w:rsidR="002661BA" w:rsidRDefault="002661BA">
            <w:pPr>
              <w:rPr>
                <w:rFonts w:ascii="宋体"/>
              </w:rPr>
            </w:pPr>
          </w:p>
        </w:tc>
        <w:tc>
          <w:tcPr>
            <w:tcW w:w="19" w:type="pct"/>
            <w:shd w:val="clear" w:color="auto" w:fill="auto"/>
            <w:vAlign w:val="bottom"/>
          </w:tcPr>
          <w:p w14:paraId="22CFC599" w14:textId="77777777" w:rsidR="002661BA" w:rsidRDefault="002661BA">
            <w:pPr>
              <w:rPr>
                <w:rFonts w:ascii="宋体"/>
              </w:rPr>
            </w:pPr>
          </w:p>
        </w:tc>
        <w:tc>
          <w:tcPr>
            <w:tcW w:w="5" w:type="pct"/>
            <w:shd w:val="clear" w:color="auto" w:fill="auto"/>
            <w:vAlign w:val="bottom"/>
          </w:tcPr>
          <w:p w14:paraId="22CFC59A" w14:textId="77777777" w:rsidR="002661BA" w:rsidRDefault="002661BA">
            <w:pPr>
              <w:rPr>
                <w:rFonts w:ascii="宋体"/>
              </w:rPr>
            </w:pPr>
          </w:p>
        </w:tc>
        <w:tc>
          <w:tcPr>
            <w:tcW w:w="50" w:type="pct"/>
            <w:shd w:val="clear" w:color="auto" w:fill="auto"/>
            <w:vAlign w:val="bottom"/>
          </w:tcPr>
          <w:p w14:paraId="22CFC59B" w14:textId="77777777" w:rsidR="002661BA" w:rsidRDefault="002661BA">
            <w:pPr>
              <w:rPr>
                <w:rFonts w:ascii="宋体"/>
              </w:rPr>
            </w:pPr>
          </w:p>
        </w:tc>
        <w:tc>
          <w:tcPr>
            <w:tcW w:w="742" w:type="pct"/>
            <w:shd w:val="clear" w:color="auto" w:fill="auto"/>
            <w:vAlign w:val="bottom"/>
          </w:tcPr>
          <w:p w14:paraId="22CFC59C" w14:textId="77777777" w:rsidR="002661BA" w:rsidRDefault="002661BA">
            <w:pPr>
              <w:rPr>
                <w:rFonts w:ascii="宋体"/>
              </w:rPr>
            </w:pPr>
          </w:p>
        </w:tc>
        <w:tc>
          <w:tcPr>
            <w:tcW w:w="5" w:type="pct"/>
            <w:shd w:val="clear" w:color="auto" w:fill="auto"/>
            <w:vAlign w:val="bottom"/>
          </w:tcPr>
          <w:p w14:paraId="22CFC59D" w14:textId="77777777" w:rsidR="002661BA" w:rsidRDefault="002661BA">
            <w:pPr>
              <w:rPr>
                <w:rFonts w:ascii="宋体"/>
              </w:rPr>
            </w:pPr>
          </w:p>
        </w:tc>
      </w:tr>
      <w:tr w:rsidR="002661BA" w14:paraId="22CFC5A7" w14:textId="77777777">
        <w:tc>
          <w:tcPr>
            <w:tcW w:w="0" w:type="auto"/>
            <w:gridSpan w:val="3"/>
            <w:shd w:val="clear" w:color="auto" w:fill="auto"/>
            <w:tcMar>
              <w:top w:w="40" w:type="dxa"/>
              <w:left w:w="20" w:type="dxa"/>
              <w:bottom w:w="40" w:type="dxa"/>
              <w:right w:w="20" w:type="dxa"/>
            </w:tcMar>
            <w:vAlign w:val="bottom"/>
          </w:tcPr>
          <w:p w14:paraId="22CFC59F" w14:textId="77777777" w:rsidR="002661BA" w:rsidRDefault="00D972BC">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22CFC5A0" w14:textId="77777777" w:rsidR="002661BA" w:rsidRDefault="00D972BC">
            <w:pPr>
              <w:jc w:val="center"/>
              <w:textAlignment w:val="bottom"/>
            </w:pPr>
            <w:r>
              <w:rPr>
                <w:rFonts w:ascii="Arial" w:eastAsia="宋体" w:hAnsi="Arial" w:cs="Arial"/>
                <w:b/>
                <w:bCs/>
                <w:color w:val="000000"/>
                <w:sz w:val="17"/>
                <w:szCs w:val="17"/>
              </w:rPr>
              <w:t>December 31, 2019</w:t>
            </w:r>
          </w:p>
        </w:tc>
        <w:tc>
          <w:tcPr>
            <w:tcW w:w="0" w:type="auto"/>
            <w:gridSpan w:val="3"/>
            <w:shd w:val="clear" w:color="auto" w:fill="auto"/>
            <w:tcMar>
              <w:top w:w="0" w:type="dxa"/>
              <w:left w:w="20" w:type="dxa"/>
              <w:bottom w:w="0" w:type="dxa"/>
              <w:right w:w="20" w:type="dxa"/>
            </w:tcMar>
            <w:vAlign w:val="bottom"/>
          </w:tcPr>
          <w:p w14:paraId="22CFC5A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5A2" w14:textId="77777777" w:rsidR="002661BA" w:rsidRDefault="00D972BC">
            <w:pPr>
              <w:jc w:val="center"/>
              <w:textAlignment w:val="bottom"/>
            </w:pPr>
            <w:r>
              <w:rPr>
                <w:rFonts w:ascii="Arial" w:eastAsia="宋体" w:hAnsi="Arial" w:cs="Arial"/>
                <w:b/>
                <w:bCs/>
                <w:color w:val="000000"/>
                <w:sz w:val="17"/>
                <w:szCs w:val="17"/>
              </w:rPr>
              <w:t>Amount of Gain (Loss) Recognized in Other Comprehensive Income</w:t>
            </w:r>
          </w:p>
        </w:tc>
        <w:tc>
          <w:tcPr>
            <w:tcW w:w="0" w:type="auto"/>
            <w:gridSpan w:val="3"/>
            <w:shd w:val="clear" w:color="auto" w:fill="auto"/>
            <w:tcMar>
              <w:top w:w="0" w:type="dxa"/>
              <w:left w:w="20" w:type="dxa"/>
              <w:bottom w:w="0" w:type="dxa"/>
              <w:right w:w="20" w:type="dxa"/>
            </w:tcMar>
            <w:vAlign w:val="bottom"/>
          </w:tcPr>
          <w:p w14:paraId="22CFC5A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5A4" w14:textId="77777777" w:rsidR="002661BA" w:rsidRDefault="00D972BC">
            <w:pPr>
              <w:jc w:val="center"/>
              <w:textAlignment w:val="bottom"/>
            </w:pPr>
            <w:r>
              <w:rPr>
                <w:rFonts w:ascii="Arial" w:eastAsia="宋体" w:hAnsi="Arial" w:cs="Arial"/>
                <w:b/>
                <w:bCs/>
                <w:color w:val="000000"/>
                <w:sz w:val="17"/>
                <w:szCs w:val="17"/>
              </w:rPr>
              <w:t>Less: Amount of Gain (Loss) Reclassified From AOCI to Earnings</w:t>
            </w:r>
          </w:p>
        </w:tc>
        <w:tc>
          <w:tcPr>
            <w:tcW w:w="0" w:type="auto"/>
            <w:gridSpan w:val="3"/>
            <w:shd w:val="clear" w:color="auto" w:fill="auto"/>
            <w:tcMar>
              <w:top w:w="0" w:type="dxa"/>
              <w:left w:w="20" w:type="dxa"/>
              <w:bottom w:w="0" w:type="dxa"/>
              <w:right w:w="20" w:type="dxa"/>
            </w:tcMar>
            <w:vAlign w:val="bottom"/>
          </w:tcPr>
          <w:p w14:paraId="22CFC5A5"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5A6" w14:textId="77777777" w:rsidR="002661BA" w:rsidRDefault="00D972BC">
            <w:pPr>
              <w:jc w:val="center"/>
              <w:textAlignment w:val="bottom"/>
            </w:pPr>
            <w:r>
              <w:rPr>
                <w:rFonts w:ascii="Arial" w:eastAsia="宋体" w:hAnsi="Arial" w:cs="Arial"/>
                <w:b/>
                <w:bCs/>
                <w:color w:val="000000"/>
                <w:sz w:val="17"/>
                <w:szCs w:val="17"/>
              </w:rPr>
              <w:t>December 31, 2020</w:t>
            </w:r>
          </w:p>
        </w:tc>
      </w:tr>
      <w:tr w:rsidR="002661BA" w14:paraId="22CFC5B8" w14:textId="77777777">
        <w:tc>
          <w:tcPr>
            <w:tcW w:w="0" w:type="auto"/>
            <w:gridSpan w:val="3"/>
            <w:shd w:val="clear" w:color="auto" w:fill="DBDBDB"/>
            <w:tcMar>
              <w:top w:w="40" w:type="dxa"/>
              <w:left w:w="20" w:type="dxa"/>
              <w:bottom w:w="40" w:type="dxa"/>
              <w:right w:w="20" w:type="dxa"/>
            </w:tcMar>
            <w:vAlign w:val="bottom"/>
          </w:tcPr>
          <w:p w14:paraId="22CFC5A8" w14:textId="77777777" w:rsidR="002661BA" w:rsidRDefault="00D972BC">
            <w:pPr>
              <w:textAlignment w:val="bottom"/>
            </w:pPr>
            <w:r>
              <w:rPr>
                <w:rFonts w:ascii="Arial" w:eastAsia="宋体" w:hAnsi="Arial" w:cs="Arial"/>
                <w:color w:val="000000"/>
                <w:sz w:val="18"/>
                <w:szCs w:val="18"/>
              </w:rPr>
              <w:t xml:space="preserve">Foreign exchange contracts designated as cash flow </w:t>
            </w:r>
            <w:r>
              <w:rPr>
                <w:rFonts w:ascii="Arial" w:eastAsia="宋体" w:hAnsi="Arial" w:cs="Arial"/>
                <w:color w:val="000000"/>
                <w:sz w:val="18"/>
                <w:szCs w:val="18"/>
              </w:rPr>
              <w:t>hedges</w:t>
            </w:r>
          </w:p>
        </w:tc>
        <w:tc>
          <w:tcPr>
            <w:tcW w:w="0" w:type="auto"/>
            <w:tcBorders>
              <w:top w:val="single" w:sz="8" w:space="0" w:color="000000"/>
            </w:tcBorders>
            <w:shd w:val="clear" w:color="auto" w:fill="DBDBDB"/>
            <w:tcMar>
              <w:top w:w="40" w:type="dxa"/>
              <w:left w:w="20" w:type="dxa"/>
              <w:bottom w:w="40" w:type="dxa"/>
              <w:right w:w="0" w:type="dxa"/>
            </w:tcMar>
            <w:vAlign w:val="bottom"/>
          </w:tcPr>
          <w:p w14:paraId="22CFC5A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C5AA" w14:textId="77777777" w:rsidR="002661BA" w:rsidRDefault="00D972BC">
            <w:pPr>
              <w:jc w:val="right"/>
              <w:textAlignment w:val="bottom"/>
            </w:pPr>
            <w:r>
              <w:rPr>
                <w:rFonts w:ascii="Arial" w:eastAsia="宋体" w:hAnsi="Arial" w:cs="Arial"/>
                <w:color w:val="000000"/>
                <w:sz w:val="18"/>
                <w:szCs w:val="18"/>
              </w:rPr>
              <w:t>(9)</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C5AB"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5AC"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C5A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C5AE" w14:textId="77777777" w:rsidR="002661BA" w:rsidRDefault="00D972BC">
            <w:pPr>
              <w:jc w:val="right"/>
              <w:textAlignment w:val="bottom"/>
            </w:pPr>
            <w:r>
              <w:rPr>
                <w:rFonts w:ascii="Arial" w:eastAsia="宋体" w:hAnsi="Arial" w:cs="Arial"/>
                <w:color w:val="000000"/>
                <w:sz w:val="18"/>
                <w:szCs w:val="18"/>
              </w:rPr>
              <w:t>(71)</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C5AF"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5B0"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C5B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C5B2" w14:textId="77777777" w:rsidR="002661BA" w:rsidRDefault="00D972BC">
            <w:pPr>
              <w:jc w:val="right"/>
              <w:textAlignment w:val="bottom"/>
            </w:pPr>
            <w:r>
              <w:rPr>
                <w:rFonts w:ascii="Arial" w:eastAsia="宋体" w:hAnsi="Arial" w:cs="Arial"/>
                <w:color w:val="000000"/>
                <w:sz w:val="18"/>
                <w:szCs w:val="18"/>
              </w:rPr>
              <w:t>15 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C5B3"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5B4" w14:textId="77777777" w:rsidR="002661BA" w:rsidRDefault="002661BA">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22CFC5B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22CFC5B6" w14:textId="77777777" w:rsidR="002661BA" w:rsidRDefault="00D972BC">
            <w:pPr>
              <w:jc w:val="right"/>
              <w:textAlignment w:val="bottom"/>
            </w:pPr>
            <w:r>
              <w:rPr>
                <w:rFonts w:ascii="Arial" w:eastAsia="宋体" w:hAnsi="Arial" w:cs="Arial"/>
                <w:color w:val="000000"/>
                <w:sz w:val="18"/>
                <w:szCs w:val="18"/>
              </w:rPr>
              <w:t>(95)</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C5B7" w14:textId="77777777" w:rsidR="002661BA" w:rsidRDefault="002661BA">
            <w:pPr>
              <w:jc w:val="right"/>
              <w:rPr>
                <w:rFonts w:ascii="宋体"/>
              </w:rPr>
            </w:pPr>
          </w:p>
        </w:tc>
      </w:tr>
      <w:tr w:rsidR="002661BA" w14:paraId="22CFC5C5" w14:textId="77777777">
        <w:tc>
          <w:tcPr>
            <w:tcW w:w="0" w:type="auto"/>
            <w:gridSpan w:val="3"/>
            <w:shd w:val="clear" w:color="auto" w:fill="FFFFFF"/>
            <w:tcMar>
              <w:top w:w="40" w:type="dxa"/>
              <w:left w:w="20" w:type="dxa"/>
              <w:bottom w:w="40" w:type="dxa"/>
              <w:right w:w="20" w:type="dxa"/>
            </w:tcMar>
            <w:vAlign w:val="bottom"/>
          </w:tcPr>
          <w:p w14:paraId="22CFC5B9" w14:textId="77777777" w:rsidR="002661BA" w:rsidRDefault="00D972BC">
            <w:pPr>
              <w:textAlignment w:val="bottom"/>
            </w:pPr>
            <w:r>
              <w:rPr>
                <w:rFonts w:ascii="Arial" w:eastAsia="宋体" w:hAnsi="Arial" w:cs="Arial"/>
                <w:color w:val="000000"/>
                <w:sz w:val="18"/>
                <w:szCs w:val="18"/>
              </w:rPr>
              <w:t>Interest rate contracts designated as cash flow hedges</w:t>
            </w:r>
          </w:p>
        </w:tc>
        <w:tc>
          <w:tcPr>
            <w:tcW w:w="0" w:type="auto"/>
            <w:gridSpan w:val="2"/>
            <w:shd w:val="clear" w:color="auto" w:fill="FFFFFF"/>
            <w:tcMar>
              <w:top w:w="40" w:type="dxa"/>
              <w:left w:w="20" w:type="dxa"/>
              <w:bottom w:w="40" w:type="dxa"/>
              <w:right w:w="0" w:type="dxa"/>
            </w:tcMar>
            <w:vAlign w:val="bottom"/>
          </w:tcPr>
          <w:p w14:paraId="22CFC5BA"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5B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5B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5BD" w14:textId="77777777" w:rsidR="002661BA" w:rsidRDefault="00D972BC">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22CFC5B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5BF"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5C0"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5C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5C2"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5C3" w14:textId="77777777" w:rsidR="002661BA" w:rsidRDefault="00D972BC">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22CFC5C4" w14:textId="77777777" w:rsidR="002661BA" w:rsidRDefault="002661BA">
            <w:pPr>
              <w:jc w:val="right"/>
              <w:rPr>
                <w:rFonts w:ascii="宋体"/>
              </w:rPr>
            </w:pPr>
          </w:p>
        </w:tc>
      </w:tr>
      <w:tr w:rsidR="002661BA" w14:paraId="22CFC5D6" w14:textId="77777777">
        <w:tc>
          <w:tcPr>
            <w:tcW w:w="0" w:type="auto"/>
            <w:gridSpan w:val="3"/>
            <w:shd w:val="clear" w:color="auto" w:fill="DBDBDB"/>
            <w:tcMar>
              <w:top w:w="40" w:type="dxa"/>
              <w:left w:w="20" w:type="dxa"/>
              <w:bottom w:w="40" w:type="dxa"/>
              <w:right w:w="20" w:type="dxa"/>
            </w:tcMar>
            <w:vAlign w:val="bottom"/>
          </w:tcPr>
          <w:p w14:paraId="22CFC5C6" w14:textId="77777777" w:rsidR="002661BA" w:rsidRDefault="00D972BC">
            <w:pPr>
              <w:ind w:firstLine="225"/>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22CFC5C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22CFC5C8" w14:textId="77777777" w:rsidR="002661BA" w:rsidRDefault="00D972BC">
            <w:pPr>
              <w:jc w:val="right"/>
              <w:textAlignment w:val="bottom"/>
            </w:pPr>
            <w:r>
              <w:rPr>
                <w:rFonts w:ascii="Arial" w:eastAsia="宋体" w:hAnsi="Arial" w:cs="Arial"/>
                <w:color w:val="000000"/>
                <w:sz w:val="18"/>
                <w:szCs w:val="18"/>
              </w:rPr>
              <w:t>(9)</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22CFC5C9"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5CA" w14:textId="77777777" w:rsidR="002661BA" w:rsidRDefault="002661BA">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22CFC5CB"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22CFC5CC" w14:textId="77777777" w:rsidR="002661BA" w:rsidRDefault="00D972BC">
            <w:pPr>
              <w:jc w:val="right"/>
              <w:textAlignment w:val="bottom"/>
            </w:pPr>
            <w:r>
              <w:rPr>
                <w:rFonts w:ascii="Arial" w:eastAsia="宋体" w:hAnsi="Arial" w:cs="Arial"/>
                <w:color w:val="000000"/>
                <w:sz w:val="18"/>
                <w:szCs w:val="18"/>
              </w:rPr>
              <w:t>(61)</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22CFC5CD"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5CE" w14:textId="77777777" w:rsidR="002661BA" w:rsidRDefault="002661BA">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22CFC5C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22CFC5D0" w14:textId="77777777" w:rsidR="002661BA" w:rsidRDefault="00D972BC">
            <w:pPr>
              <w:jc w:val="right"/>
              <w:textAlignment w:val="bottom"/>
            </w:pPr>
            <w:r>
              <w:rPr>
                <w:rFonts w:ascii="Arial" w:eastAsia="宋体" w:hAnsi="Arial" w:cs="Arial"/>
                <w:color w:val="000000"/>
                <w:sz w:val="18"/>
                <w:szCs w:val="18"/>
              </w:rPr>
              <w:t>15 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22CFC5D1"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5D2" w14:textId="77777777" w:rsidR="002661BA" w:rsidRDefault="002661BA">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22CFC5D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22CFC5D4" w14:textId="77777777" w:rsidR="002661BA" w:rsidRDefault="00D972BC">
            <w:pPr>
              <w:jc w:val="right"/>
              <w:textAlignment w:val="bottom"/>
            </w:pPr>
            <w:r>
              <w:rPr>
                <w:rFonts w:ascii="Arial" w:eastAsia="宋体" w:hAnsi="Arial" w:cs="Arial"/>
                <w:color w:val="000000"/>
                <w:sz w:val="18"/>
                <w:szCs w:val="18"/>
              </w:rPr>
              <w:t>(85)</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22CFC5D5" w14:textId="77777777" w:rsidR="002661BA" w:rsidRDefault="002661BA">
            <w:pPr>
              <w:jc w:val="right"/>
              <w:rPr>
                <w:rFonts w:ascii="宋体"/>
              </w:rPr>
            </w:pPr>
          </w:p>
        </w:tc>
      </w:tr>
    </w:tbl>
    <w:p w14:paraId="22CFC5D7" w14:textId="77777777" w:rsidR="002661BA" w:rsidRDefault="00D972BC">
      <w:pPr>
        <w:jc w:val="center"/>
      </w:pPr>
      <w:r>
        <w:rPr>
          <w:rFonts w:ascii="Arial" w:eastAsia="宋体" w:hAnsi="Arial" w:cs="Arial"/>
          <w:color w:val="000000"/>
          <w:sz w:val="18"/>
          <w:szCs w:val="18"/>
        </w:rPr>
        <w:t>88</w:t>
      </w:r>
    </w:p>
    <w:p w14:paraId="22CFC5D8" w14:textId="77777777" w:rsidR="002661BA" w:rsidRDefault="00D972BC">
      <w:r>
        <w:pict w14:anchorId="22CFE509">
          <v:rect id="_x0000_i1112" style="width:415.3pt;height:1.5pt" o:hralign="center" o:hrstd="t" o:hr="t" fillcolor="#a0a0a0" stroked="f"/>
        </w:pict>
      </w:r>
    </w:p>
    <w:p w14:paraId="22CFC5D9" w14:textId="77777777" w:rsidR="002661BA" w:rsidRDefault="00D972BC">
      <w:hyperlink r:id="rId123" w:anchor="id0d7a71b05ce452ea9fdb54f3cb359c7_7" w:history="1">
        <w:r>
          <w:rPr>
            <w:rStyle w:val="a5"/>
            <w:rFonts w:ascii="Arial" w:eastAsia="宋体" w:hAnsi="Arial" w:cs="Arial"/>
            <w:sz w:val="18"/>
            <w:szCs w:val="18"/>
          </w:rPr>
          <w:t>Table of Contents</w:t>
        </w:r>
      </w:hyperlink>
    </w:p>
    <w:p w14:paraId="22CFC5DA" w14:textId="77777777" w:rsidR="002661BA" w:rsidRDefault="00D972BC">
      <w:pPr>
        <w:jc w:val="center"/>
      </w:pPr>
      <w:r>
        <w:rPr>
          <w:rFonts w:ascii="Arial" w:eastAsia="宋体" w:hAnsi="Arial" w:cs="Arial"/>
          <w:b/>
          <w:bCs/>
          <w:color w:val="000000"/>
          <w:sz w:val="20"/>
          <w:szCs w:val="20"/>
        </w:rPr>
        <w:t>eBay Inc.</w:t>
      </w:r>
    </w:p>
    <w:p w14:paraId="22CFC5DB"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5DC" w14:textId="77777777" w:rsidR="002661BA" w:rsidRDefault="002661BA">
      <w:pPr>
        <w:jc w:val="both"/>
      </w:pPr>
    </w:p>
    <w:p w14:paraId="22CFC5DD" w14:textId="77777777" w:rsidR="002661BA" w:rsidRDefault="00D972BC">
      <w:pPr>
        <w:jc w:val="both"/>
      </w:pPr>
      <w:r>
        <w:rPr>
          <w:rFonts w:ascii="Arial" w:eastAsia="宋体" w:hAnsi="Arial" w:cs="Arial"/>
          <w:b/>
          <w:bCs/>
          <w:i/>
          <w:iCs/>
          <w:color w:val="000000"/>
          <w:sz w:val="20"/>
          <w:szCs w:val="20"/>
        </w:rPr>
        <w:t>Effect of Derivativ</w:t>
      </w:r>
      <w:r>
        <w:rPr>
          <w:rFonts w:ascii="Arial" w:eastAsia="宋体" w:hAnsi="Arial" w:cs="Arial"/>
          <w:b/>
          <w:bCs/>
          <w:i/>
          <w:iCs/>
          <w:color w:val="000000"/>
          <w:sz w:val="20"/>
          <w:szCs w:val="20"/>
        </w:rPr>
        <w:t>e Contracts on Consolidated Statement of Income</w:t>
      </w:r>
    </w:p>
    <w:p w14:paraId="22CFC5DE" w14:textId="77777777" w:rsidR="002661BA" w:rsidRDefault="002661BA">
      <w:pPr>
        <w:ind w:firstLine="495"/>
        <w:jc w:val="both"/>
      </w:pPr>
    </w:p>
    <w:p w14:paraId="22CFC5DF" w14:textId="77777777" w:rsidR="002661BA" w:rsidRDefault="00D972BC">
      <w:pPr>
        <w:spacing w:after="120"/>
        <w:ind w:firstLine="540"/>
        <w:jc w:val="both"/>
      </w:pPr>
      <w:r>
        <w:rPr>
          <w:rFonts w:ascii="Arial" w:eastAsia="宋体" w:hAnsi="Arial" w:cs="Arial"/>
          <w:color w:val="000000"/>
          <w:sz w:val="20"/>
          <w:szCs w:val="20"/>
        </w:rPr>
        <w:t>The following table summarizes the total gain (loss) recognized in the consolidated statement of income from our foreign exchange derivative contracts by location for the periods indicated (in millions):</w:t>
      </w:r>
    </w:p>
    <w:tbl>
      <w:tblPr>
        <w:tblW w:w="4978" w:type="pct"/>
        <w:tblCellMar>
          <w:top w:w="15" w:type="dxa"/>
          <w:left w:w="15" w:type="dxa"/>
          <w:bottom w:w="15" w:type="dxa"/>
          <w:right w:w="15" w:type="dxa"/>
        </w:tblCellMar>
        <w:tblLook w:val="04A0" w:firstRow="1" w:lastRow="0" w:firstColumn="1" w:lastColumn="0" w:noHBand="0" w:noVBand="1"/>
      </w:tblPr>
      <w:tblGrid>
        <w:gridCol w:w="38"/>
        <w:gridCol w:w="4836"/>
        <w:gridCol w:w="37"/>
        <w:gridCol w:w="121"/>
        <w:gridCol w:w="899"/>
        <w:gridCol w:w="36"/>
        <w:gridCol w:w="36"/>
        <w:gridCol w:w="36"/>
        <w:gridCol w:w="36"/>
        <w:gridCol w:w="122"/>
        <w:gridCol w:w="899"/>
        <w:gridCol w:w="37"/>
        <w:gridCol w:w="36"/>
        <w:gridCol w:w="36"/>
        <w:gridCol w:w="36"/>
        <w:gridCol w:w="122"/>
        <w:gridCol w:w="899"/>
        <w:gridCol w:w="37"/>
      </w:tblGrid>
      <w:tr w:rsidR="002661BA" w14:paraId="22CFC5F2" w14:textId="77777777">
        <w:tc>
          <w:tcPr>
            <w:tcW w:w="50" w:type="pct"/>
            <w:shd w:val="clear" w:color="auto" w:fill="auto"/>
            <w:vAlign w:val="bottom"/>
          </w:tcPr>
          <w:p w14:paraId="22CFC5E0" w14:textId="77777777" w:rsidR="002661BA" w:rsidRDefault="002661BA">
            <w:pPr>
              <w:rPr>
                <w:rFonts w:ascii="宋体"/>
              </w:rPr>
            </w:pPr>
          </w:p>
        </w:tc>
        <w:tc>
          <w:tcPr>
            <w:tcW w:w="2969" w:type="pct"/>
            <w:shd w:val="clear" w:color="auto" w:fill="auto"/>
            <w:vAlign w:val="bottom"/>
          </w:tcPr>
          <w:p w14:paraId="22CFC5E1" w14:textId="77777777" w:rsidR="002661BA" w:rsidRDefault="002661BA">
            <w:pPr>
              <w:rPr>
                <w:rFonts w:ascii="宋体"/>
              </w:rPr>
            </w:pPr>
          </w:p>
        </w:tc>
        <w:tc>
          <w:tcPr>
            <w:tcW w:w="5" w:type="pct"/>
            <w:shd w:val="clear" w:color="auto" w:fill="auto"/>
            <w:vAlign w:val="bottom"/>
          </w:tcPr>
          <w:p w14:paraId="22CFC5E2" w14:textId="77777777" w:rsidR="002661BA" w:rsidRDefault="002661BA">
            <w:pPr>
              <w:rPr>
                <w:rFonts w:ascii="宋体"/>
              </w:rPr>
            </w:pPr>
          </w:p>
        </w:tc>
        <w:tc>
          <w:tcPr>
            <w:tcW w:w="50" w:type="pct"/>
            <w:shd w:val="clear" w:color="auto" w:fill="auto"/>
            <w:vAlign w:val="bottom"/>
          </w:tcPr>
          <w:p w14:paraId="22CFC5E3" w14:textId="77777777" w:rsidR="002661BA" w:rsidRDefault="002661BA">
            <w:pPr>
              <w:rPr>
                <w:rFonts w:ascii="宋体"/>
              </w:rPr>
            </w:pPr>
          </w:p>
        </w:tc>
        <w:tc>
          <w:tcPr>
            <w:tcW w:w="583" w:type="pct"/>
            <w:shd w:val="clear" w:color="auto" w:fill="auto"/>
            <w:vAlign w:val="bottom"/>
          </w:tcPr>
          <w:p w14:paraId="22CFC5E4" w14:textId="77777777" w:rsidR="002661BA" w:rsidRDefault="002661BA">
            <w:pPr>
              <w:rPr>
                <w:rFonts w:ascii="宋体"/>
              </w:rPr>
            </w:pPr>
          </w:p>
        </w:tc>
        <w:tc>
          <w:tcPr>
            <w:tcW w:w="5" w:type="pct"/>
            <w:shd w:val="clear" w:color="auto" w:fill="auto"/>
            <w:vAlign w:val="bottom"/>
          </w:tcPr>
          <w:p w14:paraId="22CFC5E5" w14:textId="77777777" w:rsidR="002661BA" w:rsidRDefault="002661BA">
            <w:pPr>
              <w:rPr>
                <w:rFonts w:ascii="宋体"/>
              </w:rPr>
            </w:pPr>
          </w:p>
        </w:tc>
        <w:tc>
          <w:tcPr>
            <w:tcW w:w="5" w:type="pct"/>
            <w:shd w:val="clear" w:color="auto" w:fill="auto"/>
            <w:vAlign w:val="bottom"/>
          </w:tcPr>
          <w:p w14:paraId="22CFC5E6" w14:textId="77777777" w:rsidR="002661BA" w:rsidRDefault="002661BA">
            <w:pPr>
              <w:rPr>
                <w:rFonts w:ascii="宋体"/>
              </w:rPr>
            </w:pPr>
          </w:p>
        </w:tc>
        <w:tc>
          <w:tcPr>
            <w:tcW w:w="19" w:type="pct"/>
            <w:shd w:val="clear" w:color="auto" w:fill="auto"/>
            <w:vAlign w:val="bottom"/>
          </w:tcPr>
          <w:p w14:paraId="22CFC5E7" w14:textId="77777777" w:rsidR="002661BA" w:rsidRDefault="002661BA">
            <w:pPr>
              <w:rPr>
                <w:rFonts w:ascii="宋体"/>
              </w:rPr>
            </w:pPr>
          </w:p>
        </w:tc>
        <w:tc>
          <w:tcPr>
            <w:tcW w:w="5" w:type="pct"/>
            <w:shd w:val="clear" w:color="auto" w:fill="auto"/>
            <w:vAlign w:val="bottom"/>
          </w:tcPr>
          <w:p w14:paraId="22CFC5E8" w14:textId="77777777" w:rsidR="002661BA" w:rsidRDefault="002661BA">
            <w:pPr>
              <w:rPr>
                <w:rFonts w:ascii="宋体"/>
              </w:rPr>
            </w:pPr>
          </w:p>
        </w:tc>
        <w:tc>
          <w:tcPr>
            <w:tcW w:w="50" w:type="pct"/>
            <w:shd w:val="clear" w:color="auto" w:fill="auto"/>
            <w:vAlign w:val="bottom"/>
          </w:tcPr>
          <w:p w14:paraId="22CFC5E9" w14:textId="77777777" w:rsidR="002661BA" w:rsidRDefault="002661BA">
            <w:pPr>
              <w:rPr>
                <w:rFonts w:ascii="宋体"/>
              </w:rPr>
            </w:pPr>
          </w:p>
        </w:tc>
        <w:tc>
          <w:tcPr>
            <w:tcW w:w="583" w:type="pct"/>
            <w:shd w:val="clear" w:color="auto" w:fill="auto"/>
            <w:vAlign w:val="bottom"/>
          </w:tcPr>
          <w:p w14:paraId="22CFC5EA" w14:textId="77777777" w:rsidR="002661BA" w:rsidRDefault="002661BA">
            <w:pPr>
              <w:rPr>
                <w:rFonts w:ascii="宋体"/>
              </w:rPr>
            </w:pPr>
          </w:p>
        </w:tc>
        <w:tc>
          <w:tcPr>
            <w:tcW w:w="5" w:type="pct"/>
            <w:shd w:val="clear" w:color="auto" w:fill="auto"/>
            <w:vAlign w:val="bottom"/>
          </w:tcPr>
          <w:p w14:paraId="22CFC5EB" w14:textId="77777777" w:rsidR="002661BA" w:rsidRDefault="002661BA">
            <w:pPr>
              <w:rPr>
                <w:rFonts w:ascii="宋体"/>
              </w:rPr>
            </w:pPr>
          </w:p>
        </w:tc>
        <w:tc>
          <w:tcPr>
            <w:tcW w:w="5" w:type="pct"/>
            <w:shd w:val="clear" w:color="auto" w:fill="auto"/>
            <w:vAlign w:val="bottom"/>
          </w:tcPr>
          <w:p w14:paraId="22CFC5EC" w14:textId="77777777" w:rsidR="002661BA" w:rsidRDefault="002661BA">
            <w:pPr>
              <w:rPr>
                <w:rFonts w:ascii="宋体"/>
              </w:rPr>
            </w:pPr>
          </w:p>
        </w:tc>
        <w:tc>
          <w:tcPr>
            <w:tcW w:w="19" w:type="pct"/>
            <w:shd w:val="clear" w:color="auto" w:fill="auto"/>
            <w:vAlign w:val="bottom"/>
          </w:tcPr>
          <w:p w14:paraId="22CFC5ED" w14:textId="77777777" w:rsidR="002661BA" w:rsidRDefault="002661BA">
            <w:pPr>
              <w:rPr>
                <w:rFonts w:ascii="宋体"/>
              </w:rPr>
            </w:pPr>
          </w:p>
        </w:tc>
        <w:tc>
          <w:tcPr>
            <w:tcW w:w="5" w:type="pct"/>
            <w:shd w:val="clear" w:color="auto" w:fill="auto"/>
            <w:vAlign w:val="bottom"/>
          </w:tcPr>
          <w:p w14:paraId="22CFC5EE" w14:textId="77777777" w:rsidR="002661BA" w:rsidRDefault="002661BA">
            <w:pPr>
              <w:rPr>
                <w:rFonts w:ascii="宋体"/>
              </w:rPr>
            </w:pPr>
          </w:p>
        </w:tc>
        <w:tc>
          <w:tcPr>
            <w:tcW w:w="50" w:type="pct"/>
            <w:shd w:val="clear" w:color="auto" w:fill="auto"/>
            <w:vAlign w:val="bottom"/>
          </w:tcPr>
          <w:p w14:paraId="22CFC5EF" w14:textId="77777777" w:rsidR="002661BA" w:rsidRDefault="002661BA">
            <w:pPr>
              <w:rPr>
                <w:rFonts w:ascii="宋体"/>
              </w:rPr>
            </w:pPr>
          </w:p>
        </w:tc>
        <w:tc>
          <w:tcPr>
            <w:tcW w:w="583" w:type="pct"/>
            <w:shd w:val="clear" w:color="auto" w:fill="auto"/>
            <w:vAlign w:val="bottom"/>
          </w:tcPr>
          <w:p w14:paraId="22CFC5F0" w14:textId="77777777" w:rsidR="002661BA" w:rsidRDefault="002661BA">
            <w:pPr>
              <w:rPr>
                <w:rFonts w:ascii="宋体"/>
              </w:rPr>
            </w:pPr>
          </w:p>
        </w:tc>
        <w:tc>
          <w:tcPr>
            <w:tcW w:w="5" w:type="pct"/>
            <w:shd w:val="clear" w:color="auto" w:fill="auto"/>
            <w:vAlign w:val="bottom"/>
          </w:tcPr>
          <w:p w14:paraId="22CFC5F1" w14:textId="77777777" w:rsidR="002661BA" w:rsidRDefault="002661BA">
            <w:pPr>
              <w:rPr>
                <w:rFonts w:ascii="宋体"/>
              </w:rPr>
            </w:pPr>
          </w:p>
        </w:tc>
      </w:tr>
      <w:tr w:rsidR="002661BA" w14:paraId="22CFC5F5" w14:textId="77777777">
        <w:tc>
          <w:tcPr>
            <w:tcW w:w="0" w:type="auto"/>
            <w:gridSpan w:val="3"/>
            <w:shd w:val="clear" w:color="auto" w:fill="auto"/>
            <w:tcMar>
              <w:top w:w="0" w:type="dxa"/>
              <w:left w:w="20" w:type="dxa"/>
              <w:bottom w:w="0" w:type="dxa"/>
              <w:right w:w="20" w:type="dxa"/>
            </w:tcMar>
            <w:vAlign w:val="bottom"/>
          </w:tcPr>
          <w:p w14:paraId="22CFC5F3" w14:textId="77777777" w:rsidR="002661BA" w:rsidRDefault="002661BA">
            <w:pPr>
              <w:rPr>
                <w:rFonts w:ascii="宋体"/>
              </w:rPr>
            </w:pPr>
          </w:p>
        </w:tc>
        <w:tc>
          <w:tcPr>
            <w:tcW w:w="0" w:type="auto"/>
            <w:gridSpan w:val="15"/>
            <w:shd w:val="clear" w:color="auto" w:fill="auto"/>
            <w:tcMar>
              <w:top w:w="40" w:type="dxa"/>
              <w:left w:w="20" w:type="dxa"/>
              <w:bottom w:w="40" w:type="dxa"/>
              <w:right w:w="20" w:type="dxa"/>
            </w:tcMar>
            <w:vAlign w:val="bottom"/>
          </w:tcPr>
          <w:p w14:paraId="22CFC5F4"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C5FC" w14:textId="77777777">
        <w:tc>
          <w:tcPr>
            <w:tcW w:w="0" w:type="auto"/>
            <w:gridSpan w:val="3"/>
            <w:shd w:val="clear" w:color="auto" w:fill="auto"/>
            <w:tcMar>
              <w:top w:w="40" w:type="dxa"/>
              <w:left w:w="20" w:type="dxa"/>
              <w:bottom w:w="40" w:type="dxa"/>
              <w:right w:w="20" w:type="dxa"/>
            </w:tcMar>
            <w:vAlign w:val="bottom"/>
          </w:tcPr>
          <w:p w14:paraId="22CFC5F6"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5F7"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5F8"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5F9"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5FA"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5FB"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C609" w14:textId="77777777">
        <w:tc>
          <w:tcPr>
            <w:tcW w:w="0" w:type="auto"/>
            <w:gridSpan w:val="3"/>
            <w:shd w:val="clear" w:color="auto" w:fill="E2E2E2"/>
            <w:tcMar>
              <w:top w:w="40" w:type="dxa"/>
              <w:left w:w="20" w:type="dxa"/>
              <w:bottom w:w="40" w:type="dxa"/>
              <w:right w:w="20" w:type="dxa"/>
            </w:tcMar>
            <w:vAlign w:val="bottom"/>
          </w:tcPr>
          <w:p w14:paraId="22CFC5FD" w14:textId="77777777" w:rsidR="002661BA" w:rsidRDefault="00D972BC">
            <w:pPr>
              <w:textAlignment w:val="bottom"/>
            </w:pPr>
            <w:r>
              <w:rPr>
                <w:rFonts w:ascii="Arial" w:eastAsia="宋体" w:hAnsi="Arial" w:cs="Arial"/>
                <w:color w:val="000000"/>
                <w:sz w:val="18"/>
                <w:szCs w:val="18"/>
              </w:rPr>
              <w:t>Foreign exchange contracts designated as cash flow hedges recognized in net revenues</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C5FE"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5FF" w14:textId="77777777" w:rsidR="002661BA" w:rsidRDefault="00D972BC">
            <w:pPr>
              <w:jc w:val="right"/>
              <w:textAlignment w:val="bottom"/>
            </w:pPr>
            <w:r>
              <w:rPr>
                <w:rFonts w:ascii="Arial" w:eastAsia="宋体" w:hAnsi="Arial" w:cs="Arial"/>
                <w:color w:val="000000"/>
                <w:sz w:val="18"/>
                <w:szCs w:val="18"/>
              </w:rPr>
              <w:t>(65)</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600"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601"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602"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603" w14:textId="77777777" w:rsidR="002661BA" w:rsidRDefault="00D972BC">
            <w:pPr>
              <w:jc w:val="right"/>
              <w:textAlignment w:val="bottom"/>
            </w:pPr>
            <w:r>
              <w:rPr>
                <w:rFonts w:ascii="Arial" w:eastAsia="宋体" w:hAnsi="Arial" w:cs="Arial"/>
                <w:color w:val="000000"/>
                <w:sz w:val="18"/>
                <w:szCs w:val="18"/>
              </w:rPr>
              <w:t>15 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604"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605"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606"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607" w14:textId="77777777" w:rsidR="002661BA" w:rsidRDefault="00D972BC">
            <w:pPr>
              <w:jc w:val="right"/>
              <w:textAlignment w:val="bottom"/>
            </w:pPr>
            <w:r>
              <w:rPr>
                <w:rFonts w:ascii="Arial" w:eastAsia="宋体" w:hAnsi="Arial" w:cs="Arial"/>
                <w:color w:val="000000"/>
                <w:sz w:val="18"/>
                <w:szCs w:val="18"/>
              </w:rPr>
              <w:t>81 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608" w14:textId="77777777" w:rsidR="002661BA" w:rsidRDefault="002661BA">
            <w:pPr>
              <w:jc w:val="right"/>
              <w:rPr>
                <w:rFonts w:ascii="宋体"/>
              </w:rPr>
            </w:pPr>
          </w:p>
        </w:tc>
      </w:tr>
      <w:tr w:rsidR="002661BA" w14:paraId="22CFC613" w14:textId="77777777">
        <w:tc>
          <w:tcPr>
            <w:tcW w:w="0" w:type="auto"/>
            <w:gridSpan w:val="3"/>
            <w:shd w:val="clear" w:color="auto" w:fill="FFFFFF"/>
            <w:tcMar>
              <w:top w:w="40" w:type="dxa"/>
              <w:left w:w="20" w:type="dxa"/>
              <w:bottom w:w="40" w:type="dxa"/>
              <w:right w:w="20" w:type="dxa"/>
            </w:tcMar>
            <w:vAlign w:val="bottom"/>
          </w:tcPr>
          <w:p w14:paraId="22CFC60A" w14:textId="77777777" w:rsidR="002661BA" w:rsidRDefault="00D972BC">
            <w:pPr>
              <w:textAlignment w:val="bottom"/>
            </w:pPr>
            <w:r>
              <w:rPr>
                <w:rFonts w:ascii="Arial" w:eastAsia="宋体" w:hAnsi="Arial" w:cs="Arial"/>
                <w:color w:val="000000"/>
                <w:sz w:val="18"/>
                <w:szCs w:val="18"/>
              </w:rPr>
              <w:t xml:space="preserve">Foreign exchange contracts designated as cash flow hedges recognized in cost of net revenues </w:t>
            </w:r>
          </w:p>
        </w:tc>
        <w:tc>
          <w:tcPr>
            <w:tcW w:w="0" w:type="auto"/>
            <w:gridSpan w:val="2"/>
            <w:shd w:val="clear" w:color="auto" w:fill="FFFFFF"/>
            <w:tcMar>
              <w:top w:w="40" w:type="dxa"/>
              <w:left w:w="20" w:type="dxa"/>
              <w:bottom w:w="40" w:type="dxa"/>
              <w:right w:w="0" w:type="dxa"/>
            </w:tcMar>
            <w:vAlign w:val="bottom"/>
          </w:tcPr>
          <w:p w14:paraId="22CFC60B" w14:textId="77777777" w:rsidR="002661BA" w:rsidRDefault="00D972BC">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22CFC60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60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60E"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60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61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611"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612" w14:textId="77777777" w:rsidR="002661BA" w:rsidRDefault="002661BA">
            <w:pPr>
              <w:jc w:val="right"/>
              <w:rPr>
                <w:rFonts w:ascii="宋体"/>
              </w:rPr>
            </w:pPr>
          </w:p>
        </w:tc>
      </w:tr>
      <w:tr w:rsidR="002661BA" w14:paraId="22CFC61A" w14:textId="77777777">
        <w:trPr>
          <w:hidden/>
        </w:trPr>
        <w:tc>
          <w:tcPr>
            <w:tcW w:w="0" w:type="auto"/>
            <w:gridSpan w:val="3"/>
            <w:shd w:val="clear" w:color="auto" w:fill="auto"/>
            <w:vAlign w:val="bottom"/>
          </w:tcPr>
          <w:p w14:paraId="22CFC614" w14:textId="77777777" w:rsidR="002661BA" w:rsidRDefault="002661BA">
            <w:pPr>
              <w:rPr>
                <w:rFonts w:ascii="宋体"/>
                <w:vanish/>
              </w:rPr>
            </w:pPr>
          </w:p>
        </w:tc>
        <w:tc>
          <w:tcPr>
            <w:tcW w:w="0" w:type="auto"/>
            <w:gridSpan w:val="3"/>
            <w:shd w:val="clear" w:color="auto" w:fill="auto"/>
            <w:vAlign w:val="bottom"/>
          </w:tcPr>
          <w:p w14:paraId="22CFC615" w14:textId="77777777" w:rsidR="002661BA" w:rsidRDefault="002661BA">
            <w:pPr>
              <w:rPr>
                <w:rFonts w:ascii="宋体"/>
                <w:vanish/>
              </w:rPr>
            </w:pPr>
          </w:p>
        </w:tc>
        <w:tc>
          <w:tcPr>
            <w:tcW w:w="0" w:type="auto"/>
            <w:gridSpan w:val="3"/>
            <w:shd w:val="clear" w:color="auto" w:fill="auto"/>
            <w:vAlign w:val="bottom"/>
          </w:tcPr>
          <w:p w14:paraId="22CFC616" w14:textId="77777777" w:rsidR="002661BA" w:rsidRDefault="002661BA">
            <w:pPr>
              <w:rPr>
                <w:rFonts w:ascii="宋体"/>
                <w:vanish/>
              </w:rPr>
            </w:pPr>
          </w:p>
        </w:tc>
        <w:tc>
          <w:tcPr>
            <w:tcW w:w="0" w:type="auto"/>
            <w:gridSpan w:val="3"/>
            <w:shd w:val="clear" w:color="auto" w:fill="auto"/>
            <w:vAlign w:val="bottom"/>
          </w:tcPr>
          <w:p w14:paraId="22CFC617" w14:textId="77777777" w:rsidR="002661BA" w:rsidRDefault="002661BA">
            <w:pPr>
              <w:rPr>
                <w:rFonts w:ascii="宋体"/>
                <w:vanish/>
              </w:rPr>
            </w:pPr>
          </w:p>
        </w:tc>
        <w:tc>
          <w:tcPr>
            <w:tcW w:w="0" w:type="auto"/>
            <w:gridSpan w:val="3"/>
            <w:shd w:val="clear" w:color="auto" w:fill="auto"/>
            <w:vAlign w:val="bottom"/>
          </w:tcPr>
          <w:p w14:paraId="22CFC618" w14:textId="77777777" w:rsidR="002661BA" w:rsidRDefault="002661BA">
            <w:pPr>
              <w:rPr>
                <w:rFonts w:ascii="宋体"/>
                <w:vanish/>
              </w:rPr>
            </w:pPr>
          </w:p>
        </w:tc>
        <w:tc>
          <w:tcPr>
            <w:tcW w:w="0" w:type="auto"/>
            <w:gridSpan w:val="3"/>
            <w:shd w:val="clear" w:color="auto" w:fill="auto"/>
            <w:vAlign w:val="bottom"/>
          </w:tcPr>
          <w:p w14:paraId="22CFC619" w14:textId="77777777" w:rsidR="002661BA" w:rsidRDefault="002661BA">
            <w:pPr>
              <w:rPr>
                <w:rFonts w:ascii="宋体"/>
                <w:vanish/>
              </w:rPr>
            </w:pPr>
          </w:p>
        </w:tc>
      </w:tr>
      <w:tr w:rsidR="002661BA" w14:paraId="22CFC624" w14:textId="77777777">
        <w:tc>
          <w:tcPr>
            <w:tcW w:w="0" w:type="auto"/>
            <w:gridSpan w:val="3"/>
            <w:shd w:val="clear" w:color="auto" w:fill="E2E2E2"/>
            <w:tcMar>
              <w:top w:w="40" w:type="dxa"/>
              <w:left w:w="20" w:type="dxa"/>
              <w:bottom w:w="40" w:type="dxa"/>
              <w:right w:w="20" w:type="dxa"/>
            </w:tcMar>
            <w:vAlign w:val="bottom"/>
          </w:tcPr>
          <w:p w14:paraId="22CFC61B" w14:textId="77777777" w:rsidR="002661BA" w:rsidRDefault="00D972BC">
            <w:pPr>
              <w:textAlignment w:val="bottom"/>
            </w:pPr>
            <w:r>
              <w:rPr>
                <w:rFonts w:ascii="Arial" w:eastAsia="宋体" w:hAnsi="Arial" w:cs="Arial"/>
                <w:color w:val="000000"/>
                <w:sz w:val="18"/>
                <w:szCs w:val="18"/>
              </w:rPr>
              <w:t>Foreign exchange contracts not designated as hedging instruments recognized in interest and other, net</w:t>
            </w:r>
          </w:p>
        </w:tc>
        <w:tc>
          <w:tcPr>
            <w:tcW w:w="0" w:type="auto"/>
            <w:gridSpan w:val="2"/>
            <w:shd w:val="clear" w:color="auto" w:fill="E2E2E2"/>
            <w:tcMar>
              <w:top w:w="40" w:type="dxa"/>
              <w:left w:w="20" w:type="dxa"/>
              <w:bottom w:w="40" w:type="dxa"/>
              <w:right w:w="0" w:type="dxa"/>
            </w:tcMar>
            <w:vAlign w:val="bottom"/>
          </w:tcPr>
          <w:p w14:paraId="22CFC61C" w14:textId="77777777" w:rsidR="002661BA" w:rsidRDefault="00D972BC">
            <w:pPr>
              <w:jc w:val="right"/>
              <w:textAlignment w:val="bottom"/>
            </w:pPr>
            <w:r>
              <w:rPr>
                <w:rFonts w:ascii="Arial" w:eastAsia="宋体" w:hAnsi="Arial" w:cs="Arial"/>
                <w:color w:val="000000"/>
                <w:sz w:val="18"/>
                <w:szCs w:val="18"/>
              </w:rPr>
              <w:t>11 </w:t>
            </w:r>
          </w:p>
        </w:tc>
        <w:tc>
          <w:tcPr>
            <w:tcW w:w="0" w:type="auto"/>
            <w:shd w:val="clear" w:color="auto" w:fill="E2E2E2"/>
            <w:tcMar>
              <w:top w:w="40" w:type="dxa"/>
              <w:left w:w="0" w:type="dxa"/>
              <w:bottom w:w="40" w:type="dxa"/>
              <w:right w:w="20" w:type="dxa"/>
            </w:tcMar>
            <w:vAlign w:val="bottom"/>
          </w:tcPr>
          <w:p w14:paraId="22CFC61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61E"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61F" w14:textId="77777777" w:rsidR="002661BA" w:rsidRDefault="00D972BC">
            <w:pPr>
              <w:jc w:val="right"/>
              <w:textAlignment w:val="bottom"/>
            </w:pPr>
            <w:r>
              <w:rPr>
                <w:rFonts w:ascii="Arial" w:eastAsia="宋体" w:hAnsi="Arial" w:cs="Arial"/>
                <w:color w:val="000000"/>
                <w:sz w:val="18"/>
                <w:szCs w:val="18"/>
              </w:rPr>
              <w:t>(18)</w:t>
            </w:r>
          </w:p>
        </w:tc>
        <w:tc>
          <w:tcPr>
            <w:tcW w:w="0" w:type="auto"/>
            <w:shd w:val="clear" w:color="auto" w:fill="E2E2E2"/>
            <w:tcMar>
              <w:top w:w="40" w:type="dxa"/>
              <w:left w:w="0" w:type="dxa"/>
              <w:bottom w:w="40" w:type="dxa"/>
              <w:right w:w="20" w:type="dxa"/>
            </w:tcMar>
            <w:vAlign w:val="bottom"/>
          </w:tcPr>
          <w:p w14:paraId="22CFC620"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621"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622" w14:textId="77777777" w:rsidR="002661BA" w:rsidRDefault="00D972BC">
            <w:pPr>
              <w:jc w:val="right"/>
              <w:textAlignment w:val="bottom"/>
            </w:pPr>
            <w:r>
              <w:rPr>
                <w:rFonts w:ascii="Arial" w:eastAsia="宋体" w:hAnsi="Arial" w:cs="Arial"/>
                <w:color w:val="000000"/>
                <w:sz w:val="18"/>
                <w:szCs w:val="18"/>
              </w:rPr>
              <w:t>(8)</w:t>
            </w:r>
          </w:p>
        </w:tc>
        <w:tc>
          <w:tcPr>
            <w:tcW w:w="0" w:type="auto"/>
            <w:shd w:val="clear" w:color="auto" w:fill="E2E2E2"/>
            <w:tcMar>
              <w:top w:w="40" w:type="dxa"/>
              <w:left w:w="0" w:type="dxa"/>
              <w:bottom w:w="40" w:type="dxa"/>
              <w:right w:w="20" w:type="dxa"/>
            </w:tcMar>
            <w:vAlign w:val="bottom"/>
          </w:tcPr>
          <w:p w14:paraId="22CFC623" w14:textId="77777777" w:rsidR="002661BA" w:rsidRDefault="002661BA">
            <w:pPr>
              <w:jc w:val="right"/>
              <w:rPr>
                <w:rFonts w:ascii="宋体"/>
              </w:rPr>
            </w:pPr>
          </w:p>
        </w:tc>
      </w:tr>
      <w:tr w:rsidR="002661BA" w14:paraId="22CFC631" w14:textId="77777777">
        <w:tc>
          <w:tcPr>
            <w:tcW w:w="0" w:type="auto"/>
            <w:gridSpan w:val="3"/>
            <w:shd w:val="clear" w:color="auto" w:fill="FFFFFF"/>
            <w:tcMar>
              <w:top w:w="40" w:type="dxa"/>
              <w:left w:w="245" w:type="dxa"/>
              <w:bottom w:w="40" w:type="dxa"/>
              <w:right w:w="20" w:type="dxa"/>
            </w:tcMar>
            <w:vAlign w:val="bottom"/>
          </w:tcPr>
          <w:p w14:paraId="22CFC625" w14:textId="77777777" w:rsidR="002661BA" w:rsidRDefault="00D972BC">
            <w:pPr>
              <w:textAlignment w:val="bottom"/>
            </w:pPr>
            <w:r>
              <w:rPr>
                <w:rFonts w:ascii="Arial" w:eastAsia="宋体" w:hAnsi="Arial" w:cs="Arial"/>
                <w:color w:val="000000"/>
                <w:sz w:val="18"/>
                <w:szCs w:val="18"/>
              </w:rPr>
              <w:t>Total gain (loss) recognized from foreign exchange derivative contracts in the consolidated statement of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626"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627" w14:textId="77777777" w:rsidR="002661BA" w:rsidRDefault="00D972BC">
            <w:pPr>
              <w:jc w:val="right"/>
              <w:textAlignment w:val="bottom"/>
            </w:pPr>
            <w:r>
              <w:rPr>
                <w:rFonts w:ascii="Arial" w:eastAsia="宋体" w:hAnsi="Arial" w:cs="Arial"/>
                <w:color w:val="000000"/>
                <w:sz w:val="18"/>
                <w:szCs w:val="18"/>
              </w:rPr>
              <w:t>(50)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62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629"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62A"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62B" w14:textId="77777777" w:rsidR="002661BA" w:rsidRDefault="00D972BC">
            <w:pPr>
              <w:jc w:val="right"/>
              <w:textAlignment w:val="bottom"/>
            </w:pPr>
            <w:r>
              <w:rPr>
                <w:rFonts w:ascii="Arial" w:eastAsia="宋体" w:hAnsi="Arial" w:cs="Arial"/>
                <w:color w:val="000000"/>
                <w:sz w:val="18"/>
                <w:szCs w:val="18"/>
              </w:rPr>
              <w:t>(3)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62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62D"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62E"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62F" w14:textId="77777777" w:rsidR="002661BA" w:rsidRDefault="00D972BC">
            <w:pPr>
              <w:jc w:val="right"/>
              <w:textAlignment w:val="bottom"/>
            </w:pPr>
            <w:r>
              <w:rPr>
                <w:rFonts w:ascii="Arial" w:eastAsia="宋体" w:hAnsi="Arial" w:cs="Arial"/>
                <w:color w:val="000000"/>
                <w:sz w:val="18"/>
                <w:szCs w:val="18"/>
              </w:rPr>
              <w:t>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630" w14:textId="77777777" w:rsidR="002661BA" w:rsidRDefault="002661BA">
            <w:pPr>
              <w:jc w:val="right"/>
              <w:rPr>
                <w:rFonts w:ascii="宋体"/>
              </w:rPr>
            </w:pPr>
          </w:p>
        </w:tc>
      </w:tr>
    </w:tbl>
    <w:p w14:paraId="22CFC632" w14:textId="77777777" w:rsidR="002661BA" w:rsidRDefault="002661BA">
      <w:pPr>
        <w:jc w:val="both"/>
      </w:pPr>
    </w:p>
    <w:p w14:paraId="22CFC633" w14:textId="77777777" w:rsidR="002661BA" w:rsidRDefault="00D972BC">
      <w:pPr>
        <w:spacing w:after="120"/>
        <w:ind w:firstLine="540"/>
        <w:jc w:val="both"/>
      </w:pPr>
      <w:r>
        <w:rPr>
          <w:rFonts w:ascii="Arial" w:eastAsia="宋体" w:hAnsi="Arial" w:cs="Arial"/>
          <w:color w:val="000000"/>
          <w:sz w:val="20"/>
          <w:szCs w:val="20"/>
        </w:rPr>
        <w:t>The following table summarizes the total gain (loss) recognized in the consolidated statement of income from our interest rate derivative contracts by location for the periods indicated (in millio</w:t>
      </w:r>
      <w:r>
        <w:rPr>
          <w:rFonts w:ascii="Arial" w:eastAsia="宋体" w:hAnsi="Arial" w:cs="Arial"/>
          <w:color w:val="000000"/>
          <w:sz w:val="20"/>
          <w:szCs w:val="20"/>
        </w:rPr>
        <w:t>ns):</w:t>
      </w:r>
    </w:p>
    <w:tbl>
      <w:tblPr>
        <w:tblW w:w="5000" w:type="pct"/>
        <w:tblCellMar>
          <w:top w:w="15" w:type="dxa"/>
          <w:left w:w="15" w:type="dxa"/>
          <w:bottom w:w="15" w:type="dxa"/>
          <w:right w:w="15" w:type="dxa"/>
        </w:tblCellMar>
        <w:tblLook w:val="04A0" w:firstRow="1" w:lastRow="0" w:firstColumn="1" w:lastColumn="0" w:noHBand="0" w:noVBand="1"/>
      </w:tblPr>
      <w:tblGrid>
        <w:gridCol w:w="38"/>
        <w:gridCol w:w="4873"/>
        <w:gridCol w:w="37"/>
        <w:gridCol w:w="122"/>
        <w:gridCol w:w="897"/>
        <w:gridCol w:w="37"/>
        <w:gridCol w:w="36"/>
        <w:gridCol w:w="36"/>
        <w:gridCol w:w="36"/>
        <w:gridCol w:w="122"/>
        <w:gridCol w:w="898"/>
        <w:gridCol w:w="37"/>
        <w:gridCol w:w="36"/>
        <w:gridCol w:w="36"/>
        <w:gridCol w:w="36"/>
        <w:gridCol w:w="122"/>
        <w:gridCol w:w="900"/>
        <w:gridCol w:w="37"/>
      </w:tblGrid>
      <w:tr w:rsidR="002661BA" w14:paraId="22CFC646" w14:textId="77777777">
        <w:tc>
          <w:tcPr>
            <w:tcW w:w="50" w:type="pct"/>
            <w:shd w:val="clear" w:color="auto" w:fill="auto"/>
            <w:vAlign w:val="bottom"/>
          </w:tcPr>
          <w:p w14:paraId="22CFC634" w14:textId="77777777" w:rsidR="002661BA" w:rsidRDefault="002661BA">
            <w:pPr>
              <w:rPr>
                <w:rFonts w:ascii="宋体"/>
              </w:rPr>
            </w:pPr>
          </w:p>
        </w:tc>
        <w:tc>
          <w:tcPr>
            <w:tcW w:w="2978" w:type="pct"/>
            <w:shd w:val="clear" w:color="auto" w:fill="auto"/>
            <w:vAlign w:val="bottom"/>
          </w:tcPr>
          <w:p w14:paraId="22CFC635" w14:textId="77777777" w:rsidR="002661BA" w:rsidRDefault="002661BA">
            <w:pPr>
              <w:rPr>
                <w:rFonts w:ascii="宋体"/>
              </w:rPr>
            </w:pPr>
          </w:p>
        </w:tc>
        <w:tc>
          <w:tcPr>
            <w:tcW w:w="5" w:type="pct"/>
            <w:shd w:val="clear" w:color="auto" w:fill="auto"/>
            <w:vAlign w:val="bottom"/>
          </w:tcPr>
          <w:p w14:paraId="22CFC636" w14:textId="77777777" w:rsidR="002661BA" w:rsidRDefault="002661BA">
            <w:pPr>
              <w:rPr>
                <w:rFonts w:ascii="宋体"/>
              </w:rPr>
            </w:pPr>
          </w:p>
        </w:tc>
        <w:tc>
          <w:tcPr>
            <w:tcW w:w="50" w:type="pct"/>
            <w:shd w:val="clear" w:color="auto" w:fill="auto"/>
            <w:vAlign w:val="bottom"/>
          </w:tcPr>
          <w:p w14:paraId="22CFC637" w14:textId="77777777" w:rsidR="002661BA" w:rsidRDefault="002661BA">
            <w:pPr>
              <w:rPr>
                <w:rFonts w:ascii="宋体"/>
              </w:rPr>
            </w:pPr>
          </w:p>
        </w:tc>
        <w:tc>
          <w:tcPr>
            <w:tcW w:w="580" w:type="pct"/>
            <w:shd w:val="clear" w:color="auto" w:fill="auto"/>
            <w:vAlign w:val="bottom"/>
          </w:tcPr>
          <w:p w14:paraId="22CFC638" w14:textId="77777777" w:rsidR="002661BA" w:rsidRDefault="002661BA">
            <w:pPr>
              <w:rPr>
                <w:rFonts w:ascii="宋体"/>
              </w:rPr>
            </w:pPr>
          </w:p>
        </w:tc>
        <w:tc>
          <w:tcPr>
            <w:tcW w:w="5" w:type="pct"/>
            <w:shd w:val="clear" w:color="auto" w:fill="auto"/>
            <w:vAlign w:val="bottom"/>
          </w:tcPr>
          <w:p w14:paraId="22CFC639" w14:textId="77777777" w:rsidR="002661BA" w:rsidRDefault="002661BA">
            <w:pPr>
              <w:rPr>
                <w:rFonts w:ascii="宋体"/>
              </w:rPr>
            </w:pPr>
          </w:p>
        </w:tc>
        <w:tc>
          <w:tcPr>
            <w:tcW w:w="5" w:type="pct"/>
            <w:shd w:val="clear" w:color="auto" w:fill="auto"/>
            <w:vAlign w:val="bottom"/>
          </w:tcPr>
          <w:p w14:paraId="22CFC63A" w14:textId="77777777" w:rsidR="002661BA" w:rsidRDefault="002661BA">
            <w:pPr>
              <w:rPr>
                <w:rFonts w:ascii="宋体"/>
              </w:rPr>
            </w:pPr>
          </w:p>
        </w:tc>
        <w:tc>
          <w:tcPr>
            <w:tcW w:w="19" w:type="pct"/>
            <w:shd w:val="clear" w:color="auto" w:fill="auto"/>
            <w:vAlign w:val="bottom"/>
          </w:tcPr>
          <w:p w14:paraId="22CFC63B" w14:textId="77777777" w:rsidR="002661BA" w:rsidRDefault="002661BA">
            <w:pPr>
              <w:rPr>
                <w:rFonts w:ascii="宋体"/>
              </w:rPr>
            </w:pPr>
          </w:p>
        </w:tc>
        <w:tc>
          <w:tcPr>
            <w:tcW w:w="5" w:type="pct"/>
            <w:shd w:val="clear" w:color="auto" w:fill="auto"/>
            <w:vAlign w:val="bottom"/>
          </w:tcPr>
          <w:p w14:paraId="22CFC63C" w14:textId="77777777" w:rsidR="002661BA" w:rsidRDefault="002661BA">
            <w:pPr>
              <w:rPr>
                <w:rFonts w:ascii="宋体"/>
              </w:rPr>
            </w:pPr>
          </w:p>
        </w:tc>
        <w:tc>
          <w:tcPr>
            <w:tcW w:w="50" w:type="pct"/>
            <w:shd w:val="clear" w:color="auto" w:fill="auto"/>
            <w:vAlign w:val="bottom"/>
          </w:tcPr>
          <w:p w14:paraId="22CFC63D" w14:textId="77777777" w:rsidR="002661BA" w:rsidRDefault="002661BA">
            <w:pPr>
              <w:rPr>
                <w:rFonts w:ascii="宋体"/>
              </w:rPr>
            </w:pPr>
          </w:p>
        </w:tc>
        <w:tc>
          <w:tcPr>
            <w:tcW w:w="580" w:type="pct"/>
            <w:shd w:val="clear" w:color="auto" w:fill="auto"/>
            <w:vAlign w:val="bottom"/>
          </w:tcPr>
          <w:p w14:paraId="22CFC63E" w14:textId="77777777" w:rsidR="002661BA" w:rsidRDefault="002661BA">
            <w:pPr>
              <w:rPr>
                <w:rFonts w:ascii="宋体"/>
              </w:rPr>
            </w:pPr>
          </w:p>
        </w:tc>
        <w:tc>
          <w:tcPr>
            <w:tcW w:w="5" w:type="pct"/>
            <w:shd w:val="clear" w:color="auto" w:fill="auto"/>
            <w:vAlign w:val="bottom"/>
          </w:tcPr>
          <w:p w14:paraId="22CFC63F" w14:textId="77777777" w:rsidR="002661BA" w:rsidRDefault="002661BA">
            <w:pPr>
              <w:rPr>
                <w:rFonts w:ascii="宋体"/>
              </w:rPr>
            </w:pPr>
          </w:p>
        </w:tc>
        <w:tc>
          <w:tcPr>
            <w:tcW w:w="5" w:type="pct"/>
            <w:shd w:val="clear" w:color="auto" w:fill="auto"/>
            <w:vAlign w:val="bottom"/>
          </w:tcPr>
          <w:p w14:paraId="22CFC640" w14:textId="77777777" w:rsidR="002661BA" w:rsidRDefault="002661BA">
            <w:pPr>
              <w:rPr>
                <w:rFonts w:ascii="宋体"/>
              </w:rPr>
            </w:pPr>
          </w:p>
        </w:tc>
        <w:tc>
          <w:tcPr>
            <w:tcW w:w="19" w:type="pct"/>
            <w:shd w:val="clear" w:color="auto" w:fill="auto"/>
            <w:vAlign w:val="bottom"/>
          </w:tcPr>
          <w:p w14:paraId="22CFC641" w14:textId="77777777" w:rsidR="002661BA" w:rsidRDefault="002661BA">
            <w:pPr>
              <w:rPr>
                <w:rFonts w:ascii="宋体"/>
              </w:rPr>
            </w:pPr>
          </w:p>
        </w:tc>
        <w:tc>
          <w:tcPr>
            <w:tcW w:w="5" w:type="pct"/>
            <w:shd w:val="clear" w:color="auto" w:fill="auto"/>
            <w:vAlign w:val="bottom"/>
          </w:tcPr>
          <w:p w14:paraId="22CFC642" w14:textId="77777777" w:rsidR="002661BA" w:rsidRDefault="002661BA">
            <w:pPr>
              <w:rPr>
                <w:rFonts w:ascii="宋体"/>
              </w:rPr>
            </w:pPr>
          </w:p>
        </w:tc>
        <w:tc>
          <w:tcPr>
            <w:tcW w:w="50" w:type="pct"/>
            <w:shd w:val="clear" w:color="auto" w:fill="auto"/>
            <w:vAlign w:val="bottom"/>
          </w:tcPr>
          <w:p w14:paraId="22CFC643" w14:textId="77777777" w:rsidR="002661BA" w:rsidRDefault="002661BA">
            <w:pPr>
              <w:rPr>
                <w:rFonts w:ascii="宋体"/>
              </w:rPr>
            </w:pPr>
          </w:p>
        </w:tc>
        <w:tc>
          <w:tcPr>
            <w:tcW w:w="581" w:type="pct"/>
            <w:shd w:val="clear" w:color="auto" w:fill="auto"/>
            <w:vAlign w:val="bottom"/>
          </w:tcPr>
          <w:p w14:paraId="22CFC644" w14:textId="77777777" w:rsidR="002661BA" w:rsidRDefault="002661BA">
            <w:pPr>
              <w:rPr>
                <w:rFonts w:ascii="宋体"/>
              </w:rPr>
            </w:pPr>
          </w:p>
        </w:tc>
        <w:tc>
          <w:tcPr>
            <w:tcW w:w="5" w:type="pct"/>
            <w:shd w:val="clear" w:color="auto" w:fill="auto"/>
            <w:vAlign w:val="bottom"/>
          </w:tcPr>
          <w:p w14:paraId="22CFC645" w14:textId="77777777" w:rsidR="002661BA" w:rsidRDefault="002661BA">
            <w:pPr>
              <w:rPr>
                <w:rFonts w:ascii="宋体"/>
              </w:rPr>
            </w:pPr>
          </w:p>
        </w:tc>
      </w:tr>
      <w:tr w:rsidR="002661BA" w14:paraId="22CFC649" w14:textId="77777777">
        <w:tc>
          <w:tcPr>
            <w:tcW w:w="0" w:type="auto"/>
            <w:gridSpan w:val="3"/>
            <w:shd w:val="clear" w:color="auto" w:fill="auto"/>
            <w:tcMar>
              <w:top w:w="0" w:type="dxa"/>
              <w:left w:w="20" w:type="dxa"/>
              <w:bottom w:w="0" w:type="dxa"/>
              <w:right w:w="20" w:type="dxa"/>
            </w:tcMar>
            <w:vAlign w:val="bottom"/>
          </w:tcPr>
          <w:p w14:paraId="22CFC647" w14:textId="77777777" w:rsidR="002661BA" w:rsidRDefault="002661BA">
            <w:pPr>
              <w:rPr>
                <w:rFonts w:ascii="宋体"/>
              </w:rPr>
            </w:pPr>
          </w:p>
        </w:tc>
        <w:tc>
          <w:tcPr>
            <w:tcW w:w="0" w:type="auto"/>
            <w:gridSpan w:val="15"/>
            <w:shd w:val="clear" w:color="auto" w:fill="auto"/>
            <w:tcMar>
              <w:top w:w="40" w:type="dxa"/>
              <w:left w:w="20" w:type="dxa"/>
              <w:bottom w:w="40" w:type="dxa"/>
              <w:right w:w="20" w:type="dxa"/>
            </w:tcMar>
            <w:vAlign w:val="bottom"/>
          </w:tcPr>
          <w:p w14:paraId="22CFC648"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C650" w14:textId="77777777">
        <w:tc>
          <w:tcPr>
            <w:tcW w:w="0" w:type="auto"/>
            <w:gridSpan w:val="3"/>
            <w:shd w:val="clear" w:color="auto" w:fill="auto"/>
            <w:tcMar>
              <w:top w:w="40" w:type="dxa"/>
              <w:left w:w="20" w:type="dxa"/>
              <w:bottom w:w="40" w:type="dxa"/>
              <w:right w:w="20" w:type="dxa"/>
            </w:tcMar>
            <w:vAlign w:val="bottom"/>
          </w:tcPr>
          <w:p w14:paraId="22CFC64A" w14:textId="77777777" w:rsidR="002661BA" w:rsidRDefault="00D972BC">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64B"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64C"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64D"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64E"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64F"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C65D" w14:textId="77777777">
        <w:tc>
          <w:tcPr>
            <w:tcW w:w="0" w:type="auto"/>
            <w:gridSpan w:val="3"/>
            <w:shd w:val="clear" w:color="auto" w:fill="E2E2E2"/>
            <w:tcMar>
              <w:top w:w="40" w:type="dxa"/>
              <w:left w:w="20" w:type="dxa"/>
              <w:bottom w:w="40" w:type="dxa"/>
              <w:right w:w="20" w:type="dxa"/>
            </w:tcMar>
            <w:vAlign w:val="bottom"/>
          </w:tcPr>
          <w:p w14:paraId="22CFC651" w14:textId="77777777" w:rsidR="002661BA" w:rsidRDefault="00D972BC">
            <w:pPr>
              <w:textAlignment w:val="bottom"/>
            </w:pPr>
            <w:r>
              <w:rPr>
                <w:rFonts w:ascii="Arial" w:eastAsia="宋体" w:hAnsi="Arial" w:cs="Arial"/>
                <w:color w:val="000000"/>
                <w:sz w:val="18"/>
                <w:szCs w:val="18"/>
              </w:rPr>
              <w:t>Gain (loss) from interest rate contracts designated as fair value hedges recognized in interest and other, net</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C652"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653"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654"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655"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656"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657"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658"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659"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65A"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65B" w14:textId="77777777" w:rsidR="002661BA" w:rsidRDefault="00D972BC">
            <w:pPr>
              <w:jc w:val="right"/>
              <w:textAlignment w:val="bottom"/>
            </w:pPr>
            <w:r>
              <w:rPr>
                <w:rFonts w:ascii="Arial" w:eastAsia="宋体" w:hAnsi="Arial" w:cs="Arial"/>
                <w:color w:val="000000"/>
                <w:sz w:val="18"/>
                <w:szCs w:val="18"/>
              </w:rPr>
              <w:t>34 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65C" w14:textId="77777777" w:rsidR="002661BA" w:rsidRDefault="002661BA">
            <w:pPr>
              <w:jc w:val="right"/>
              <w:rPr>
                <w:rFonts w:ascii="宋体"/>
              </w:rPr>
            </w:pPr>
          </w:p>
        </w:tc>
      </w:tr>
      <w:tr w:rsidR="002661BA" w14:paraId="22CFC667" w14:textId="77777777">
        <w:tc>
          <w:tcPr>
            <w:tcW w:w="0" w:type="auto"/>
            <w:gridSpan w:val="3"/>
            <w:shd w:val="clear" w:color="auto" w:fill="FFFFFF"/>
            <w:tcMar>
              <w:top w:w="40" w:type="dxa"/>
              <w:left w:w="20" w:type="dxa"/>
              <w:bottom w:w="40" w:type="dxa"/>
              <w:right w:w="20" w:type="dxa"/>
            </w:tcMar>
            <w:vAlign w:val="bottom"/>
          </w:tcPr>
          <w:p w14:paraId="22CFC65E" w14:textId="77777777" w:rsidR="002661BA" w:rsidRDefault="00D972BC">
            <w:pPr>
              <w:textAlignment w:val="bottom"/>
            </w:pPr>
            <w:r>
              <w:rPr>
                <w:rFonts w:ascii="Arial" w:eastAsia="宋体" w:hAnsi="Arial" w:cs="Arial"/>
                <w:color w:val="000000"/>
                <w:sz w:val="18"/>
                <w:szCs w:val="18"/>
              </w:rPr>
              <w:t>Gain (loss) from hedged items attributable to hedged risk recognized in interest and other, net</w:t>
            </w:r>
          </w:p>
        </w:tc>
        <w:tc>
          <w:tcPr>
            <w:tcW w:w="0" w:type="auto"/>
            <w:gridSpan w:val="2"/>
            <w:shd w:val="clear" w:color="auto" w:fill="FFFFFF"/>
            <w:tcMar>
              <w:top w:w="40" w:type="dxa"/>
              <w:left w:w="20" w:type="dxa"/>
              <w:bottom w:w="40" w:type="dxa"/>
              <w:right w:w="0" w:type="dxa"/>
            </w:tcMar>
            <w:vAlign w:val="bottom"/>
          </w:tcPr>
          <w:p w14:paraId="22CFC65F"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660"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661"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662"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66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664"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665" w14:textId="77777777" w:rsidR="002661BA" w:rsidRDefault="00D972BC">
            <w:pPr>
              <w:jc w:val="right"/>
              <w:textAlignment w:val="bottom"/>
            </w:pPr>
            <w:r>
              <w:rPr>
                <w:rFonts w:ascii="Arial" w:eastAsia="宋体" w:hAnsi="Arial" w:cs="Arial"/>
                <w:color w:val="000000"/>
                <w:sz w:val="18"/>
                <w:szCs w:val="18"/>
              </w:rPr>
              <w:t>(34)</w:t>
            </w:r>
          </w:p>
        </w:tc>
        <w:tc>
          <w:tcPr>
            <w:tcW w:w="0" w:type="auto"/>
            <w:shd w:val="clear" w:color="auto" w:fill="FFFFFF"/>
            <w:tcMar>
              <w:top w:w="40" w:type="dxa"/>
              <w:left w:w="0" w:type="dxa"/>
              <w:bottom w:w="40" w:type="dxa"/>
              <w:right w:w="20" w:type="dxa"/>
            </w:tcMar>
            <w:vAlign w:val="bottom"/>
          </w:tcPr>
          <w:p w14:paraId="22CFC666" w14:textId="77777777" w:rsidR="002661BA" w:rsidRDefault="002661BA">
            <w:pPr>
              <w:jc w:val="right"/>
              <w:rPr>
                <w:rFonts w:ascii="宋体"/>
              </w:rPr>
            </w:pPr>
          </w:p>
        </w:tc>
      </w:tr>
      <w:tr w:rsidR="002661BA" w14:paraId="22CFC671" w14:textId="77777777">
        <w:tc>
          <w:tcPr>
            <w:tcW w:w="0" w:type="auto"/>
            <w:gridSpan w:val="3"/>
            <w:shd w:val="clear" w:color="auto" w:fill="E2E2E2"/>
            <w:tcMar>
              <w:top w:w="40" w:type="dxa"/>
              <w:left w:w="20" w:type="dxa"/>
              <w:bottom w:w="40" w:type="dxa"/>
              <w:right w:w="20" w:type="dxa"/>
            </w:tcMar>
            <w:vAlign w:val="bottom"/>
          </w:tcPr>
          <w:p w14:paraId="22CFC668" w14:textId="77777777" w:rsidR="002661BA" w:rsidRDefault="00D972BC">
            <w:pPr>
              <w:textAlignment w:val="bottom"/>
            </w:pPr>
            <w:r>
              <w:rPr>
                <w:rFonts w:ascii="Arial" w:eastAsia="宋体" w:hAnsi="Arial" w:cs="Arial"/>
                <w:color w:val="000000"/>
                <w:sz w:val="18"/>
                <w:szCs w:val="18"/>
              </w:rPr>
              <w:t xml:space="preserve">Gain (loss) from interest rate contracts designated as cash flow hedges recognized in interest and </w:t>
            </w:r>
            <w:r>
              <w:rPr>
                <w:rFonts w:ascii="Arial" w:eastAsia="宋体" w:hAnsi="Arial" w:cs="Arial"/>
                <w:color w:val="000000"/>
                <w:sz w:val="18"/>
                <w:szCs w:val="18"/>
              </w:rPr>
              <w:t>other, net</w:t>
            </w:r>
          </w:p>
        </w:tc>
        <w:tc>
          <w:tcPr>
            <w:tcW w:w="0" w:type="auto"/>
            <w:gridSpan w:val="2"/>
            <w:shd w:val="clear" w:color="auto" w:fill="E2E2E2"/>
            <w:tcMar>
              <w:top w:w="40" w:type="dxa"/>
              <w:left w:w="20" w:type="dxa"/>
              <w:bottom w:w="40" w:type="dxa"/>
              <w:right w:w="0" w:type="dxa"/>
            </w:tcMar>
            <w:vAlign w:val="bottom"/>
          </w:tcPr>
          <w:p w14:paraId="22CFC669" w14:textId="77777777" w:rsidR="002661BA" w:rsidRDefault="00D972BC">
            <w:pPr>
              <w:jc w:val="right"/>
              <w:textAlignment w:val="bottom"/>
            </w:pPr>
            <w:r>
              <w:rPr>
                <w:rFonts w:ascii="Arial" w:eastAsia="宋体" w:hAnsi="Arial" w:cs="Arial"/>
                <w:color w:val="000000"/>
                <w:sz w:val="18"/>
                <w:szCs w:val="18"/>
              </w:rPr>
              <w:t>2 </w:t>
            </w:r>
          </w:p>
        </w:tc>
        <w:tc>
          <w:tcPr>
            <w:tcW w:w="0" w:type="auto"/>
            <w:shd w:val="clear" w:color="auto" w:fill="E2E2E2"/>
            <w:tcMar>
              <w:top w:w="40" w:type="dxa"/>
              <w:left w:w="0" w:type="dxa"/>
              <w:bottom w:w="40" w:type="dxa"/>
              <w:right w:w="20" w:type="dxa"/>
            </w:tcMar>
            <w:vAlign w:val="bottom"/>
          </w:tcPr>
          <w:p w14:paraId="22CFC66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66B"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66C"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C66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66E"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66F"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C670" w14:textId="77777777" w:rsidR="002661BA" w:rsidRDefault="002661BA">
            <w:pPr>
              <w:jc w:val="right"/>
              <w:rPr>
                <w:rFonts w:ascii="宋体"/>
              </w:rPr>
            </w:pPr>
          </w:p>
        </w:tc>
      </w:tr>
      <w:tr w:rsidR="002661BA" w14:paraId="22CFC67E" w14:textId="77777777">
        <w:tc>
          <w:tcPr>
            <w:tcW w:w="0" w:type="auto"/>
            <w:gridSpan w:val="3"/>
            <w:shd w:val="clear" w:color="auto" w:fill="FFFFFF"/>
            <w:tcMar>
              <w:top w:w="40" w:type="dxa"/>
              <w:left w:w="245" w:type="dxa"/>
              <w:bottom w:w="40" w:type="dxa"/>
              <w:right w:w="20" w:type="dxa"/>
            </w:tcMar>
            <w:vAlign w:val="bottom"/>
          </w:tcPr>
          <w:p w14:paraId="22CFC672" w14:textId="77777777" w:rsidR="002661BA" w:rsidRDefault="00D972BC">
            <w:pPr>
              <w:textAlignment w:val="bottom"/>
            </w:pPr>
            <w:r>
              <w:rPr>
                <w:rFonts w:ascii="Arial" w:eastAsia="宋体" w:hAnsi="Arial" w:cs="Arial"/>
                <w:color w:val="000000"/>
                <w:sz w:val="18"/>
                <w:szCs w:val="18"/>
              </w:rPr>
              <w:t>Total gain (loss) recognized from interest rate derivative contracts in the consolidated statement of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67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674" w14:textId="77777777" w:rsidR="002661BA" w:rsidRDefault="00D972BC">
            <w:pPr>
              <w:jc w:val="right"/>
              <w:textAlignment w:val="bottom"/>
            </w:pPr>
            <w:r>
              <w:rPr>
                <w:rFonts w:ascii="Arial" w:eastAsia="宋体" w:hAnsi="Arial" w:cs="Arial"/>
                <w:color w:val="000000"/>
                <w:sz w:val="18"/>
                <w:szCs w:val="18"/>
              </w:rPr>
              <w:t>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67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676"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67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678"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67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67A"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67B"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67C"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67D" w14:textId="77777777" w:rsidR="002661BA" w:rsidRDefault="002661BA">
            <w:pPr>
              <w:jc w:val="right"/>
              <w:rPr>
                <w:rFonts w:ascii="宋体"/>
              </w:rPr>
            </w:pPr>
          </w:p>
        </w:tc>
      </w:tr>
    </w:tbl>
    <w:p w14:paraId="22CFC67F" w14:textId="77777777" w:rsidR="002661BA" w:rsidRDefault="002661BA">
      <w:pPr>
        <w:jc w:val="both"/>
      </w:pPr>
    </w:p>
    <w:p w14:paraId="22CFC680" w14:textId="77777777" w:rsidR="002661BA" w:rsidRDefault="00D972BC">
      <w:pPr>
        <w:spacing w:after="120"/>
        <w:ind w:firstLine="540"/>
      </w:pPr>
      <w:r>
        <w:rPr>
          <w:rFonts w:ascii="Arial" w:eastAsia="宋体" w:hAnsi="Arial" w:cs="Arial"/>
          <w:color w:val="000000"/>
          <w:sz w:val="20"/>
          <w:szCs w:val="20"/>
        </w:rPr>
        <w:t>The following table summarizes the total gain recognized in the consolidated statement of income due to changes in the fair value of the warrant for the 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37"/>
        <w:gridCol w:w="4877"/>
        <w:gridCol w:w="36"/>
        <w:gridCol w:w="121"/>
        <w:gridCol w:w="899"/>
        <w:gridCol w:w="36"/>
        <w:gridCol w:w="36"/>
        <w:gridCol w:w="36"/>
        <w:gridCol w:w="36"/>
        <w:gridCol w:w="121"/>
        <w:gridCol w:w="899"/>
        <w:gridCol w:w="36"/>
        <w:gridCol w:w="36"/>
        <w:gridCol w:w="36"/>
        <w:gridCol w:w="36"/>
        <w:gridCol w:w="121"/>
        <w:gridCol w:w="901"/>
        <w:gridCol w:w="36"/>
      </w:tblGrid>
      <w:tr w:rsidR="002661BA" w14:paraId="22CFC693" w14:textId="77777777">
        <w:tc>
          <w:tcPr>
            <w:tcW w:w="50" w:type="pct"/>
            <w:shd w:val="clear" w:color="auto" w:fill="auto"/>
            <w:vAlign w:val="bottom"/>
          </w:tcPr>
          <w:p w14:paraId="22CFC681" w14:textId="77777777" w:rsidR="002661BA" w:rsidRDefault="002661BA">
            <w:pPr>
              <w:rPr>
                <w:rFonts w:ascii="宋体"/>
              </w:rPr>
            </w:pPr>
          </w:p>
        </w:tc>
        <w:tc>
          <w:tcPr>
            <w:tcW w:w="2978" w:type="pct"/>
            <w:shd w:val="clear" w:color="auto" w:fill="auto"/>
            <w:vAlign w:val="bottom"/>
          </w:tcPr>
          <w:p w14:paraId="22CFC682" w14:textId="77777777" w:rsidR="002661BA" w:rsidRDefault="002661BA">
            <w:pPr>
              <w:rPr>
                <w:rFonts w:ascii="宋体"/>
              </w:rPr>
            </w:pPr>
          </w:p>
        </w:tc>
        <w:tc>
          <w:tcPr>
            <w:tcW w:w="5" w:type="pct"/>
            <w:shd w:val="clear" w:color="auto" w:fill="auto"/>
            <w:vAlign w:val="bottom"/>
          </w:tcPr>
          <w:p w14:paraId="22CFC683" w14:textId="77777777" w:rsidR="002661BA" w:rsidRDefault="002661BA">
            <w:pPr>
              <w:rPr>
                <w:rFonts w:ascii="宋体"/>
              </w:rPr>
            </w:pPr>
          </w:p>
        </w:tc>
        <w:tc>
          <w:tcPr>
            <w:tcW w:w="50" w:type="pct"/>
            <w:shd w:val="clear" w:color="auto" w:fill="auto"/>
            <w:vAlign w:val="bottom"/>
          </w:tcPr>
          <w:p w14:paraId="22CFC684" w14:textId="77777777" w:rsidR="002661BA" w:rsidRDefault="002661BA">
            <w:pPr>
              <w:rPr>
                <w:rFonts w:ascii="宋体"/>
              </w:rPr>
            </w:pPr>
          </w:p>
        </w:tc>
        <w:tc>
          <w:tcPr>
            <w:tcW w:w="580" w:type="pct"/>
            <w:shd w:val="clear" w:color="auto" w:fill="auto"/>
            <w:vAlign w:val="bottom"/>
          </w:tcPr>
          <w:p w14:paraId="22CFC685" w14:textId="77777777" w:rsidR="002661BA" w:rsidRDefault="002661BA">
            <w:pPr>
              <w:rPr>
                <w:rFonts w:ascii="宋体"/>
              </w:rPr>
            </w:pPr>
          </w:p>
        </w:tc>
        <w:tc>
          <w:tcPr>
            <w:tcW w:w="5" w:type="pct"/>
            <w:shd w:val="clear" w:color="auto" w:fill="auto"/>
            <w:vAlign w:val="bottom"/>
          </w:tcPr>
          <w:p w14:paraId="22CFC686" w14:textId="77777777" w:rsidR="002661BA" w:rsidRDefault="002661BA">
            <w:pPr>
              <w:rPr>
                <w:rFonts w:ascii="宋体"/>
              </w:rPr>
            </w:pPr>
          </w:p>
        </w:tc>
        <w:tc>
          <w:tcPr>
            <w:tcW w:w="5" w:type="pct"/>
            <w:shd w:val="clear" w:color="auto" w:fill="auto"/>
            <w:vAlign w:val="bottom"/>
          </w:tcPr>
          <w:p w14:paraId="22CFC687" w14:textId="77777777" w:rsidR="002661BA" w:rsidRDefault="002661BA">
            <w:pPr>
              <w:rPr>
                <w:rFonts w:ascii="宋体"/>
              </w:rPr>
            </w:pPr>
          </w:p>
        </w:tc>
        <w:tc>
          <w:tcPr>
            <w:tcW w:w="19" w:type="pct"/>
            <w:shd w:val="clear" w:color="auto" w:fill="auto"/>
            <w:vAlign w:val="bottom"/>
          </w:tcPr>
          <w:p w14:paraId="22CFC688" w14:textId="77777777" w:rsidR="002661BA" w:rsidRDefault="002661BA">
            <w:pPr>
              <w:rPr>
                <w:rFonts w:ascii="宋体"/>
              </w:rPr>
            </w:pPr>
          </w:p>
        </w:tc>
        <w:tc>
          <w:tcPr>
            <w:tcW w:w="5" w:type="pct"/>
            <w:shd w:val="clear" w:color="auto" w:fill="auto"/>
            <w:vAlign w:val="bottom"/>
          </w:tcPr>
          <w:p w14:paraId="22CFC689" w14:textId="77777777" w:rsidR="002661BA" w:rsidRDefault="002661BA">
            <w:pPr>
              <w:rPr>
                <w:rFonts w:ascii="宋体"/>
              </w:rPr>
            </w:pPr>
          </w:p>
        </w:tc>
        <w:tc>
          <w:tcPr>
            <w:tcW w:w="50" w:type="pct"/>
            <w:shd w:val="clear" w:color="auto" w:fill="auto"/>
            <w:vAlign w:val="bottom"/>
          </w:tcPr>
          <w:p w14:paraId="22CFC68A" w14:textId="77777777" w:rsidR="002661BA" w:rsidRDefault="002661BA">
            <w:pPr>
              <w:rPr>
                <w:rFonts w:ascii="宋体"/>
              </w:rPr>
            </w:pPr>
          </w:p>
        </w:tc>
        <w:tc>
          <w:tcPr>
            <w:tcW w:w="580" w:type="pct"/>
            <w:shd w:val="clear" w:color="auto" w:fill="auto"/>
            <w:vAlign w:val="bottom"/>
          </w:tcPr>
          <w:p w14:paraId="22CFC68B" w14:textId="77777777" w:rsidR="002661BA" w:rsidRDefault="002661BA">
            <w:pPr>
              <w:rPr>
                <w:rFonts w:ascii="宋体"/>
              </w:rPr>
            </w:pPr>
          </w:p>
        </w:tc>
        <w:tc>
          <w:tcPr>
            <w:tcW w:w="5" w:type="pct"/>
            <w:shd w:val="clear" w:color="auto" w:fill="auto"/>
            <w:vAlign w:val="bottom"/>
          </w:tcPr>
          <w:p w14:paraId="22CFC68C" w14:textId="77777777" w:rsidR="002661BA" w:rsidRDefault="002661BA">
            <w:pPr>
              <w:rPr>
                <w:rFonts w:ascii="宋体"/>
              </w:rPr>
            </w:pPr>
          </w:p>
        </w:tc>
        <w:tc>
          <w:tcPr>
            <w:tcW w:w="5" w:type="pct"/>
            <w:shd w:val="clear" w:color="auto" w:fill="auto"/>
            <w:vAlign w:val="bottom"/>
          </w:tcPr>
          <w:p w14:paraId="22CFC68D" w14:textId="77777777" w:rsidR="002661BA" w:rsidRDefault="002661BA">
            <w:pPr>
              <w:rPr>
                <w:rFonts w:ascii="宋体"/>
              </w:rPr>
            </w:pPr>
          </w:p>
        </w:tc>
        <w:tc>
          <w:tcPr>
            <w:tcW w:w="19" w:type="pct"/>
            <w:shd w:val="clear" w:color="auto" w:fill="auto"/>
            <w:vAlign w:val="bottom"/>
          </w:tcPr>
          <w:p w14:paraId="22CFC68E" w14:textId="77777777" w:rsidR="002661BA" w:rsidRDefault="002661BA">
            <w:pPr>
              <w:rPr>
                <w:rFonts w:ascii="宋体"/>
              </w:rPr>
            </w:pPr>
          </w:p>
        </w:tc>
        <w:tc>
          <w:tcPr>
            <w:tcW w:w="5" w:type="pct"/>
            <w:shd w:val="clear" w:color="auto" w:fill="auto"/>
            <w:vAlign w:val="bottom"/>
          </w:tcPr>
          <w:p w14:paraId="22CFC68F" w14:textId="77777777" w:rsidR="002661BA" w:rsidRDefault="002661BA">
            <w:pPr>
              <w:rPr>
                <w:rFonts w:ascii="宋体"/>
              </w:rPr>
            </w:pPr>
          </w:p>
        </w:tc>
        <w:tc>
          <w:tcPr>
            <w:tcW w:w="50" w:type="pct"/>
            <w:shd w:val="clear" w:color="auto" w:fill="auto"/>
            <w:vAlign w:val="bottom"/>
          </w:tcPr>
          <w:p w14:paraId="22CFC690" w14:textId="77777777" w:rsidR="002661BA" w:rsidRDefault="002661BA">
            <w:pPr>
              <w:rPr>
                <w:rFonts w:ascii="宋体"/>
              </w:rPr>
            </w:pPr>
          </w:p>
        </w:tc>
        <w:tc>
          <w:tcPr>
            <w:tcW w:w="581" w:type="pct"/>
            <w:shd w:val="clear" w:color="auto" w:fill="auto"/>
            <w:vAlign w:val="bottom"/>
          </w:tcPr>
          <w:p w14:paraId="22CFC691" w14:textId="77777777" w:rsidR="002661BA" w:rsidRDefault="002661BA">
            <w:pPr>
              <w:rPr>
                <w:rFonts w:ascii="宋体"/>
              </w:rPr>
            </w:pPr>
          </w:p>
        </w:tc>
        <w:tc>
          <w:tcPr>
            <w:tcW w:w="5" w:type="pct"/>
            <w:shd w:val="clear" w:color="auto" w:fill="auto"/>
            <w:vAlign w:val="bottom"/>
          </w:tcPr>
          <w:p w14:paraId="22CFC692" w14:textId="77777777" w:rsidR="002661BA" w:rsidRDefault="002661BA">
            <w:pPr>
              <w:rPr>
                <w:rFonts w:ascii="宋体"/>
              </w:rPr>
            </w:pPr>
          </w:p>
        </w:tc>
      </w:tr>
      <w:tr w:rsidR="002661BA" w14:paraId="22CFC696" w14:textId="77777777">
        <w:tc>
          <w:tcPr>
            <w:tcW w:w="0" w:type="auto"/>
            <w:gridSpan w:val="3"/>
            <w:shd w:val="clear" w:color="auto" w:fill="auto"/>
            <w:tcMar>
              <w:top w:w="0" w:type="dxa"/>
              <w:left w:w="20" w:type="dxa"/>
              <w:bottom w:w="0" w:type="dxa"/>
              <w:right w:w="20" w:type="dxa"/>
            </w:tcMar>
            <w:vAlign w:val="bottom"/>
          </w:tcPr>
          <w:p w14:paraId="22CFC694" w14:textId="77777777" w:rsidR="002661BA" w:rsidRDefault="002661BA">
            <w:pPr>
              <w:rPr>
                <w:rFonts w:ascii="宋体"/>
              </w:rPr>
            </w:pPr>
          </w:p>
        </w:tc>
        <w:tc>
          <w:tcPr>
            <w:tcW w:w="0" w:type="auto"/>
            <w:gridSpan w:val="15"/>
            <w:shd w:val="clear" w:color="auto" w:fill="auto"/>
            <w:tcMar>
              <w:top w:w="40" w:type="dxa"/>
              <w:left w:w="20" w:type="dxa"/>
              <w:bottom w:w="40" w:type="dxa"/>
              <w:right w:w="20" w:type="dxa"/>
            </w:tcMar>
            <w:vAlign w:val="bottom"/>
          </w:tcPr>
          <w:p w14:paraId="22CFC695"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C69D" w14:textId="77777777">
        <w:tc>
          <w:tcPr>
            <w:tcW w:w="0" w:type="auto"/>
            <w:gridSpan w:val="3"/>
            <w:shd w:val="clear" w:color="auto" w:fill="auto"/>
            <w:tcMar>
              <w:top w:w="40" w:type="dxa"/>
              <w:left w:w="20" w:type="dxa"/>
              <w:bottom w:w="40" w:type="dxa"/>
              <w:right w:w="20" w:type="dxa"/>
            </w:tcMar>
            <w:vAlign w:val="bottom"/>
          </w:tcPr>
          <w:p w14:paraId="22CFC697" w14:textId="77777777" w:rsidR="002661BA" w:rsidRDefault="00D972BC">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698"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699"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69A"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69B"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69C"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C6AA" w14:textId="77777777">
        <w:tc>
          <w:tcPr>
            <w:tcW w:w="0" w:type="auto"/>
            <w:gridSpan w:val="3"/>
            <w:shd w:val="clear" w:color="auto" w:fill="E2E2E2"/>
            <w:tcMar>
              <w:top w:w="40" w:type="dxa"/>
              <w:left w:w="20" w:type="dxa"/>
              <w:bottom w:w="40" w:type="dxa"/>
              <w:right w:w="20" w:type="dxa"/>
            </w:tcMar>
            <w:vAlign w:val="bottom"/>
          </w:tcPr>
          <w:p w14:paraId="22CFC69E" w14:textId="77777777" w:rsidR="002661BA" w:rsidRDefault="00D972BC">
            <w:pPr>
              <w:textAlignment w:val="bottom"/>
            </w:pPr>
            <w:r>
              <w:rPr>
                <w:rFonts w:ascii="Arial" w:eastAsia="宋体" w:hAnsi="Arial" w:cs="Arial"/>
                <w:color w:val="000000"/>
                <w:sz w:val="18"/>
                <w:szCs w:val="18"/>
              </w:rPr>
              <w:t>Gain attributable to changes in the fair value of warrant recognized in gain (loss) on equity investments and warrant, net</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C69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6A0" w14:textId="77777777" w:rsidR="002661BA" w:rsidRDefault="00D972BC">
            <w:pPr>
              <w:jc w:val="right"/>
              <w:textAlignment w:val="bottom"/>
            </w:pPr>
            <w:r>
              <w:rPr>
                <w:rFonts w:ascii="Arial" w:eastAsia="宋体" w:hAnsi="Arial" w:cs="Arial"/>
                <w:color w:val="000000"/>
                <w:sz w:val="18"/>
                <w:szCs w:val="18"/>
              </w:rPr>
              <w:t>354 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6A1"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6A2"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6A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6A4" w14:textId="77777777" w:rsidR="002661BA" w:rsidRDefault="00D972BC">
            <w:pPr>
              <w:jc w:val="right"/>
              <w:textAlignment w:val="bottom"/>
            </w:pPr>
            <w:r>
              <w:rPr>
                <w:rFonts w:ascii="Arial" w:eastAsia="宋体" w:hAnsi="Arial" w:cs="Arial"/>
                <w:color w:val="000000"/>
                <w:sz w:val="18"/>
                <w:szCs w:val="18"/>
              </w:rPr>
              <w:t>770 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6A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6A6"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6A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6A8" w14:textId="77777777" w:rsidR="002661BA" w:rsidRDefault="00D972BC">
            <w:pPr>
              <w:jc w:val="right"/>
              <w:textAlignment w:val="bottom"/>
            </w:pPr>
            <w:r>
              <w:rPr>
                <w:rFonts w:ascii="Arial" w:eastAsia="宋体" w:hAnsi="Arial" w:cs="Arial"/>
                <w:color w:val="000000"/>
                <w:sz w:val="18"/>
                <w:szCs w:val="18"/>
              </w:rPr>
              <w:t>133 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6A9" w14:textId="77777777" w:rsidR="002661BA" w:rsidRDefault="002661BA">
            <w:pPr>
              <w:jc w:val="right"/>
              <w:rPr>
                <w:rFonts w:ascii="宋体"/>
              </w:rPr>
            </w:pPr>
          </w:p>
        </w:tc>
      </w:tr>
    </w:tbl>
    <w:p w14:paraId="22CFC6AB" w14:textId="77777777" w:rsidR="002661BA" w:rsidRDefault="002661BA">
      <w:pPr>
        <w:jc w:val="both"/>
      </w:pPr>
    </w:p>
    <w:p w14:paraId="22CFC6AC" w14:textId="77777777" w:rsidR="002661BA" w:rsidRDefault="00D972BC">
      <w:pPr>
        <w:jc w:val="both"/>
      </w:pPr>
      <w:r>
        <w:rPr>
          <w:rFonts w:ascii="Arial" w:eastAsia="宋体" w:hAnsi="Arial" w:cs="Arial"/>
          <w:b/>
          <w:bCs/>
          <w:i/>
          <w:iCs/>
          <w:color w:val="000000"/>
          <w:sz w:val="20"/>
          <w:szCs w:val="20"/>
        </w:rPr>
        <w:t>Notional Amounts of Derivative Contracts</w:t>
      </w:r>
    </w:p>
    <w:p w14:paraId="22CFC6AD" w14:textId="77777777" w:rsidR="002661BA" w:rsidRDefault="002661BA">
      <w:pPr>
        <w:ind w:firstLine="540"/>
        <w:jc w:val="both"/>
      </w:pPr>
    </w:p>
    <w:p w14:paraId="22CFC6AE" w14:textId="77777777" w:rsidR="002661BA" w:rsidRDefault="00D972BC">
      <w:pPr>
        <w:spacing w:after="120"/>
        <w:ind w:firstLine="540"/>
        <w:jc w:val="both"/>
      </w:pPr>
      <w:r>
        <w:rPr>
          <w:rFonts w:ascii="Arial" w:eastAsia="宋体" w:hAnsi="Arial" w:cs="Arial"/>
          <w:color w:val="000000"/>
          <w:sz w:val="20"/>
          <w:szCs w:val="20"/>
        </w:rPr>
        <w:t>Derivative transactions are measured in terms of the notional amount, but this amount is not recorded on the balance sheet and is not, when viewed in isolation, a meaningful measur</w:t>
      </w:r>
      <w:r>
        <w:rPr>
          <w:rFonts w:ascii="Arial" w:eastAsia="宋体" w:hAnsi="Arial" w:cs="Arial"/>
          <w:color w:val="000000"/>
          <w:sz w:val="20"/>
          <w:szCs w:val="20"/>
        </w:rPr>
        <w:t xml:space="preserve">e of the risk profile of the instruments. The notional amount is generally not exchanged, but is used only as the basis on which the value of foreign exchange payments under these contracts are determined. The following table presents the notional amounts </w:t>
      </w:r>
      <w:r>
        <w:rPr>
          <w:rFonts w:ascii="Arial" w:eastAsia="宋体" w:hAnsi="Arial" w:cs="Arial"/>
          <w:color w:val="000000"/>
          <w:sz w:val="20"/>
          <w:szCs w:val="20"/>
        </w:rPr>
        <w:t>of our outstanding derivatives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5851"/>
        <w:gridCol w:w="36"/>
        <w:gridCol w:w="121"/>
        <w:gridCol w:w="886"/>
        <w:gridCol w:w="36"/>
        <w:gridCol w:w="36"/>
        <w:gridCol w:w="36"/>
        <w:gridCol w:w="36"/>
        <w:gridCol w:w="121"/>
        <w:gridCol w:w="888"/>
        <w:gridCol w:w="36"/>
        <w:gridCol w:w="36"/>
        <w:gridCol w:w="36"/>
        <w:gridCol w:w="36"/>
        <w:gridCol w:w="36"/>
        <w:gridCol w:w="36"/>
        <w:gridCol w:w="36"/>
      </w:tblGrid>
      <w:tr w:rsidR="002661BA" w14:paraId="22CFC6BD" w14:textId="77777777">
        <w:tc>
          <w:tcPr>
            <w:tcW w:w="50" w:type="pct"/>
            <w:shd w:val="clear" w:color="auto" w:fill="auto"/>
            <w:vAlign w:val="bottom"/>
          </w:tcPr>
          <w:p w14:paraId="22CFC6AF" w14:textId="77777777" w:rsidR="002661BA" w:rsidRDefault="002661BA">
            <w:pPr>
              <w:rPr>
                <w:rFonts w:ascii="宋体"/>
              </w:rPr>
            </w:pPr>
          </w:p>
        </w:tc>
        <w:tc>
          <w:tcPr>
            <w:tcW w:w="3643" w:type="pct"/>
            <w:shd w:val="clear" w:color="auto" w:fill="auto"/>
            <w:vAlign w:val="bottom"/>
          </w:tcPr>
          <w:p w14:paraId="22CFC6B0" w14:textId="77777777" w:rsidR="002661BA" w:rsidRDefault="002661BA">
            <w:pPr>
              <w:rPr>
                <w:rFonts w:ascii="宋体"/>
              </w:rPr>
            </w:pPr>
          </w:p>
        </w:tc>
        <w:tc>
          <w:tcPr>
            <w:tcW w:w="5" w:type="pct"/>
            <w:shd w:val="clear" w:color="auto" w:fill="auto"/>
            <w:vAlign w:val="bottom"/>
          </w:tcPr>
          <w:p w14:paraId="22CFC6B1" w14:textId="77777777" w:rsidR="002661BA" w:rsidRDefault="002661BA">
            <w:pPr>
              <w:rPr>
                <w:rFonts w:ascii="宋体"/>
              </w:rPr>
            </w:pPr>
          </w:p>
        </w:tc>
        <w:tc>
          <w:tcPr>
            <w:tcW w:w="50" w:type="pct"/>
            <w:shd w:val="clear" w:color="auto" w:fill="auto"/>
            <w:vAlign w:val="bottom"/>
          </w:tcPr>
          <w:p w14:paraId="22CFC6B2" w14:textId="77777777" w:rsidR="002661BA" w:rsidRDefault="002661BA">
            <w:pPr>
              <w:rPr>
                <w:rFonts w:ascii="宋体"/>
              </w:rPr>
            </w:pPr>
          </w:p>
        </w:tc>
        <w:tc>
          <w:tcPr>
            <w:tcW w:w="580" w:type="pct"/>
            <w:shd w:val="clear" w:color="auto" w:fill="auto"/>
            <w:vAlign w:val="bottom"/>
          </w:tcPr>
          <w:p w14:paraId="22CFC6B3" w14:textId="77777777" w:rsidR="002661BA" w:rsidRDefault="002661BA">
            <w:pPr>
              <w:rPr>
                <w:rFonts w:ascii="宋体"/>
              </w:rPr>
            </w:pPr>
          </w:p>
        </w:tc>
        <w:tc>
          <w:tcPr>
            <w:tcW w:w="5" w:type="pct"/>
            <w:shd w:val="clear" w:color="auto" w:fill="auto"/>
            <w:vAlign w:val="bottom"/>
          </w:tcPr>
          <w:p w14:paraId="22CFC6B4" w14:textId="77777777" w:rsidR="002661BA" w:rsidRDefault="002661BA">
            <w:pPr>
              <w:rPr>
                <w:rFonts w:ascii="宋体"/>
              </w:rPr>
            </w:pPr>
          </w:p>
        </w:tc>
        <w:tc>
          <w:tcPr>
            <w:tcW w:w="5" w:type="pct"/>
            <w:shd w:val="clear" w:color="auto" w:fill="auto"/>
            <w:vAlign w:val="bottom"/>
          </w:tcPr>
          <w:p w14:paraId="22CFC6B5" w14:textId="77777777" w:rsidR="002661BA" w:rsidRDefault="002661BA">
            <w:pPr>
              <w:rPr>
                <w:rFonts w:ascii="宋体"/>
              </w:rPr>
            </w:pPr>
          </w:p>
        </w:tc>
        <w:tc>
          <w:tcPr>
            <w:tcW w:w="19" w:type="pct"/>
            <w:shd w:val="clear" w:color="auto" w:fill="auto"/>
            <w:vAlign w:val="bottom"/>
          </w:tcPr>
          <w:p w14:paraId="22CFC6B6" w14:textId="77777777" w:rsidR="002661BA" w:rsidRDefault="002661BA">
            <w:pPr>
              <w:rPr>
                <w:rFonts w:ascii="宋体"/>
              </w:rPr>
            </w:pPr>
          </w:p>
        </w:tc>
        <w:tc>
          <w:tcPr>
            <w:tcW w:w="5" w:type="pct"/>
            <w:shd w:val="clear" w:color="auto" w:fill="auto"/>
            <w:vAlign w:val="bottom"/>
          </w:tcPr>
          <w:p w14:paraId="22CFC6B7" w14:textId="77777777" w:rsidR="002661BA" w:rsidRDefault="002661BA">
            <w:pPr>
              <w:rPr>
                <w:rFonts w:ascii="宋体"/>
              </w:rPr>
            </w:pPr>
          </w:p>
        </w:tc>
        <w:tc>
          <w:tcPr>
            <w:tcW w:w="50" w:type="pct"/>
            <w:shd w:val="clear" w:color="auto" w:fill="auto"/>
            <w:vAlign w:val="bottom"/>
          </w:tcPr>
          <w:p w14:paraId="22CFC6B8" w14:textId="77777777" w:rsidR="002661BA" w:rsidRDefault="002661BA">
            <w:pPr>
              <w:rPr>
                <w:rFonts w:ascii="宋体"/>
              </w:rPr>
            </w:pPr>
          </w:p>
        </w:tc>
        <w:tc>
          <w:tcPr>
            <w:tcW w:w="581" w:type="pct"/>
            <w:shd w:val="clear" w:color="auto" w:fill="auto"/>
            <w:vAlign w:val="bottom"/>
          </w:tcPr>
          <w:p w14:paraId="22CFC6B9" w14:textId="77777777" w:rsidR="002661BA" w:rsidRDefault="002661BA">
            <w:pPr>
              <w:rPr>
                <w:rFonts w:ascii="宋体"/>
              </w:rPr>
            </w:pPr>
          </w:p>
        </w:tc>
        <w:tc>
          <w:tcPr>
            <w:tcW w:w="5" w:type="pct"/>
            <w:shd w:val="clear" w:color="auto" w:fill="auto"/>
            <w:vAlign w:val="bottom"/>
          </w:tcPr>
          <w:p w14:paraId="22CFC6BA" w14:textId="77777777" w:rsidR="002661BA" w:rsidRDefault="002661BA">
            <w:pPr>
              <w:rPr>
                <w:rFonts w:ascii="宋体"/>
              </w:rPr>
            </w:pPr>
          </w:p>
        </w:tc>
        <w:tc>
          <w:tcPr>
            <w:tcW w:w="0" w:type="auto"/>
            <w:gridSpan w:val="3"/>
            <w:shd w:val="clear" w:color="auto" w:fill="auto"/>
            <w:vAlign w:val="bottom"/>
          </w:tcPr>
          <w:p w14:paraId="22CFC6BB" w14:textId="77777777" w:rsidR="002661BA" w:rsidRDefault="002661BA">
            <w:pPr>
              <w:rPr>
                <w:rFonts w:ascii="宋体"/>
                <w:vanish/>
              </w:rPr>
            </w:pPr>
          </w:p>
        </w:tc>
        <w:tc>
          <w:tcPr>
            <w:tcW w:w="0" w:type="auto"/>
            <w:gridSpan w:val="3"/>
            <w:shd w:val="clear" w:color="auto" w:fill="auto"/>
            <w:vAlign w:val="bottom"/>
          </w:tcPr>
          <w:p w14:paraId="22CFC6BC" w14:textId="77777777" w:rsidR="002661BA" w:rsidRDefault="002661BA">
            <w:pPr>
              <w:rPr>
                <w:rFonts w:ascii="宋体"/>
                <w:vanish/>
              </w:rPr>
            </w:pPr>
          </w:p>
        </w:tc>
      </w:tr>
      <w:tr w:rsidR="002661BA" w14:paraId="22CFC6C6" w14:textId="77777777">
        <w:tc>
          <w:tcPr>
            <w:tcW w:w="0" w:type="auto"/>
            <w:gridSpan w:val="3"/>
            <w:shd w:val="clear" w:color="auto" w:fill="auto"/>
            <w:tcMar>
              <w:top w:w="0" w:type="dxa"/>
              <w:left w:w="20" w:type="dxa"/>
              <w:bottom w:w="0" w:type="dxa"/>
              <w:right w:w="20" w:type="dxa"/>
            </w:tcMar>
            <w:vAlign w:val="bottom"/>
          </w:tcPr>
          <w:p w14:paraId="22CFC6BE"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C6BF" w14:textId="77777777" w:rsidR="002661BA" w:rsidRDefault="00D972BC">
            <w:pPr>
              <w:jc w:val="center"/>
              <w:textAlignment w:val="bottom"/>
            </w:pPr>
            <w:r>
              <w:rPr>
                <w:rFonts w:ascii="Arial" w:eastAsia="宋体" w:hAnsi="Arial" w:cs="Arial"/>
                <w:b/>
                <w:bCs/>
                <w:color w:val="000000"/>
                <w:sz w:val="17"/>
                <w:szCs w:val="17"/>
              </w:rPr>
              <w:t>December 31,</w:t>
            </w:r>
          </w:p>
        </w:tc>
        <w:tc>
          <w:tcPr>
            <w:tcW w:w="0" w:type="auto"/>
            <w:shd w:val="clear" w:color="auto" w:fill="auto"/>
            <w:vAlign w:val="bottom"/>
          </w:tcPr>
          <w:p w14:paraId="22CFC6C0" w14:textId="77777777" w:rsidR="002661BA" w:rsidRDefault="002661BA">
            <w:pPr>
              <w:rPr>
                <w:rFonts w:ascii="宋体"/>
              </w:rPr>
            </w:pPr>
          </w:p>
        </w:tc>
        <w:tc>
          <w:tcPr>
            <w:tcW w:w="0" w:type="auto"/>
            <w:shd w:val="clear" w:color="auto" w:fill="auto"/>
            <w:vAlign w:val="bottom"/>
          </w:tcPr>
          <w:p w14:paraId="22CFC6C1" w14:textId="77777777" w:rsidR="002661BA" w:rsidRDefault="002661BA">
            <w:pPr>
              <w:rPr>
                <w:rFonts w:ascii="宋体"/>
              </w:rPr>
            </w:pPr>
          </w:p>
        </w:tc>
        <w:tc>
          <w:tcPr>
            <w:tcW w:w="0" w:type="auto"/>
            <w:shd w:val="clear" w:color="auto" w:fill="auto"/>
            <w:vAlign w:val="bottom"/>
          </w:tcPr>
          <w:p w14:paraId="22CFC6C2" w14:textId="77777777" w:rsidR="002661BA" w:rsidRDefault="002661BA">
            <w:pPr>
              <w:rPr>
                <w:rFonts w:ascii="宋体"/>
              </w:rPr>
            </w:pPr>
          </w:p>
        </w:tc>
        <w:tc>
          <w:tcPr>
            <w:tcW w:w="0" w:type="auto"/>
            <w:shd w:val="clear" w:color="auto" w:fill="auto"/>
            <w:vAlign w:val="bottom"/>
          </w:tcPr>
          <w:p w14:paraId="22CFC6C3" w14:textId="77777777" w:rsidR="002661BA" w:rsidRDefault="002661BA">
            <w:pPr>
              <w:rPr>
                <w:rFonts w:ascii="宋体"/>
              </w:rPr>
            </w:pPr>
          </w:p>
        </w:tc>
        <w:tc>
          <w:tcPr>
            <w:tcW w:w="0" w:type="auto"/>
            <w:shd w:val="clear" w:color="auto" w:fill="auto"/>
            <w:vAlign w:val="bottom"/>
          </w:tcPr>
          <w:p w14:paraId="22CFC6C4" w14:textId="77777777" w:rsidR="002661BA" w:rsidRDefault="002661BA">
            <w:pPr>
              <w:rPr>
                <w:rFonts w:ascii="宋体"/>
              </w:rPr>
            </w:pPr>
          </w:p>
        </w:tc>
        <w:tc>
          <w:tcPr>
            <w:tcW w:w="0" w:type="auto"/>
            <w:shd w:val="clear" w:color="auto" w:fill="auto"/>
            <w:vAlign w:val="bottom"/>
          </w:tcPr>
          <w:p w14:paraId="22CFC6C5" w14:textId="77777777" w:rsidR="002661BA" w:rsidRDefault="002661BA">
            <w:pPr>
              <w:rPr>
                <w:rFonts w:ascii="宋体"/>
              </w:rPr>
            </w:pPr>
          </w:p>
        </w:tc>
      </w:tr>
      <w:tr w:rsidR="002661BA" w14:paraId="22CFC6CD" w14:textId="77777777">
        <w:tc>
          <w:tcPr>
            <w:tcW w:w="0" w:type="auto"/>
            <w:gridSpan w:val="3"/>
            <w:shd w:val="clear" w:color="auto" w:fill="auto"/>
            <w:tcMar>
              <w:top w:w="0" w:type="dxa"/>
              <w:left w:w="20" w:type="dxa"/>
              <w:bottom w:w="0" w:type="dxa"/>
              <w:right w:w="20" w:type="dxa"/>
            </w:tcMar>
            <w:vAlign w:val="bottom"/>
          </w:tcPr>
          <w:p w14:paraId="22CFC6C7"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6C8"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6C9"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6CA"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shd w:val="clear" w:color="auto" w:fill="auto"/>
            <w:vAlign w:val="bottom"/>
          </w:tcPr>
          <w:p w14:paraId="22CFC6CB" w14:textId="77777777" w:rsidR="002661BA" w:rsidRDefault="002661BA">
            <w:pPr>
              <w:rPr>
                <w:rFonts w:ascii="宋体"/>
                <w:vanish/>
              </w:rPr>
            </w:pPr>
          </w:p>
        </w:tc>
        <w:tc>
          <w:tcPr>
            <w:tcW w:w="0" w:type="auto"/>
            <w:gridSpan w:val="3"/>
            <w:shd w:val="clear" w:color="auto" w:fill="auto"/>
            <w:vAlign w:val="bottom"/>
          </w:tcPr>
          <w:p w14:paraId="22CFC6CC" w14:textId="77777777" w:rsidR="002661BA" w:rsidRDefault="002661BA">
            <w:pPr>
              <w:rPr>
                <w:rFonts w:ascii="宋体"/>
                <w:vanish/>
              </w:rPr>
            </w:pPr>
          </w:p>
        </w:tc>
      </w:tr>
      <w:tr w:rsidR="002661BA" w14:paraId="22CFC6D8" w14:textId="77777777">
        <w:tc>
          <w:tcPr>
            <w:tcW w:w="0" w:type="auto"/>
            <w:gridSpan w:val="3"/>
            <w:shd w:val="clear" w:color="auto" w:fill="E2E2E2"/>
            <w:tcMar>
              <w:top w:w="40" w:type="dxa"/>
              <w:left w:w="20" w:type="dxa"/>
              <w:bottom w:w="40" w:type="dxa"/>
              <w:right w:w="20" w:type="dxa"/>
            </w:tcMar>
            <w:vAlign w:val="bottom"/>
          </w:tcPr>
          <w:p w14:paraId="22CFC6CE" w14:textId="77777777" w:rsidR="002661BA" w:rsidRDefault="00D972BC">
            <w:pPr>
              <w:textAlignment w:val="bottom"/>
            </w:pPr>
            <w:r>
              <w:rPr>
                <w:rFonts w:ascii="Arial" w:eastAsia="宋体" w:hAnsi="Arial" w:cs="Arial"/>
                <w:color w:val="000000"/>
                <w:sz w:val="18"/>
                <w:szCs w:val="18"/>
              </w:rPr>
              <w:t>Foreign exchange contracts designated as cash flow hedges</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C6C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6D0" w14:textId="77777777" w:rsidR="002661BA" w:rsidRDefault="00D972BC">
            <w:pPr>
              <w:jc w:val="right"/>
              <w:textAlignment w:val="bottom"/>
            </w:pPr>
            <w:r>
              <w:rPr>
                <w:rFonts w:ascii="Arial" w:eastAsia="宋体" w:hAnsi="Arial" w:cs="Arial"/>
                <w:color w:val="000000"/>
                <w:sz w:val="18"/>
                <w:szCs w:val="18"/>
              </w:rPr>
              <w:t>2,066 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6D1"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6D2"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6D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6D4" w14:textId="77777777" w:rsidR="002661BA" w:rsidRDefault="00D972BC">
            <w:pPr>
              <w:jc w:val="right"/>
              <w:textAlignment w:val="bottom"/>
            </w:pPr>
            <w:r>
              <w:rPr>
                <w:rFonts w:ascii="Arial" w:eastAsia="宋体" w:hAnsi="Arial" w:cs="Arial"/>
                <w:color w:val="000000"/>
                <w:sz w:val="18"/>
                <w:szCs w:val="18"/>
              </w:rPr>
              <w:t>2,305 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6D5" w14:textId="77777777" w:rsidR="002661BA" w:rsidRDefault="002661BA">
            <w:pPr>
              <w:jc w:val="right"/>
              <w:rPr>
                <w:rFonts w:ascii="宋体"/>
              </w:rPr>
            </w:pPr>
          </w:p>
        </w:tc>
        <w:tc>
          <w:tcPr>
            <w:tcW w:w="0" w:type="auto"/>
            <w:gridSpan w:val="3"/>
            <w:shd w:val="clear" w:color="auto" w:fill="auto"/>
            <w:vAlign w:val="bottom"/>
          </w:tcPr>
          <w:p w14:paraId="22CFC6D6" w14:textId="77777777" w:rsidR="002661BA" w:rsidRDefault="002661BA">
            <w:pPr>
              <w:rPr>
                <w:rFonts w:ascii="宋体"/>
                <w:vanish/>
              </w:rPr>
            </w:pPr>
          </w:p>
        </w:tc>
        <w:tc>
          <w:tcPr>
            <w:tcW w:w="0" w:type="auto"/>
            <w:gridSpan w:val="3"/>
            <w:shd w:val="clear" w:color="auto" w:fill="auto"/>
            <w:vAlign w:val="bottom"/>
          </w:tcPr>
          <w:p w14:paraId="22CFC6D7" w14:textId="77777777" w:rsidR="002661BA" w:rsidRDefault="002661BA">
            <w:pPr>
              <w:rPr>
                <w:rFonts w:ascii="宋体"/>
                <w:vanish/>
              </w:rPr>
            </w:pPr>
          </w:p>
        </w:tc>
      </w:tr>
      <w:tr w:rsidR="002661BA" w14:paraId="22CFC6DF" w14:textId="77777777">
        <w:trPr>
          <w:hidden/>
        </w:trPr>
        <w:tc>
          <w:tcPr>
            <w:tcW w:w="0" w:type="auto"/>
            <w:gridSpan w:val="3"/>
            <w:shd w:val="clear" w:color="auto" w:fill="auto"/>
            <w:vAlign w:val="bottom"/>
          </w:tcPr>
          <w:p w14:paraId="22CFC6D9" w14:textId="77777777" w:rsidR="002661BA" w:rsidRDefault="002661BA">
            <w:pPr>
              <w:rPr>
                <w:rFonts w:ascii="宋体"/>
                <w:vanish/>
              </w:rPr>
            </w:pPr>
          </w:p>
        </w:tc>
        <w:tc>
          <w:tcPr>
            <w:tcW w:w="0" w:type="auto"/>
            <w:gridSpan w:val="3"/>
            <w:shd w:val="clear" w:color="auto" w:fill="auto"/>
            <w:vAlign w:val="bottom"/>
          </w:tcPr>
          <w:p w14:paraId="22CFC6DA" w14:textId="77777777" w:rsidR="002661BA" w:rsidRDefault="002661BA">
            <w:pPr>
              <w:rPr>
                <w:rFonts w:ascii="宋体"/>
                <w:vanish/>
              </w:rPr>
            </w:pPr>
          </w:p>
        </w:tc>
        <w:tc>
          <w:tcPr>
            <w:tcW w:w="0" w:type="auto"/>
            <w:gridSpan w:val="3"/>
            <w:shd w:val="clear" w:color="auto" w:fill="auto"/>
            <w:vAlign w:val="bottom"/>
          </w:tcPr>
          <w:p w14:paraId="22CFC6DB" w14:textId="77777777" w:rsidR="002661BA" w:rsidRDefault="002661BA">
            <w:pPr>
              <w:rPr>
                <w:rFonts w:ascii="宋体"/>
                <w:vanish/>
              </w:rPr>
            </w:pPr>
          </w:p>
        </w:tc>
        <w:tc>
          <w:tcPr>
            <w:tcW w:w="0" w:type="auto"/>
            <w:gridSpan w:val="3"/>
            <w:shd w:val="clear" w:color="auto" w:fill="auto"/>
            <w:vAlign w:val="bottom"/>
          </w:tcPr>
          <w:p w14:paraId="22CFC6DC" w14:textId="77777777" w:rsidR="002661BA" w:rsidRDefault="002661BA">
            <w:pPr>
              <w:rPr>
                <w:rFonts w:ascii="宋体"/>
                <w:vanish/>
              </w:rPr>
            </w:pPr>
          </w:p>
        </w:tc>
        <w:tc>
          <w:tcPr>
            <w:tcW w:w="0" w:type="auto"/>
            <w:gridSpan w:val="3"/>
            <w:shd w:val="clear" w:color="auto" w:fill="auto"/>
            <w:vAlign w:val="bottom"/>
          </w:tcPr>
          <w:p w14:paraId="22CFC6DD" w14:textId="77777777" w:rsidR="002661BA" w:rsidRDefault="002661BA">
            <w:pPr>
              <w:rPr>
                <w:rFonts w:ascii="宋体"/>
                <w:vanish/>
              </w:rPr>
            </w:pPr>
          </w:p>
        </w:tc>
        <w:tc>
          <w:tcPr>
            <w:tcW w:w="0" w:type="auto"/>
            <w:gridSpan w:val="3"/>
            <w:shd w:val="clear" w:color="auto" w:fill="auto"/>
            <w:vAlign w:val="bottom"/>
          </w:tcPr>
          <w:p w14:paraId="22CFC6DE" w14:textId="77777777" w:rsidR="002661BA" w:rsidRDefault="002661BA">
            <w:pPr>
              <w:rPr>
                <w:rFonts w:ascii="宋体"/>
                <w:vanish/>
              </w:rPr>
            </w:pPr>
          </w:p>
        </w:tc>
      </w:tr>
      <w:tr w:rsidR="002661BA" w14:paraId="22CFC6E8" w14:textId="77777777">
        <w:tc>
          <w:tcPr>
            <w:tcW w:w="0" w:type="auto"/>
            <w:gridSpan w:val="3"/>
            <w:shd w:val="clear" w:color="auto" w:fill="FFFFFF"/>
            <w:tcMar>
              <w:top w:w="40" w:type="dxa"/>
              <w:left w:w="20" w:type="dxa"/>
              <w:bottom w:w="40" w:type="dxa"/>
              <w:right w:w="20" w:type="dxa"/>
            </w:tcMar>
            <w:vAlign w:val="bottom"/>
          </w:tcPr>
          <w:p w14:paraId="22CFC6E0" w14:textId="77777777" w:rsidR="002661BA" w:rsidRDefault="00D972BC">
            <w:pPr>
              <w:textAlignment w:val="bottom"/>
            </w:pPr>
            <w:r>
              <w:rPr>
                <w:rFonts w:ascii="Arial" w:eastAsia="宋体" w:hAnsi="Arial" w:cs="Arial"/>
                <w:color w:val="000000"/>
                <w:sz w:val="18"/>
                <w:szCs w:val="18"/>
              </w:rPr>
              <w:t xml:space="preserve">Foreign exchange contracts not </w:t>
            </w:r>
            <w:r>
              <w:rPr>
                <w:rFonts w:ascii="Arial" w:eastAsia="宋体" w:hAnsi="Arial" w:cs="Arial"/>
                <w:color w:val="000000"/>
                <w:sz w:val="18"/>
                <w:szCs w:val="18"/>
              </w:rPr>
              <w:t>designated as hedging instruments</w:t>
            </w:r>
          </w:p>
        </w:tc>
        <w:tc>
          <w:tcPr>
            <w:tcW w:w="0" w:type="auto"/>
            <w:gridSpan w:val="2"/>
            <w:shd w:val="clear" w:color="auto" w:fill="FFFFFF"/>
            <w:tcMar>
              <w:top w:w="40" w:type="dxa"/>
              <w:left w:w="20" w:type="dxa"/>
              <w:bottom w:w="40" w:type="dxa"/>
              <w:right w:w="0" w:type="dxa"/>
            </w:tcMar>
            <w:vAlign w:val="bottom"/>
          </w:tcPr>
          <w:p w14:paraId="22CFC6E1" w14:textId="77777777" w:rsidR="002661BA" w:rsidRDefault="00D972BC">
            <w:pPr>
              <w:jc w:val="right"/>
              <w:textAlignment w:val="bottom"/>
            </w:pPr>
            <w:r>
              <w:rPr>
                <w:rFonts w:ascii="Arial" w:eastAsia="宋体" w:hAnsi="Arial" w:cs="Arial"/>
                <w:color w:val="000000"/>
                <w:sz w:val="18"/>
                <w:szCs w:val="18"/>
              </w:rPr>
              <w:t>3,159 </w:t>
            </w:r>
          </w:p>
        </w:tc>
        <w:tc>
          <w:tcPr>
            <w:tcW w:w="0" w:type="auto"/>
            <w:shd w:val="clear" w:color="auto" w:fill="FFFFFF"/>
            <w:tcMar>
              <w:top w:w="40" w:type="dxa"/>
              <w:left w:w="0" w:type="dxa"/>
              <w:bottom w:w="40" w:type="dxa"/>
              <w:right w:w="20" w:type="dxa"/>
            </w:tcMar>
            <w:vAlign w:val="bottom"/>
          </w:tcPr>
          <w:p w14:paraId="22CFC6E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6E3"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6E4" w14:textId="77777777" w:rsidR="002661BA" w:rsidRDefault="00D972BC">
            <w:pPr>
              <w:jc w:val="right"/>
              <w:textAlignment w:val="bottom"/>
            </w:pPr>
            <w:r>
              <w:rPr>
                <w:rFonts w:ascii="Arial" w:eastAsia="宋体" w:hAnsi="Arial" w:cs="Arial"/>
                <w:color w:val="000000"/>
                <w:sz w:val="18"/>
                <w:szCs w:val="18"/>
              </w:rPr>
              <w:t>3,016 </w:t>
            </w:r>
          </w:p>
        </w:tc>
        <w:tc>
          <w:tcPr>
            <w:tcW w:w="0" w:type="auto"/>
            <w:shd w:val="clear" w:color="auto" w:fill="FFFFFF"/>
            <w:tcMar>
              <w:top w:w="40" w:type="dxa"/>
              <w:left w:w="0" w:type="dxa"/>
              <w:bottom w:w="40" w:type="dxa"/>
              <w:right w:w="20" w:type="dxa"/>
            </w:tcMar>
            <w:vAlign w:val="bottom"/>
          </w:tcPr>
          <w:p w14:paraId="22CFC6E5" w14:textId="77777777" w:rsidR="002661BA" w:rsidRDefault="002661BA">
            <w:pPr>
              <w:jc w:val="right"/>
              <w:rPr>
                <w:rFonts w:ascii="宋体"/>
              </w:rPr>
            </w:pPr>
          </w:p>
        </w:tc>
        <w:tc>
          <w:tcPr>
            <w:tcW w:w="0" w:type="auto"/>
            <w:gridSpan w:val="3"/>
            <w:shd w:val="clear" w:color="auto" w:fill="auto"/>
            <w:vAlign w:val="bottom"/>
          </w:tcPr>
          <w:p w14:paraId="22CFC6E6" w14:textId="77777777" w:rsidR="002661BA" w:rsidRDefault="002661BA">
            <w:pPr>
              <w:rPr>
                <w:rFonts w:ascii="宋体"/>
                <w:vanish/>
              </w:rPr>
            </w:pPr>
          </w:p>
        </w:tc>
        <w:tc>
          <w:tcPr>
            <w:tcW w:w="0" w:type="auto"/>
            <w:gridSpan w:val="3"/>
            <w:shd w:val="clear" w:color="auto" w:fill="auto"/>
            <w:vAlign w:val="bottom"/>
          </w:tcPr>
          <w:p w14:paraId="22CFC6E7" w14:textId="77777777" w:rsidR="002661BA" w:rsidRDefault="002661BA">
            <w:pPr>
              <w:rPr>
                <w:rFonts w:ascii="宋体"/>
                <w:vanish/>
              </w:rPr>
            </w:pPr>
          </w:p>
        </w:tc>
      </w:tr>
      <w:tr w:rsidR="002661BA" w14:paraId="22CFC6EF" w14:textId="77777777">
        <w:trPr>
          <w:hidden/>
        </w:trPr>
        <w:tc>
          <w:tcPr>
            <w:tcW w:w="0" w:type="auto"/>
            <w:gridSpan w:val="3"/>
            <w:shd w:val="clear" w:color="auto" w:fill="auto"/>
            <w:vAlign w:val="bottom"/>
          </w:tcPr>
          <w:p w14:paraId="22CFC6E9" w14:textId="77777777" w:rsidR="002661BA" w:rsidRDefault="002661BA">
            <w:pPr>
              <w:rPr>
                <w:rFonts w:ascii="宋体"/>
                <w:vanish/>
              </w:rPr>
            </w:pPr>
          </w:p>
        </w:tc>
        <w:tc>
          <w:tcPr>
            <w:tcW w:w="0" w:type="auto"/>
            <w:gridSpan w:val="3"/>
            <w:shd w:val="clear" w:color="auto" w:fill="auto"/>
            <w:vAlign w:val="bottom"/>
          </w:tcPr>
          <w:p w14:paraId="22CFC6EA" w14:textId="77777777" w:rsidR="002661BA" w:rsidRDefault="002661BA">
            <w:pPr>
              <w:rPr>
                <w:rFonts w:ascii="宋体"/>
                <w:vanish/>
              </w:rPr>
            </w:pPr>
          </w:p>
        </w:tc>
        <w:tc>
          <w:tcPr>
            <w:tcW w:w="0" w:type="auto"/>
            <w:gridSpan w:val="3"/>
            <w:shd w:val="clear" w:color="auto" w:fill="auto"/>
            <w:vAlign w:val="bottom"/>
          </w:tcPr>
          <w:p w14:paraId="22CFC6EB" w14:textId="77777777" w:rsidR="002661BA" w:rsidRDefault="002661BA">
            <w:pPr>
              <w:rPr>
                <w:rFonts w:ascii="宋体"/>
                <w:vanish/>
              </w:rPr>
            </w:pPr>
          </w:p>
        </w:tc>
        <w:tc>
          <w:tcPr>
            <w:tcW w:w="0" w:type="auto"/>
            <w:gridSpan w:val="3"/>
            <w:shd w:val="clear" w:color="auto" w:fill="auto"/>
            <w:vAlign w:val="bottom"/>
          </w:tcPr>
          <w:p w14:paraId="22CFC6EC" w14:textId="77777777" w:rsidR="002661BA" w:rsidRDefault="002661BA">
            <w:pPr>
              <w:rPr>
                <w:rFonts w:ascii="宋体"/>
                <w:vanish/>
              </w:rPr>
            </w:pPr>
          </w:p>
        </w:tc>
        <w:tc>
          <w:tcPr>
            <w:tcW w:w="0" w:type="auto"/>
            <w:gridSpan w:val="3"/>
            <w:shd w:val="clear" w:color="auto" w:fill="auto"/>
            <w:vAlign w:val="bottom"/>
          </w:tcPr>
          <w:p w14:paraId="22CFC6ED" w14:textId="77777777" w:rsidR="002661BA" w:rsidRDefault="002661BA">
            <w:pPr>
              <w:rPr>
                <w:rFonts w:ascii="宋体"/>
                <w:vanish/>
              </w:rPr>
            </w:pPr>
          </w:p>
        </w:tc>
        <w:tc>
          <w:tcPr>
            <w:tcW w:w="0" w:type="auto"/>
            <w:gridSpan w:val="3"/>
            <w:shd w:val="clear" w:color="auto" w:fill="auto"/>
            <w:vAlign w:val="bottom"/>
          </w:tcPr>
          <w:p w14:paraId="22CFC6EE" w14:textId="77777777" w:rsidR="002661BA" w:rsidRDefault="002661BA">
            <w:pPr>
              <w:rPr>
                <w:rFonts w:ascii="宋体"/>
                <w:vanish/>
              </w:rPr>
            </w:pPr>
          </w:p>
        </w:tc>
      </w:tr>
      <w:tr w:rsidR="002661BA" w14:paraId="22CFC6F8" w14:textId="77777777">
        <w:tc>
          <w:tcPr>
            <w:tcW w:w="0" w:type="auto"/>
            <w:gridSpan w:val="3"/>
            <w:shd w:val="clear" w:color="auto" w:fill="E2E2E2"/>
            <w:tcMar>
              <w:top w:w="40" w:type="dxa"/>
              <w:left w:w="20" w:type="dxa"/>
              <w:bottom w:w="40" w:type="dxa"/>
              <w:right w:w="20" w:type="dxa"/>
            </w:tcMar>
            <w:vAlign w:val="bottom"/>
          </w:tcPr>
          <w:p w14:paraId="22CFC6F0" w14:textId="77777777" w:rsidR="002661BA" w:rsidRDefault="00D972BC">
            <w:pPr>
              <w:textAlignment w:val="bottom"/>
            </w:pPr>
            <w:r>
              <w:rPr>
                <w:rFonts w:ascii="Arial" w:eastAsia="宋体" w:hAnsi="Arial" w:cs="Arial"/>
                <w:color w:val="000000"/>
                <w:sz w:val="18"/>
                <w:szCs w:val="18"/>
              </w:rPr>
              <w:t>Interest rate contracts designated as cash flow hedges</w:t>
            </w:r>
          </w:p>
        </w:tc>
        <w:tc>
          <w:tcPr>
            <w:tcW w:w="0" w:type="auto"/>
            <w:gridSpan w:val="2"/>
            <w:shd w:val="clear" w:color="auto" w:fill="E2E2E2"/>
            <w:tcMar>
              <w:top w:w="40" w:type="dxa"/>
              <w:left w:w="20" w:type="dxa"/>
              <w:bottom w:w="40" w:type="dxa"/>
              <w:right w:w="0" w:type="dxa"/>
            </w:tcMar>
            <w:vAlign w:val="bottom"/>
          </w:tcPr>
          <w:p w14:paraId="22CFC6F1" w14:textId="77777777" w:rsidR="002661BA" w:rsidRDefault="00D972BC">
            <w:pPr>
              <w:jc w:val="right"/>
              <w:textAlignment w:val="bottom"/>
            </w:pPr>
            <w:r>
              <w:rPr>
                <w:rFonts w:ascii="Arial" w:eastAsia="宋体" w:hAnsi="Arial" w:cs="Arial"/>
                <w:color w:val="000000"/>
                <w:sz w:val="18"/>
                <w:szCs w:val="18"/>
              </w:rPr>
              <w:t>400 </w:t>
            </w:r>
          </w:p>
        </w:tc>
        <w:tc>
          <w:tcPr>
            <w:tcW w:w="0" w:type="auto"/>
            <w:shd w:val="clear" w:color="auto" w:fill="E2E2E2"/>
            <w:tcMar>
              <w:top w:w="40" w:type="dxa"/>
              <w:left w:w="0" w:type="dxa"/>
              <w:bottom w:w="40" w:type="dxa"/>
              <w:right w:w="20" w:type="dxa"/>
            </w:tcMar>
            <w:vAlign w:val="bottom"/>
          </w:tcPr>
          <w:p w14:paraId="22CFC6F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6F3"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6F4" w14:textId="77777777" w:rsidR="002661BA" w:rsidRDefault="00D972BC">
            <w:pPr>
              <w:jc w:val="right"/>
              <w:textAlignment w:val="bottom"/>
            </w:pPr>
            <w:r>
              <w:rPr>
                <w:rFonts w:ascii="Arial" w:eastAsia="宋体" w:hAnsi="Arial" w:cs="Arial"/>
                <w:color w:val="000000"/>
                <w:sz w:val="18"/>
                <w:szCs w:val="18"/>
              </w:rPr>
              <w:t>1,100 </w:t>
            </w:r>
          </w:p>
        </w:tc>
        <w:tc>
          <w:tcPr>
            <w:tcW w:w="0" w:type="auto"/>
            <w:shd w:val="clear" w:color="auto" w:fill="E2E2E2"/>
            <w:tcMar>
              <w:top w:w="40" w:type="dxa"/>
              <w:left w:w="0" w:type="dxa"/>
              <w:bottom w:w="40" w:type="dxa"/>
              <w:right w:w="20" w:type="dxa"/>
            </w:tcMar>
            <w:vAlign w:val="bottom"/>
          </w:tcPr>
          <w:p w14:paraId="22CFC6F5" w14:textId="77777777" w:rsidR="002661BA" w:rsidRDefault="002661BA">
            <w:pPr>
              <w:jc w:val="right"/>
              <w:rPr>
                <w:rFonts w:ascii="宋体"/>
              </w:rPr>
            </w:pPr>
          </w:p>
        </w:tc>
        <w:tc>
          <w:tcPr>
            <w:tcW w:w="0" w:type="auto"/>
            <w:gridSpan w:val="3"/>
            <w:shd w:val="clear" w:color="auto" w:fill="auto"/>
            <w:vAlign w:val="bottom"/>
          </w:tcPr>
          <w:p w14:paraId="22CFC6F6" w14:textId="77777777" w:rsidR="002661BA" w:rsidRDefault="002661BA">
            <w:pPr>
              <w:rPr>
                <w:rFonts w:ascii="宋体"/>
                <w:vanish/>
              </w:rPr>
            </w:pPr>
          </w:p>
        </w:tc>
        <w:tc>
          <w:tcPr>
            <w:tcW w:w="0" w:type="auto"/>
            <w:gridSpan w:val="3"/>
            <w:shd w:val="clear" w:color="auto" w:fill="auto"/>
            <w:vAlign w:val="bottom"/>
          </w:tcPr>
          <w:p w14:paraId="22CFC6F7" w14:textId="77777777" w:rsidR="002661BA" w:rsidRDefault="002661BA">
            <w:pPr>
              <w:rPr>
                <w:rFonts w:ascii="宋体"/>
                <w:vanish/>
              </w:rPr>
            </w:pPr>
          </w:p>
        </w:tc>
      </w:tr>
      <w:tr w:rsidR="002661BA" w14:paraId="22CFC703" w14:textId="77777777">
        <w:tc>
          <w:tcPr>
            <w:tcW w:w="0" w:type="auto"/>
            <w:gridSpan w:val="3"/>
            <w:shd w:val="clear" w:color="auto" w:fill="FFFFFF"/>
            <w:tcMar>
              <w:top w:w="40" w:type="dxa"/>
              <w:left w:w="245" w:type="dxa"/>
              <w:bottom w:w="40" w:type="dxa"/>
              <w:right w:w="20" w:type="dxa"/>
            </w:tcMar>
            <w:vAlign w:val="bottom"/>
          </w:tcPr>
          <w:p w14:paraId="22CFC6F9" w14:textId="77777777" w:rsidR="002661BA" w:rsidRDefault="00D972BC">
            <w:pPr>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6FA"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6FB" w14:textId="77777777" w:rsidR="002661BA" w:rsidRDefault="00D972BC">
            <w:pPr>
              <w:jc w:val="right"/>
              <w:textAlignment w:val="bottom"/>
            </w:pPr>
            <w:r>
              <w:rPr>
                <w:rFonts w:ascii="Arial" w:eastAsia="宋体" w:hAnsi="Arial" w:cs="Arial"/>
                <w:color w:val="000000"/>
                <w:sz w:val="18"/>
                <w:szCs w:val="18"/>
              </w:rPr>
              <w:t>5,625 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6F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6FD"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6FE"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6FF" w14:textId="77777777" w:rsidR="002661BA" w:rsidRDefault="00D972BC">
            <w:pPr>
              <w:jc w:val="right"/>
              <w:textAlignment w:val="bottom"/>
            </w:pPr>
            <w:r>
              <w:rPr>
                <w:rFonts w:ascii="Arial" w:eastAsia="宋体" w:hAnsi="Arial" w:cs="Arial"/>
                <w:color w:val="000000"/>
                <w:sz w:val="18"/>
                <w:szCs w:val="18"/>
              </w:rPr>
              <w:t>6,421 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700" w14:textId="77777777" w:rsidR="002661BA" w:rsidRDefault="002661BA">
            <w:pPr>
              <w:jc w:val="right"/>
              <w:rPr>
                <w:rFonts w:ascii="宋体"/>
              </w:rPr>
            </w:pPr>
          </w:p>
        </w:tc>
        <w:tc>
          <w:tcPr>
            <w:tcW w:w="0" w:type="auto"/>
            <w:gridSpan w:val="3"/>
            <w:shd w:val="clear" w:color="auto" w:fill="auto"/>
            <w:vAlign w:val="bottom"/>
          </w:tcPr>
          <w:p w14:paraId="22CFC701" w14:textId="77777777" w:rsidR="002661BA" w:rsidRDefault="002661BA">
            <w:pPr>
              <w:rPr>
                <w:rFonts w:ascii="宋体"/>
                <w:vanish/>
              </w:rPr>
            </w:pPr>
          </w:p>
        </w:tc>
        <w:tc>
          <w:tcPr>
            <w:tcW w:w="0" w:type="auto"/>
            <w:gridSpan w:val="3"/>
            <w:shd w:val="clear" w:color="auto" w:fill="auto"/>
            <w:vAlign w:val="bottom"/>
          </w:tcPr>
          <w:p w14:paraId="22CFC702" w14:textId="77777777" w:rsidR="002661BA" w:rsidRDefault="002661BA">
            <w:pPr>
              <w:rPr>
                <w:rFonts w:ascii="宋体"/>
                <w:vanish/>
              </w:rPr>
            </w:pPr>
          </w:p>
        </w:tc>
      </w:tr>
    </w:tbl>
    <w:p w14:paraId="22CFC704" w14:textId="77777777" w:rsidR="002661BA" w:rsidRDefault="002661BA">
      <w:pPr>
        <w:jc w:val="both"/>
      </w:pPr>
    </w:p>
    <w:p w14:paraId="22CFC705" w14:textId="77777777" w:rsidR="002661BA" w:rsidRDefault="00D972BC">
      <w:pPr>
        <w:jc w:val="center"/>
      </w:pPr>
      <w:r>
        <w:rPr>
          <w:rFonts w:ascii="Arial" w:eastAsia="宋体" w:hAnsi="Arial" w:cs="Arial"/>
          <w:color w:val="000000"/>
          <w:sz w:val="18"/>
          <w:szCs w:val="18"/>
        </w:rPr>
        <w:t>89</w:t>
      </w:r>
    </w:p>
    <w:p w14:paraId="22CFC706" w14:textId="77777777" w:rsidR="002661BA" w:rsidRDefault="00D972BC">
      <w:r>
        <w:pict w14:anchorId="22CFE50A">
          <v:rect id="_x0000_i1113" style="width:415.3pt;height:1.5pt" o:hralign="center" o:hrstd="t" o:hr="t" fillcolor="#a0a0a0" stroked="f"/>
        </w:pict>
      </w:r>
    </w:p>
    <w:p w14:paraId="22CFC707" w14:textId="77777777" w:rsidR="002661BA" w:rsidRDefault="00D972BC">
      <w:hyperlink r:id="rId124" w:anchor="id0d7a71b05ce452ea9fdb54f3cb359c7_7" w:history="1">
        <w:r>
          <w:rPr>
            <w:rStyle w:val="a5"/>
            <w:rFonts w:ascii="Arial" w:eastAsia="宋体" w:hAnsi="Arial" w:cs="Arial"/>
            <w:sz w:val="18"/>
            <w:szCs w:val="18"/>
          </w:rPr>
          <w:t>Table of Contents</w:t>
        </w:r>
      </w:hyperlink>
    </w:p>
    <w:p w14:paraId="22CFC708" w14:textId="77777777" w:rsidR="002661BA" w:rsidRDefault="00D972BC">
      <w:pPr>
        <w:jc w:val="center"/>
      </w:pPr>
      <w:r>
        <w:rPr>
          <w:rFonts w:ascii="Arial" w:eastAsia="宋体" w:hAnsi="Arial" w:cs="Arial"/>
          <w:b/>
          <w:bCs/>
          <w:color w:val="000000"/>
          <w:sz w:val="20"/>
          <w:szCs w:val="20"/>
        </w:rPr>
        <w:t>eBay Inc.</w:t>
      </w:r>
    </w:p>
    <w:p w14:paraId="22CFC709" w14:textId="77777777" w:rsidR="002661BA" w:rsidRDefault="00D972BC">
      <w:pPr>
        <w:spacing w:before="80"/>
        <w:jc w:val="center"/>
      </w:pPr>
      <w:r>
        <w:rPr>
          <w:rFonts w:ascii="Arial" w:eastAsia="宋体" w:hAnsi="Arial" w:cs="Arial"/>
          <w:b/>
          <w:bCs/>
          <w:color w:val="000000"/>
          <w:sz w:val="20"/>
          <w:szCs w:val="20"/>
        </w:rPr>
        <w:t xml:space="preserve">NOTES TO CONSOLIDATED FINANCIAL </w:t>
      </w:r>
      <w:r>
        <w:rPr>
          <w:rFonts w:ascii="Arial" w:eastAsia="宋体" w:hAnsi="Arial" w:cs="Arial"/>
          <w:b/>
          <w:bCs/>
          <w:color w:val="000000"/>
          <w:sz w:val="20"/>
          <w:szCs w:val="20"/>
        </w:rPr>
        <w:t>STATEMENTS—(Continued)</w:t>
      </w:r>
    </w:p>
    <w:p w14:paraId="22CFC70A" w14:textId="77777777" w:rsidR="002661BA" w:rsidRDefault="00D972BC">
      <w:pPr>
        <w:jc w:val="both"/>
      </w:pPr>
      <w:r>
        <w:rPr>
          <w:rFonts w:ascii="Arial" w:eastAsia="宋体" w:hAnsi="Arial" w:cs="Arial"/>
          <w:b/>
          <w:bCs/>
          <w:i/>
          <w:iCs/>
          <w:color w:val="000000"/>
          <w:sz w:val="20"/>
          <w:szCs w:val="20"/>
        </w:rPr>
        <w:t xml:space="preserve">Credit Risk </w:t>
      </w:r>
    </w:p>
    <w:p w14:paraId="22CFC70B" w14:textId="77777777" w:rsidR="002661BA" w:rsidRDefault="002661BA">
      <w:pPr>
        <w:jc w:val="both"/>
      </w:pPr>
    </w:p>
    <w:p w14:paraId="22CFC70C" w14:textId="77777777" w:rsidR="002661BA" w:rsidRDefault="00D972BC">
      <w:pPr>
        <w:ind w:firstLine="540"/>
        <w:jc w:val="both"/>
      </w:pPr>
      <w:r>
        <w:rPr>
          <w:rFonts w:ascii="Arial" w:eastAsia="宋体" w:hAnsi="Arial" w:cs="Arial"/>
          <w:color w:val="000000"/>
          <w:sz w:val="20"/>
          <w:szCs w:val="20"/>
        </w:rPr>
        <w:t>Our derivatives expose us to credit risk to the extent that the counterparties may be unable to meet the terms of the arrangement. We seek to mitigate such risk by limiting our counterparties to, and by spreading the ri</w:t>
      </w:r>
      <w:r>
        <w:rPr>
          <w:rFonts w:ascii="Arial" w:eastAsia="宋体" w:hAnsi="Arial" w:cs="Arial"/>
          <w:color w:val="000000"/>
          <w:sz w:val="20"/>
          <w:szCs w:val="20"/>
        </w:rPr>
        <w:t>sk across, major financial institutions. In addition, the potential risk of loss with any one counterparty resulting from this type of credit risk is monitored on an ongoing basis. To further limit credit risk, we also enter into collateral security arrang</w:t>
      </w:r>
      <w:r>
        <w:rPr>
          <w:rFonts w:ascii="Arial" w:eastAsia="宋体" w:hAnsi="Arial" w:cs="Arial"/>
          <w:color w:val="000000"/>
          <w:sz w:val="20"/>
          <w:szCs w:val="20"/>
        </w:rPr>
        <w:t>ements related to certain interest rate derivative instruments whereby collateral is posted between counterparties if the fair value of the derivative instrument exceeds certain thresholds. Additional collateral would be required in the event of a signific</w:t>
      </w:r>
      <w:r>
        <w:rPr>
          <w:rFonts w:ascii="Arial" w:eastAsia="宋体" w:hAnsi="Arial" w:cs="Arial"/>
          <w:color w:val="000000"/>
          <w:sz w:val="20"/>
          <w:szCs w:val="20"/>
        </w:rPr>
        <w:t xml:space="preserve">ant credit downgrade by either party. We are not required to pledge, nor are we entitled to receive, collateral related to our foreign exchange derivative transactions. </w:t>
      </w:r>
    </w:p>
    <w:p w14:paraId="22CFC70D" w14:textId="77777777" w:rsidR="002661BA" w:rsidRDefault="002661BA">
      <w:pPr>
        <w:jc w:val="both"/>
      </w:pPr>
    </w:p>
    <w:p w14:paraId="22CFC70E" w14:textId="77777777" w:rsidR="002661BA" w:rsidRDefault="00D972BC">
      <w:pPr>
        <w:jc w:val="center"/>
      </w:pPr>
      <w:r>
        <w:rPr>
          <w:rFonts w:ascii="Arial" w:eastAsia="宋体" w:hAnsi="Arial" w:cs="Arial"/>
          <w:color w:val="000000"/>
          <w:sz w:val="18"/>
          <w:szCs w:val="18"/>
        </w:rPr>
        <w:t>90</w:t>
      </w:r>
    </w:p>
    <w:p w14:paraId="22CFC70F" w14:textId="77777777" w:rsidR="002661BA" w:rsidRDefault="00D972BC">
      <w:r>
        <w:pict w14:anchorId="22CFE50B">
          <v:rect id="_x0000_i1114" style="width:415.3pt;height:1.5pt" o:hralign="center" o:hrstd="t" o:hr="t" fillcolor="#a0a0a0" stroked="f"/>
        </w:pict>
      </w:r>
    </w:p>
    <w:p w14:paraId="22CFC710" w14:textId="77777777" w:rsidR="002661BA" w:rsidRDefault="00D972BC">
      <w:hyperlink r:id="rId125" w:anchor="id0d7a71b05ce452ea9fdb54f3cb359c7_7" w:history="1">
        <w:r>
          <w:rPr>
            <w:rStyle w:val="a5"/>
            <w:rFonts w:ascii="Arial" w:eastAsia="宋体" w:hAnsi="Arial" w:cs="Arial"/>
            <w:sz w:val="18"/>
            <w:szCs w:val="18"/>
          </w:rPr>
          <w:t>Table of Contents</w:t>
        </w:r>
      </w:hyperlink>
    </w:p>
    <w:p w14:paraId="22CFC711" w14:textId="77777777" w:rsidR="002661BA" w:rsidRDefault="00D972BC">
      <w:pPr>
        <w:jc w:val="center"/>
      </w:pPr>
      <w:r>
        <w:rPr>
          <w:rFonts w:ascii="Arial" w:eastAsia="宋体" w:hAnsi="Arial" w:cs="Arial"/>
          <w:b/>
          <w:bCs/>
          <w:color w:val="000000"/>
          <w:sz w:val="20"/>
          <w:szCs w:val="20"/>
        </w:rPr>
        <w:t>eBay Inc.</w:t>
      </w:r>
    </w:p>
    <w:p w14:paraId="22CFC712"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713" w14:textId="77777777" w:rsidR="002661BA" w:rsidRDefault="00D972BC">
      <w:pPr>
        <w:jc w:val="both"/>
      </w:pPr>
      <w:r>
        <w:rPr>
          <w:rFonts w:ascii="Arial" w:eastAsia="宋体" w:hAnsi="Arial" w:cs="Arial"/>
          <w:b/>
          <w:bCs/>
          <w:color w:val="000000"/>
          <w:sz w:val="20"/>
          <w:szCs w:val="20"/>
        </w:rPr>
        <w:t>Note 8 — Fair Value Measurement of Assets and Liabilities</w:t>
      </w:r>
    </w:p>
    <w:p w14:paraId="22CFC714" w14:textId="77777777" w:rsidR="002661BA" w:rsidRDefault="002661BA">
      <w:pPr>
        <w:jc w:val="both"/>
      </w:pPr>
    </w:p>
    <w:p w14:paraId="22CFC715" w14:textId="77777777" w:rsidR="002661BA" w:rsidRDefault="00D972BC">
      <w:pPr>
        <w:spacing w:after="120"/>
        <w:ind w:firstLine="540"/>
        <w:jc w:val="both"/>
      </w:pPr>
      <w:r>
        <w:rPr>
          <w:rFonts w:ascii="Arial" w:eastAsia="宋体" w:hAnsi="Arial" w:cs="Arial"/>
          <w:color w:val="000000"/>
          <w:sz w:val="20"/>
          <w:szCs w:val="20"/>
        </w:rPr>
        <w:t>The following tables present our financia</w:t>
      </w:r>
      <w:r>
        <w:rPr>
          <w:rFonts w:ascii="Arial" w:eastAsia="宋体" w:hAnsi="Arial" w:cs="Arial"/>
          <w:color w:val="000000"/>
          <w:sz w:val="20"/>
          <w:szCs w:val="20"/>
        </w:rPr>
        <w:t>l assets and liabilities measured at fair value on a recurring basis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46"/>
        <w:gridCol w:w="2196"/>
        <w:gridCol w:w="40"/>
        <w:gridCol w:w="122"/>
        <w:gridCol w:w="1083"/>
        <w:gridCol w:w="36"/>
        <w:gridCol w:w="36"/>
        <w:gridCol w:w="36"/>
        <w:gridCol w:w="36"/>
        <w:gridCol w:w="122"/>
        <w:gridCol w:w="1412"/>
        <w:gridCol w:w="36"/>
        <w:gridCol w:w="36"/>
        <w:gridCol w:w="36"/>
        <w:gridCol w:w="36"/>
        <w:gridCol w:w="122"/>
        <w:gridCol w:w="1421"/>
        <w:gridCol w:w="36"/>
        <w:gridCol w:w="36"/>
        <w:gridCol w:w="36"/>
        <w:gridCol w:w="36"/>
        <w:gridCol w:w="122"/>
        <w:gridCol w:w="1182"/>
        <w:gridCol w:w="36"/>
      </w:tblGrid>
      <w:tr w:rsidR="002661BA" w14:paraId="22CFC72E" w14:textId="77777777">
        <w:tc>
          <w:tcPr>
            <w:tcW w:w="50" w:type="pct"/>
            <w:shd w:val="clear" w:color="auto" w:fill="auto"/>
            <w:vAlign w:val="bottom"/>
          </w:tcPr>
          <w:p w14:paraId="22CFC716" w14:textId="77777777" w:rsidR="002661BA" w:rsidRDefault="002661BA">
            <w:pPr>
              <w:rPr>
                <w:rFonts w:ascii="宋体"/>
              </w:rPr>
            </w:pPr>
          </w:p>
        </w:tc>
        <w:tc>
          <w:tcPr>
            <w:tcW w:w="1523" w:type="pct"/>
            <w:shd w:val="clear" w:color="auto" w:fill="auto"/>
            <w:vAlign w:val="bottom"/>
          </w:tcPr>
          <w:p w14:paraId="22CFC717" w14:textId="77777777" w:rsidR="002661BA" w:rsidRDefault="002661BA">
            <w:pPr>
              <w:rPr>
                <w:rFonts w:ascii="宋体"/>
              </w:rPr>
            </w:pPr>
          </w:p>
        </w:tc>
        <w:tc>
          <w:tcPr>
            <w:tcW w:w="5" w:type="pct"/>
            <w:shd w:val="clear" w:color="auto" w:fill="auto"/>
            <w:vAlign w:val="bottom"/>
          </w:tcPr>
          <w:p w14:paraId="22CFC718" w14:textId="77777777" w:rsidR="002661BA" w:rsidRDefault="002661BA">
            <w:pPr>
              <w:rPr>
                <w:rFonts w:ascii="宋体"/>
              </w:rPr>
            </w:pPr>
          </w:p>
        </w:tc>
        <w:tc>
          <w:tcPr>
            <w:tcW w:w="50" w:type="pct"/>
            <w:shd w:val="clear" w:color="auto" w:fill="auto"/>
            <w:vAlign w:val="bottom"/>
          </w:tcPr>
          <w:p w14:paraId="22CFC719" w14:textId="77777777" w:rsidR="002661BA" w:rsidRDefault="002661BA">
            <w:pPr>
              <w:rPr>
                <w:rFonts w:ascii="宋体"/>
              </w:rPr>
            </w:pPr>
          </w:p>
        </w:tc>
        <w:tc>
          <w:tcPr>
            <w:tcW w:w="763" w:type="pct"/>
            <w:shd w:val="clear" w:color="auto" w:fill="auto"/>
            <w:vAlign w:val="bottom"/>
          </w:tcPr>
          <w:p w14:paraId="22CFC71A" w14:textId="77777777" w:rsidR="002661BA" w:rsidRDefault="002661BA">
            <w:pPr>
              <w:rPr>
                <w:rFonts w:ascii="宋体"/>
              </w:rPr>
            </w:pPr>
          </w:p>
        </w:tc>
        <w:tc>
          <w:tcPr>
            <w:tcW w:w="5" w:type="pct"/>
            <w:shd w:val="clear" w:color="auto" w:fill="auto"/>
            <w:vAlign w:val="bottom"/>
          </w:tcPr>
          <w:p w14:paraId="22CFC71B" w14:textId="77777777" w:rsidR="002661BA" w:rsidRDefault="002661BA">
            <w:pPr>
              <w:rPr>
                <w:rFonts w:ascii="宋体"/>
              </w:rPr>
            </w:pPr>
          </w:p>
        </w:tc>
        <w:tc>
          <w:tcPr>
            <w:tcW w:w="5" w:type="pct"/>
            <w:shd w:val="clear" w:color="auto" w:fill="auto"/>
            <w:vAlign w:val="bottom"/>
          </w:tcPr>
          <w:p w14:paraId="22CFC71C" w14:textId="77777777" w:rsidR="002661BA" w:rsidRDefault="002661BA">
            <w:pPr>
              <w:rPr>
                <w:rFonts w:ascii="宋体"/>
              </w:rPr>
            </w:pPr>
          </w:p>
        </w:tc>
        <w:tc>
          <w:tcPr>
            <w:tcW w:w="19" w:type="pct"/>
            <w:shd w:val="clear" w:color="auto" w:fill="auto"/>
            <w:vAlign w:val="bottom"/>
          </w:tcPr>
          <w:p w14:paraId="22CFC71D" w14:textId="77777777" w:rsidR="002661BA" w:rsidRDefault="002661BA">
            <w:pPr>
              <w:rPr>
                <w:rFonts w:ascii="宋体"/>
              </w:rPr>
            </w:pPr>
          </w:p>
        </w:tc>
        <w:tc>
          <w:tcPr>
            <w:tcW w:w="5" w:type="pct"/>
            <w:shd w:val="clear" w:color="auto" w:fill="auto"/>
            <w:vAlign w:val="bottom"/>
          </w:tcPr>
          <w:p w14:paraId="22CFC71E" w14:textId="77777777" w:rsidR="002661BA" w:rsidRDefault="002661BA">
            <w:pPr>
              <w:rPr>
                <w:rFonts w:ascii="宋体"/>
              </w:rPr>
            </w:pPr>
          </w:p>
        </w:tc>
        <w:tc>
          <w:tcPr>
            <w:tcW w:w="50" w:type="pct"/>
            <w:shd w:val="clear" w:color="auto" w:fill="auto"/>
            <w:vAlign w:val="bottom"/>
          </w:tcPr>
          <w:p w14:paraId="22CFC71F" w14:textId="77777777" w:rsidR="002661BA" w:rsidRDefault="002661BA">
            <w:pPr>
              <w:rPr>
                <w:rFonts w:ascii="宋体"/>
              </w:rPr>
            </w:pPr>
          </w:p>
        </w:tc>
        <w:tc>
          <w:tcPr>
            <w:tcW w:w="763" w:type="pct"/>
            <w:shd w:val="clear" w:color="auto" w:fill="auto"/>
            <w:vAlign w:val="bottom"/>
          </w:tcPr>
          <w:p w14:paraId="22CFC720" w14:textId="77777777" w:rsidR="002661BA" w:rsidRDefault="002661BA">
            <w:pPr>
              <w:rPr>
                <w:rFonts w:ascii="宋体"/>
              </w:rPr>
            </w:pPr>
          </w:p>
        </w:tc>
        <w:tc>
          <w:tcPr>
            <w:tcW w:w="5" w:type="pct"/>
            <w:shd w:val="clear" w:color="auto" w:fill="auto"/>
            <w:vAlign w:val="bottom"/>
          </w:tcPr>
          <w:p w14:paraId="22CFC721" w14:textId="77777777" w:rsidR="002661BA" w:rsidRDefault="002661BA">
            <w:pPr>
              <w:rPr>
                <w:rFonts w:ascii="宋体"/>
              </w:rPr>
            </w:pPr>
          </w:p>
        </w:tc>
        <w:tc>
          <w:tcPr>
            <w:tcW w:w="5" w:type="pct"/>
            <w:shd w:val="clear" w:color="auto" w:fill="auto"/>
            <w:vAlign w:val="bottom"/>
          </w:tcPr>
          <w:p w14:paraId="22CFC722" w14:textId="77777777" w:rsidR="002661BA" w:rsidRDefault="002661BA">
            <w:pPr>
              <w:rPr>
                <w:rFonts w:ascii="宋体"/>
              </w:rPr>
            </w:pPr>
          </w:p>
        </w:tc>
        <w:tc>
          <w:tcPr>
            <w:tcW w:w="19" w:type="pct"/>
            <w:shd w:val="clear" w:color="auto" w:fill="auto"/>
            <w:vAlign w:val="bottom"/>
          </w:tcPr>
          <w:p w14:paraId="22CFC723" w14:textId="77777777" w:rsidR="002661BA" w:rsidRDefault="002661BA">
            <w:pPr>
              <w:rPr>
                <w:rFonts w:ascii="宋体"/>
              </w:rPr>
            </w:pPr>
          </w:p>
        </w:tc>
        <w:tc>
          <w:tcPr>
            <w:tcW w:w="5" w:type="pct"/>
            <w:shd w:val="clear" w:color="auto" w:fill="auto"/>
            <w:vAlign w:val="bottom"/>
          </w:tcPr>
          <w:p w14:paraId="22CFC724" w14:textId="77777777" w:rsidR="002661BA" w:rsidRDefault="002661BA">
            <w:pPr>
              <w:rPr>
                <w:rFonts w:ascii="宋体"/>
              </w:rPr>
            </w:pPr>
          </w:p>
        </w:tc>
        <w:tc>
          <w:tcPr>
            <w:tcW w:w="50" w:type="pct"/>
            <w:shd w:val="clear" w:color="auto" w:fill="auto"/>
            <w:vAlign w:val="bottom"/>
          </w:tcPr>
          <w:p w14:paraId="22CFC725" w14:textId="77777777" w:rsidR="002661BA" w:rsidRDefault="002661BA">
            <w:pPr>
              <w:rPr>
                <w:rFonts w:ascii="宋体"/>
              </w:rPr>
            </w:pPr>
          </w:p>
        </w:tc>
        <w:tc>
          <w:tcPr>
            <w:tcW w:w="763" w:type="pct"/>
            <w:shd w:val="clear" w:color="auto" w:fill="auto"/>
            <w:vAlign w:val="bottom"/>
          </w:tcPr>
          <w:p w14:paraId="22CFC726" w14:textId="77777777" w:rsidR="002661BA" w:rsidRDefault="002661BA">
            <w:pPr>
              <w:rPr>
                <w:rFonts w:ascii="宋体"/>
              </w:rPr>
            </w:pPr>
          </w:p>
        </w:tc>
        <w:tc>
          <w:tcPr>
            <w:tcW w:w="5" w:type="pct"/>
            <w:shd w:val="clear" w:color="auto" w:fill="auto"/>
            <w:vAlign w:val="bottom"/>
          </w:tcPr>
          <w:p w14:paraId="22CFC727" w14:textId="77777777" w:rsidR="002661BA" w:rsidRDefault="002661BA">
            <w:pPr>
              <w:rPr>
                <w:rFonts w:ascii="宋体"/>
              </w:rPr>
            </w:pPr>
          </w:p>
        </w:tc>
        <w:tc>
          <w:tcPr>
            <w:tcW w:w="5" w:type="pct"/>
            <w:shd w:val="clear" w:color="auto" w:fill="auto"/>
            <w:vAlign w:val="bottom"/>
          </w:tcPr>
          <w:p w14:paraId="22CFC728" w14:textId="77777777" w:rsidR="002661BA" w:rsidRDefault="002661BA">
            <w:pPr>
              <w:rPr>
                <w:rFonts w:ascii="宋体"/>
              </w:rPr>
            </w:pPr>
          </w:p>
        </w:tc>
        <w:tc>
          <w:tcPr>
            <w:tcW w:w="19" w:type="pct"/>
            <w:shd w:val="clear" w:color="auto" w:fill="auto"/>
            <w:vAlign w:val="bottom"/>
          </w:tcPr>
          <w:p w14:paraId="22CFC729" w14:textId="77777777" w:rsidR="002661BA" w:rsidRDefault="002661BA">
            <w:pPr>
              <w:rPr>
                <w:rFonts w:ascii="宋体"/>
              </w:rPr>
            </w:pPr>
          </w:p>
        </w:tc>
        <w:tc>
          <w:tcPr>
            <w:tcW w:w="5" w:type="pct"/>
            <w:shd w:val="clear" w:color="auto" w:fill="auto"/>
            <w:vAlign w:val="bottom"/>
          </w:tcPr>
          <w:p w14:paraId="22CFC72A" w14:textId="77777777" w:rsidR="002661BA" w:rsidRDefault="002661BA">
            <w:pPr>
              <w:rPr>
                <w:rFonts w:ascii="宋体"/>
              </w:rPr>
            </w:pPr>
          </w:p>
        </w:tc>
        <w:tc>
          <w:tcPr>
            <w:tcW w:w="50" w:type="pct"/>
            <w:shd w:val="clear" w:color="auto" w:fill="auto"/>
            <w:vAlign w:val="bottom"/>
          </w:tcPr>
          <w:p w14:paraId="22CFC72B" w14:textId="77777777" w:rsidR="002661BA" w:rsidRDefault="002661BA">
            <w:pPr>
              <w:rPr>
                <w:rFonts w:ascii="宋体"/>
              </w:rPr>
            </w:pPr>
          </w:p>
        </w:tc>
        <w:tc>
          <w:tcPr>
            <w:tcW w:w="822" w:type="pct"/>
            <w:shd w:val="clear" w:color="auto" w:fill="auto"/>
            <w:vAlign w:val="bottom"/>
          </w:tcPr>
          <w:p w14:paraId="22CFC72C" w14:textId="77777777" w:rsidR="002661BA" w:rsidRDefault="002661BA">
            <w:pPr>
              <w:rPr>
                <w:rFonts w:ascii="宋体"/>
              </w:rPr>
            </w:pPr>
          </w:p>
        </w:tc>
        <w:tc>
          <w:tcPr>
            <w:tcW w:w="5" w:type="pct"/>
            <w:shd w:val="clear" w:color="auto" w:fill="auto"/>
            <w:vAlign w:val="bottom"/>
          </w:tcPr>
          <w:p w14:paraId="22CFC72D" w14:textId="77777777" w:rsidR="002661BA" w:rsidRDefault="002661BA">
            <w:pPr>
              <w:rPr>
                <w:rFonts w:ascii="宋体"/>
              </w:rPr>
            </w:pPr>
          </w:p>
        </w:tc>
      </w:tr>
      <w:tr w:rsidR="002661BA" w14:paraId="22CFC739" w14:textId="77777777">
        <w:tc>
          <w:tcPr>
            <w:tcW w:w="0" w:type="auto"/>
            <w:gridSpan w:val="3"/>
            <w:shd w:val="clear" w:color="auto" w:fill="auto"/>
            <w:tcMar>
              <w:top w:w="0" w:type="dxa"/>
              <w:left w:w="20" w:type="dxa"/>
              <w:bottom w:w="0" w:type="dxa"/>
              <w:right w:w="20" w:type="dxa"/>
            </w:tcMar>
            <w:vAlign w:val="bottom"/>
          </w:tcPr>
          <w:p w14:paraId="22CFC72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730" w14:textId="77777777" w:rsidR="002661BA" w:rsidRDefault="00D972BC">
            <w:pPr>
              <w:jc w:val="center"/>
              <w:textAlignment w:val="bottom"/>
            </w:pPr>
            <w:r>
              <w:rPr>
                <w:rFonts w:ascii="Arial" w:eastAsia="宋体" w:hAnsi="Arial" w:cs="Arial"/>
                <w:b/>
                <w:bCs/>
                <w:color w:val="000000"/>
                <w:sz w:val="17"/>
                <w:szCs w:val="17"/>
              </w:rPr>
              <w:t>December 31, 2021</w:t>
            </w:r>
          </w:p>
        </w:tc>
        <w:tc>
          <w:tcPr>
            <w:tcW w:w="0" w:type="auto"/>
            <w:gridSpan w:val="3"/>
            <w:shd w:val="clear" w:color="auto" w:fill="auto"/>
            <w:tcMar>
              <w:top w:w="0" w:type="dxa"/>
              <w:left w:w="20" w:type="dxa"/>
              <w:bottom w:w="0" w:type="dxa"/>
              <w:right w:w="20" w:type="dxa"/>
            </w:tcMar>
            <w:vAlign w:val="bottom"/>
          </w:tcPr>
          <w:p w14:paraId="22CFC73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732" w14:textId="77777777" w:rsidR="002661BA" w:rsidRDefault="00D972BC">
            <w:pPr>
              <w:jc w:val="center"/>
              <w:textAlignment w:val="bottom"/>
            </w:pPr>
            <w:r>
              <w:rPr>
                <w:rFonts w:ascii="Arial" w:eastAsia="宋体" w:hAnsi="Arial" w:cs="Arial"/>
                <w:b/>
                <w:bCs/>
                <w:color w:val="000000"/>
                <w:sz w:val="17"/>
                <w:szCs w:val="17"/>
              </w:rPr>
              <w:t>Quoted Prices in Active Markets for Identical Assets</w:t>
            </w:r>
          </w:p>
          <w:p w14:paraId="22CFC733" w14:textId="77777777" w:rsidR="002661BA" w:rsidRDefault="00D972BC">
            <w:pPr>
              <w:jc w:val="center"/>
              <w:textAlignment w:val="bottom"/>
            </w:pPr>
            <w:r>
              <w:rPr>
                <w:rFonts w:ascii="Arial" w:eastAsia="宋体" w:hAnsi="Arial" w:cs="Arial"/>
                <w:b/>
                <w:bCs/>
                <w:color w:val="000000"/>
                <w:sz w:val="17"/>
                <w:szCs w:val="17"/>
              </w:rPr>
              <w:t xml:space="preserve">(Level 1) </w:t>
            </w:r>
          </w:p>
        </w:tc>
        <w:tc>
          <w:tcPr>
            <w:tcW w:w="0" w:type="auto"/>
            <w:gridSpan w:val="3"/>
            <w:shd w:val="clear" w:color="auto" w:fill="auto"/>
            <w:tcMar>
              <w:top w:w="0" w:type="dxa"/>
              <w:left w:w="20" w:type="dxa"/>
              <w:bottom w:w="0" w:type="dxa"/>
              <w:right w:w="20" w:type="dxa"/>
            </w:tcMar>
            <w:vAlign w:val="bottom"/>
          </w:tcPr>
          <w:p w14:paraId="22CFC734"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735" w14:textId="77777777" w:rsidR="002661BA" w:rsidRDefault="00D972BC">
            <w:pPr>
              <w:jc w:val="center"/>
              <w:textAlignment w:val="bottom"/>
            </w:pPr>
            <w:r>
              <w:rPr>
                <w:rFonts w:ascii="Arial" w:eastAsia="宋体" w:hAnsi="Arial" w:cs="Arial"/>
                <w:b/>
                <w:bCs/>
                <w:color w:val="000000"/>
                <w:sz w:val="17"/>
                <w:szCs w:val="17"/>
              </w:rPr>
              <w:t>Significant Other Observable Inputs</w:t>
            </w:r>
          </w:p>
          <w:p w14:paraId="22CFC736" w14:textId="77777777" w:rsidR="002661BA" w:rsidRDefault="00D972BC">
            <w:pPr>
              <w:jc w:val="center"/>
              <w:textAlignment w:val="bottom"/>
            </w:pPr>
            <w:r>
              <w:rPr>
                <w:rFonts w:ascii="Arial" w:eastAsia="宋体" w:hAnsi="Arial" w:cs="Arial"/>
                <w:b/>
                <w:bCs/>
                <w:color w:val="000000"/>
                <w:sz w:val="17"/>
                <w:szCs w:val="17"/>
              </w:rPr>
              <w:t>(Level 2)</w:t>
            </w:r>
          </w:p>
        </w:tc>
        <w:tc>
          <w:tcPr>
            <w:tcW w:w="0" w:type="auto"/>
            <w:gridSpan w:val="3"/>
            <w:shd w:val="clear" w:color="auto" w:fill="auto"/>
            <w:tcMar>
              <w:top w:w="0" w:type="dxa"/>
              <w:left w:w="20" w:type="dxa"/>
              <w:bottom w:w="0" w:type="dxa"/>
              <w:right w:w="20" w:type="dxa"/>
            </w:tcMar>
            <w:vAlign w:val="bottom"/>
          </w:tcPr>
          <w:p w14:paraId="22CFC737"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738" w14:textId="77777777" w:rsidR="002661BA" w:rsidRDefault="00D972BC">
            <w:pPr>
              <w:jc w:val="center"/>
              <w:textAlignment w:val="bottom"/>
            </w:pPr>
            <w:r>
              <w:rPr>
                <w:rFonts w:ascii="Arial" w:eastAsia="宋体" w:hAnsi="Arial" w:cs="Arial"/>
                <w:b/>
                <w:bCs/>
                <w:color w:val="000000"/>
                <w:sz w:val="17"/>
                <w:szCs w:val="17"/>
              </w:rPr>
              <w:t>Significant Unobservable Inputs</w:t>
            </w:r>
            <w:r>
              <w:rPr>
                <w:rFonts w:ascii="Arial" w:eastAsia="宋体" w:hAnsi="Arial" w:cs="Arial"/>
                <w:b/>
                <w:bCs/>
                <w:color w:val="000000"/>
                <w:sz w:val="17"/>
                <w:szCs w:val="17"/>
              </w:rPr>
              <w:br/>
              <w:t>(Level 3)</w:t>
            </w:r>
          </w:p>
        </w:tc>
      </w:tr>
      <w:tr w:rsidR="002661BA" w14:paraId="22CFC742" w14:textId="77777777">
        <w:tc>
          <w:tcPr>
            <w:tcW w:w="0" w:type="auto"/>
            <w:gridSpan w:val="3"/>
            <w:shd w:val="clear" w:color="auto" w:fill="E2E2E2"/>
            <w:tcMar>
              <w:top w:w="40" w:type="dxa"/>
              <w:left w:w="20" w:type="dxa"/>
              <w:bottom w:w="40" w:type="dxa"/>
              <w:right w:w="20" w:type="dxa"/>
            </w:tcMar>
            <w:vAlign w:val="bottom"/>
          </w:tcPr>
          <w:p w14:paraId="22CFC73A" w14:textId="77777777" w:rsidR="002661BA" w:rsidRDefault="00D972BC">
            <w:pPr>
              <w:textAlignment w:val="bottom"/>
            </w:pPr>
            <w:r>
              <w:rPr>
                <w:rFonts w:ascii="Arial" w:eastAsia="宋体" w:hAnsi="Arial" w:cs="Arial"/>
                <w:b/>
                <w:bCs/>
                <w:i/>
                <w:iCs/>
                <w:color w:val="000000"/>
                <w:sz w:val="18"/>
                <w:szCs w:val="18"/>
              </w:rPr>
              <w:t>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22CFC73B"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22CFC73C" w14:textId="77777777" w:rsidR="002661BA" w:rsidRDefault="002661B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22CFC73D"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22CFC73E" w14:textId="77777777" w:rsidR="002661BA" w:rsidRDefault="002661B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22CFC73F"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22CFC740"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741" w14:textId="77777777" w:rsidR="002661BA" w:rsidRDefault="002661BA">
            <w:pPr>
              <w:rPr>
                <w:rFonts w:ascii="宋体"/>
              </w:rPr>
            </w:pPr>
          </w:p>
        </w:tc>
      </w:tr>
      <w:tr w:rsidR="002661BA" w14:paraId="22CFC753" w14:textId="77777777">
        <w:tc>
          <w:tcPr>
            <w:tcW w:w="0" w:type="auto"/>
            <w:gridSpan w:val="3"/>
            <w:shd w:val="clear" w:color="auto" w:fill="FFFFFF"/>
            <w:tcMar>
              <w:top w:w="40" w:type="dxa"/>
              <w:left w:w="20" w:type="dxa"/>
              <w:bottom w:w="40" w:type="dxa"/>
              <w:right w:w="20" w:type="dxa"/>
            </w:tcMar>
            <w:vAlign w:val="bottom"/>
          </w:tcPr>
          <w:p w14:paraId="22CFC743" w14:textId="77777777" w:rsidR="002661BA" w:rsidRDefault="00D972BC">
            <w:pPr>
              <w:textAlignment w:val="bottom"/>
            </w:pPr>
            <w:r>
              <w:rPr>
                <w:rFonts w:ascii="Arial" w:eastAsia="宋体" w:hAnsi="Arial" w:cs="Arial"/>
                <w:color w:val="000000"/>
                <w:sz w:val="18"/>
                <w:szCs w:val="18"/>
              </w:rPr>
              <w:t xml:space="preserve">Cash and cash </w:t>
            </w:r>
            <w:r>
              <w:rPr>
                <w:rFonts w:ascii="Arial" w:eastAsia="宋体" w:hAnsi="Arial" w:cs="Arial"/>
                <w:color w:val="000000"/>
                <w:sz w:val="18"/>
                <w:szCs w:val="18"/>
              </w:rPr>
              <w:t>equivalents</w:t>
            </w:r>
          </w:p>
        </w:tc>
        <w:tc>
          <w:tcPr>
            <w:tcW w:w="0" w:type="auto"/>
            <w:tcBorders>
              <w:top w:val="single" w:sz="8" w:space="0" w:color="000000"/>
            </w:tcBorders>
            <w:shd w:val="clear" w:color="auto" w:fill="FFFFFF"/>
            <w:tcMar>
              <w:top w:w="40" w:type="dxa"/>
              <w:left w:w="20" w:type="dxa"/>
              <w:bottom w:w="40" w:type="dxa"/>
              <w:right w:w="0" w:type="dxa"/>
            </w:tcMar>
            <w:vAlign w:val="bottom"/>
          </w:tcPr>
          <w:p w14:paraId="22CFC74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C745" w14:textId="77777777" w:rsidR="002661BA" w:rsidRDefault="00D972BC">
            <w:pPr>
              <w:jc w:val="right"/>
              <w:textAlignment w:val="bottom"/>
            </w:pPr>
            <w:r>
              <w:rPr>
                <w:rFonts w:ascii="Arial" w:eastAsia="宋体" w:hAnsi="Arial" w:cs="Arial"/>
                <w:color w:val="000000"/>
                <w:sz w:val="18"/>
                <w:szCs w:val="18"/>
              </w:rPr>
              <w:t>1,379 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74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47"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C74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C749" w14:textId="77777777" w:rsidR="002661BA" w:rsidRDefault="00D972BC">
            <w:pPr>
              <w:jc w:val="right"/>
              <w:textAlignment w:val="bottom"/>
            </w:pPr>
            <w:r>
              <w:rPr>
                <w:rFonts w:ascii="Arial" w:eastAsia="宋体" w:hAnsi="Arial" w:cs="Arial"/>
                <w:color w:val="000000"/>
                <w:sz w:val="18"/>
                <w:szCs w:val="18"/>
              </w:rPr>
              <w:t>1,379 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74A"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4B"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C74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C74D"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74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4F"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C75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C751"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752" w14:textId="77777777" w:rsidR="002661BA" w:rsidRDefault="002661BA">
            <w:pPr>
              <w:jc w:val="right"/>
              <w:rPr>
                <w:rFonts w:ascii="宋体"/>
              </w:rPr>
            </w:pPr>
          </w:p>
        </w:tc>
      </w:tr>
      <w:tr w:rsidR="002661BA" w14:paraId="22CFC75C" w14:textId="77777777">
        <w:tc>
          <w:tcPr>
            <w:tcW w:w="0" w:type="auto"/>
            <w:gridSpan w:val="3"/>
            <w:shd w:val="clear" w:color="auto" w:fill="E2E2E2"/>
            <w:tcMar>
              <w:top w:w="40" w:type="dxa"/>
              <w:left w:w="20" w:type="dxa"/>
              <w:bottom w:w="40" w:type="dxa"/>
              <w:right w:w="20" w:type="dxa"/>
            </w:tcMar>
            <w:vAlign w:val="bottom"/>
          </w:tcPr>
          <w:p w14:paraId="22CFC754" w14:textId="77777777" w:rsidR="002661BA" w:rsidRDefault="00D972BC">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755"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756"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757"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758"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759"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75A"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75B" w14:textId="77777777" w:rsidR="002661BA" w:rsidRDefault="002661BA">
            <w:pPr>
              <w:rPr>
                <w:rFonts w:ascii="宋体"/>
              </w:rPr>
            </w:pPr>
          </w:p>
        </w:tc>
      </w:tr>
      <w:tr w:rsidR="002661BA" w14:paraId="22CFC769" w14:textId="77777777">
        <w:tc>
          <w:tcPr>
            <w:tcW w:w="0" w:type="auto"/>
            <w:gridSpan w:val="3"/>
            <w:shd w:val="clear" w:color="auto" w:fill="FFFFFF"/>
            <w:tcMar>
              <w:top w:w="40" w:type="dxa"/>
              <w:left w:w="380" w:type="dxa"/>
              <w:bottom w:w="40" w:type="dxa"/>
              <w:right w:w="20" w:type="dxa"/>
            </w:tcMar>
            <w:vAlign w:val="bottom"/>
          </w:tcPr>
          <w:p w14:paraId="22CFC75D" w14:textId="77777777" w:rsidR="002661BA" w:rsidRDefault="00D972BC">
            <w:pPr>
              <w:textAlignment w:val="bottom"/>
            </w:pPr>
            <w:r>
              <w:rPr>
                <w:rFonts w:ascii="Arial" w:eastAsia="宋体" w:hAnsi="Arial" w:cs="Arial"/>
                <w:color w:val="000000"/>
                <w:sz w:val="18"/>
                <w:szCs w:val="18"/>
              </w:rPr>
              <w:t>Restricted cash</w:t>
            </w:r>
          </w:p>
        </w:tc>
        <w:tc>
          <w:tcPr>
            <w:tcW w:w="0" w:type="auto"/>
            <w:gridSpan w:val="2"/>
            <w:shd w:val="clear" w:color="auto" w:fill="FFFFFF"/>
            <w:tcMar>
              <w:top w:w="40" w:type="dxa"/>
              <w:left w:w="20" w:type="dxa"/>
              <w:bottom w:w="40" w:type="dxa"/>
              <w:right w:w="0" w:type="dxa"/>
            </w:tcMar>
            <w:vAlign w:val="bottom"/>
          </w:tcPr>
          <w:p w14:paraId="22CFC75E" w14:textId="77777777" w:rsidR="002661BA" w:rsidRDefault="00D972BC">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22CFC75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6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761" w14:textId="77777777" w:rsidR="002661BA" w:rsidRDefault="00D972BC">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22CFC76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63"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764"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76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66"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767"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768" w14:textId="77777777" w:rsidR="002661BA" w:rsidRDefault="002661BA">
            <w:pPr>
              <w:jc w:val="right"/>
              <w:rPr>
                <w:rFonts w:ascii="宋体"/>
              </w:rPr>
            </w:pPr>
          </w:p>
        </w:tc>
      </w:tr>
      <w:tr w:rsidR="002661BA" w14:paraId="22CFC776" w14:textId="77777777">
        <w:tc>
          <w:tcPr>
            <w:tcW w:w="0" w:type="auto"/>
            <w:gridSpan w:val="3"/>
            <w:shd w:val="clear" w:color="auto" w:fill="E2E2E2"/>
            <w:tcMar>
              <w:top w:w="40" w:type="dxa"/>
              <w:left w:w="380" w:type="dxa"/>
              <w:bottom w:w="40" w:type="dxa"/>
              <w:right w:w="20" w:type="dxa"/>
            </w:tcMar>
            <w:vAlign w:val="bottom"/>
          </w:tcPr>
          <w:p w14:paraId="22CFC76A" w14:textId="77777777" w:rsidR="002661BA" w:rsidRDefault="00D972BC">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22CFC76B" w14:textId="77777777" w:rsidR="002661BA" w:rsidRDefault="00D972BC">
            <w:pPr>
              <w:jc w:val="right"/>
              <w:textAlignment w:val="bottom"/>
            </w:pPr>
            <w:r>
              <w:rPr>
                <w:rFonts w:ascii="Arial" w:eastAsia="宋体" w:hAnsi="Arial" w:cs="Arial"/>
                <w:color w:val="000000"/>
                <w:sz w:val="18"/>
                <w:szCs w:val="18"/>
              </w:rPr>
              <w:t>4,152 </w:t>
            </w:r>
          </w:p>
        </w:tc>
        <w:tc>
          <w:tcPr>
            <w:tcW w:w="0" w:type="auto"/>
            <w:shd w:val="clear" w:color="auto" w:fill="E2E2E2"/>
            <w:tcMar>
              <w:top w:w="40" w:type="dxa"/>
              <w:left w:w="0" w:type="dxa"/>
              <w:bottom w:w="40" w:type="dxa"/>
              <w:right w:w="20" w:type="dxa"/>
            </w:tcMar>
            <w:vAlign w:val="bottom"/>
          </w:tcPr>
          <w:p w14:paraId="22CFC76C"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76D"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76E"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C76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770"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771" w14:textId="77777777" w:rsidR="002661BA" w:rsidRDefault="00D972BC">
            <w:pPr>
              <w:jc w:val="right"/>
              <w:textAlignment w:val="bottom"/>
            </w:pPr>
            <w:r>
              <w:rPr>
                <w:rFonts w:ascii="Arial" w:eastAsia="宋体" w:hAnsi="Arial" w:cs="Arial"/>
                <w:color w:val="000000"/>
                <w:sz w:val="18"/>
                <w:szCs w:val="18"/>
              </w:rPr>
              <w:t>4,152 </w:t>
            </w:r>
          </w:p>
        </w:tc>
        <w:tc>
          <w:tcPr>
            <w:tcW w:w="0" w:type="auto"/>
            <w:shd w:val="clear" w:color="auto" w:fill="E2E2E2"/>
            <w:tcMar>
              <w:top w:w="40" w:type="dxa"/>
              <w:left w:w="0" w:type="dxa"/>
              <w:bottom w:w="40" w:type="dxa"/>
              <w:right w:w="20" w:type="dxa"/>
            </w:tcMar>
            <w:vAlign w:val="bottom"/>
          </w:tcPr>
          <w:p w14:paraId="22CFC77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773"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774"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C775" w14:textId="77777777" w:rsidR="002661BA" w:rsidRDefault="002661BA">
            <w:pPr>
              <w:jc w:val="right"/>
              <w:rPr>
                <w:rFonts w:ascii="宋体"/>
              </w:rPr>
            </w:pPr>
          </w:p>
        </w:tc>
      </w:tr>
      <w:tr w:rsidR="002661BA" w14:paraId="22CFC783" w14:textId="77777777">
        <w:tc>
          <w:tcPr>
            <w:tcW w:w="0" w:type="auto"/>
            <w:gridSpan w:val="3"/>
            <w:shd w:val="clear" w:color="auto" w:fill="FFFFFF"/>
            <w:tcMar>
              <w:top w:w="40" w:type="dxa"/>
              <w:left w:w="380" w:type="dxa"/>
              <w:bottom w:w="40" w:type="dxa"/>
              <w:right w:w="20" w:type="dxa"/>
            </w:tcMar>
            <w:vAlign w:val="bottom"/>
          </w:tcPr>
          <w:p w14:paraId="22CFC777" w14:textId="77777777" w:rsidR="002661BA" w:rsidRDefault="00D972BC">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22CFC778" w14:textId="77777777" w:rsidR="002661BA" w:rsidRDefault="00D972BC">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22CFC77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7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77B"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77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7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77E" w14:textId="77777777" w:rsidR="002661BA" w:rsidRDefault="00D972BC">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22CFC77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8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781"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782" w14:textId="77777777" w:rsidR="002661BA" w:rsidRDefault="002661BA">
            <w:pPr>
              <w:jc w:val="right"/>
              <w:rPr>
                <w:rFonts w:ascii="宋体"/>
              </w:rPr>
            </w:pPr>
          </w:p>
        </w:tc>
      </w:tr>
      <w:tr w:rsidR="002661BA" w14:paraId="22CFC78C" w14:textId="77777777">
        <w:trPr>
          <w:hidden/>
        </w:trPr>
        <w:tc>
          <w:tcPr>
            <w:tcW w:w="0" w:type="auto"/>
            <w:gridSpan w:val="3"/>
            <w:shd w:val="clear" w:color="auto" w:fill="auto"/>
            <w:vAlign w:val="bottom"/>
          </w:tcPr>
          <w:p w14:paraId="22CFC784" w14:textId="77777777" w:rsidR="002661BA" w:rsidRDefault="002661BA">
            <w:pPr>
              <w:rPr>
                <w:rFonts w:ascii="宋体"/>
                <w:vanish/>
              </w:rPr>
            </w:pPr>
          </w:p>
        </w:tc>
        <w:tc>
          <w:tcPr>
            <w:tcW w:w="0" w:type="auto"/>
            <w:gridSpan w:val="3"/>
            <w:shd w:val="clear" w:color="auto" w:fill="auto"/>
            <w:vAlign w:val="bottom"/>
          </w:tcPr>
          <w:p w14:paraId="22CFC785" w14:textId="77777777" w:rsidR="002661BA" w:rsidRDefault="002661BA">
            <w:pPr>
              <w:rPr>
                <w:rFonts w:ascii="宋体"/>
                <w:vanish/>
              </w:rPr>
            </w:pPr>
          </w:p>
        </w:tc>
        <w:tc>
          <w:tcPr>
            <w:tcW w:w="0" w:type="auto"/>
            <w:gridSpan w:val="3"/>
            <w:shd w:val="clear" w:color="auto" w:fill="auto"/>
            <w:vAlign w:val="bottom"/>
          </w:tcPr>
          <w:p w14:paraId="22CFC786" w14:textId="77777777" w:rsidR="002661BA" w:rsidRDefault="002661BA">
            <w:pPr>
              <w:rPr>
                <w:rFonts w:ascii="宋体"/>
                <w:vanish/>
              </w:rPr>
            </w:pPr>
          </w:p>
        </w:tc>
        <w:tc>
          <w:tcPr>
            <w:tcW w:w="0" w:type="auto"/>
            <w:gridSpan w:val="3"/>
            <w:shd w:val="clear" w:color="auto" w:fill="auto"/>
            <w:vAlign w:val="bottom"/>
          </w:tcPr>
          <w:p w14:paraId="22CFC787" w14:textId="77777777" w:rsidR="002661BA" w:rsidRDefault="002661BA">
            <w:pPr>
              <w:rPr>
                <w:rFonts w:ascii="宋体"/>
                <w:vanish/>
              </w:rPr>
            </w:pPr>
          </w:p>
        </w:tc>
        <w:tc>
          <w:tcPr>
            <w:tcW w:w="0" w:type="auto"/>
            <w:gridSpan w:val="3"/>
            <w:shd w:val="clear" w:color="auto" w:fill="auto"/>
            <w:vAlign w:val="bottom"/>
          </w:tcPr>
          <w:p w14:paraId="22CFC788" w14:textId="77777777" w:rsidR="002661BA" w:rsidRDefault="002661BA">
            <w:pPr>
              <w:rPr>
                <w:rFonts w:ascii="宋体"/>
                <w:vanish/>
              </w:rPr>
            </w:pPr>
          </w:p>
        </w:tc>
        <w:tc>
          <w:tcPr>
            <w:tcW w:w="0" w:type="auto"/>
            <w:gridSpan w:val="3"/>
            <w:shd w:val="clear" w:color="auto" w:fill="auto"/>
            <w:vAlign w:val="bottom"/>
          </w:tcPr>
          <w:p w14:paraId="22CFC789" w14:textId="77777777" w:rsidR="002661BA" w:rsidRDefault="002661BA">
            <w:pPr>
              <w:rPr>
                <w:rFonts w:ascii="宋体"/>
                <w:vanish/>
              </w:rPr>
            </w:pPr>
          </w:p>
        </w:tc>
        <w:tc>
          <w:tcPr>
            <w:tcW w:w="0" w:type="auto"/>
            <w:gridSpan w:val="3"/>
            <w:shd w:val="clear" w:color="auto" w:fill="auto"/>
            <w:vAlign w:val="bottom"/>
          </w:tcPr>
          <w:p w14:paraId="22CFC78A" w14:textId="77777777" w:rsidR="002661BA" w:rsidRDefault="002661BA">
            <w:pPr>
              <w:rPr>
                <w:rFonts w:ascii="宋体"/>
                <w:vanish/>
              </w:rPr>
            </w:pPr>
          </w:p>
        </w:tc>
        <w:tc>
          <w:tcPr>
            <w:tcW w:w="0" w:type="auto"/>
            <w:gridSpan w:val="3"/>
            <w:shd w:val="clear" w:color="auto" w:fill="auto"/>
            <w:vAlign w:val="bottom"/>
          </w:tcPr>
          <w:p w14:paraId="22CFC78B" w14:textId="77777777" w:rsidR="002661BA" w:rsidRDefault="002661BA">
            <w:pPr>
              <w:rPr>
                <w:rFonts w:ascii="宋体"/>
                <w:vanish/>
              </w:rPr>
            </w:pPr>
          </w:p>
        </w:tc>
      </w:tr>
      <w:tr w:rsidR="002661BA" w14:paraId="22CFC799" w14:textId="77777777">
        <w:tc>
          <w:tcPr>
            <w:tcW w:w="0" w:type="auto"/>
            <w:gridSpan w:val="3"/>
            <w:shd w:val="clear" w:color="auto" w:fill="E2E2E2"/>
            <w:tcMar>
              <w:top w:w="40" w:type="dxa"/>
              <w:left w:w="380" w:type="dxa"/>
              <w:bottom w:w="40" w:type="dxa"/>
              <w:right w:w="20" w:type="dxa"/>
            </w:tcMar>
            <w:vAlign w:val="bottom"/>
          </w:tcPr>
          <w:p w14:paraId="22CFC78D" w14:textId="77777777" w:rsidR="002661BA" w:rsidRDefault="00D972BC">
            <w:pPr>
              <w:textAlignment w:val="bottom"/>
            </w:pPr>
            <w:r>
              <w:rPr>
                <w:rFonts w:ascii="Arial" w:eastAsia="宋体" w:hAnsi="Arial" w:cs="Arial"/>
                <w:color w:val="000000"/>
                <w:sz w:val="18"/>
                <w:szCs w:val="18"/>
              </w:rPr>
              <w:t>Equity investments with readily determinable fair values</w:t>
            </w:r>
          </w:p>
        </w:tc>
        <w:tc>
          <w:tcPr>
            <w:tcW w:w="0" w:type="auto"/>
            <w:gridSpan w:val="2"/>
            <w:shd w:val="clear" w:color="auto" w:fill="E2E2E2"/>
            <w:tcMar>
              <w:top w:w="40" w:type="dxa"/>
              <w:left w:w="20" w:type="dxa"/>
              <w:bottom w:w="40" w:type="dxa"/>
              <w:right w:w="0" w:type="dxa"/>
            </w:tcMar>
            <w:vAlign w:val="bottom"/>
          </w:tcPr>
          <w:p w14:paraId="22CFC78E" w14:textId="77777777" w:rsidR="002661BA" w:rsidRDefault="00D972BC">
            <w:pPr>
              <w:jc w:val="right"/>
              <w:textAlignment w:val="bottom"/>
            </w:pPr>
            <w:r>
              <w:rPr>
                <w:rFonts w:ascii="Arial" w:eastAsia="宋体" w:hAnsi="Arial" w:cs="Arial"/>
                <w:color w:val="000000"/>
                <w:sz w:val="18"/>
                <w:szCs w:val="18"/>
              </w:rPr>
              <w:t>1,745 </w:t>
            </w:r>
          </w:p>
        </w:tc>
        <w:tc>
          <w:tcPr>
            <w:tcW w:w="0" w:type="auto"/>
            <w:shd w:val="clear" w:color="auto" w:fill="E2E2E2"/>
            <w:tcMar>
              <w:top w:w="40" w:type="dxa"/>
              <w:left w:w="0" w:type="dxa"/>
              <w:bottom w:w="40" w:type="dxa"/>
              <w:right w:w="20" w:type="dxa"/>
            </w:tcMar>
            <w:vAlign w:val="bottom"/>
          </w:tcPr>
          <w:p w14:paraId="22CFC78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790"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791" w14:textId="77777777" w:rsidR="002661BA" w:rsidRDefault="00D972BC">
            <w:pPr>
              <w:jc w:val="right"/>
              <w:textAlignment w:val="bottom"/>
            </w:pPr>
            <w:r>
              <w:rPr>
                <w:rFonts w:ascii="Arial" w:eastAsia="宋体" w:hAnsi="Arial" w:cs="Arial"/>
                <w:color w:val="000000"/>
                <w:sz w:val="18"/>
                <w:szCs w:val="18"/>
              </w:rPr>
              <w:t>1,745 </w:t>
            </w:r>
          </w:p>
        </w:tc>
        <w:tc>
          <w:tcPr>
            <w:tcW w:w="0" w:type="auto"/>
            <w:shd w:val="clear" w:color="auto" w:fill="E2E2E2"/>
            <w:tcMar>
              <w:top w:w="40" w:type="dxa"/>
              <w:left w:w="0" w:type="dxa"/>
              <w:bottom w:w="40" w:type="dxa"/>
              <w:right w:w="20" w:type="dxa"/>
            </w:tcMar>
            <w:vAlign w:val="bottom"/>
          </w:tcPr>
          <w:p w14:paraId="22CFC79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793"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794"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C79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796"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797"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C798" w14:textId="77777777" w:rsidR="002661BA" w:rsidRDefault="002661BA">
            <w:pPr>
              <w:jc w:val="right"/>
              <w:rPr>
                <w:rFonts w:ascii="宋体"/>
              </w:rPr>
            </w:pPr>
          </w:p>
        </w:tc>
      </w:tr>
      <w:tr w:rsidR="002661BA" w14:paraId="22CFC7A6" w14:textId="77777777">
        <w:tc>
          <w:tcPr>
            <w:tcW w:w="0" w:type="auto"/>
            <w:gridSpan w:val="3"/>
            <w:shd w:val="clear" w:color="auto" w:fill="FFFFFF"/>
            <w:tcMar>
              <w:top w:w="40" w:type="dxa"/>
              <w:left w:w="125" w:type="dxa"/>
              <w:bottom w:w="40" w:type="dxa"/>
              <w:right w:w="20" w:type="dxa"/>
            </w:tcMar>
            <w:vAlign w:val="bottom"/>
          </w:tcPr>
          <w:p w14:paraId="22CFC79A" w14:textId="77777777" w:rsidR="002661BA" w:rsidRDefault="00D972BC">
            <w:pPr>
              <w:textAlignment w:val="bottom"/>
            </w:pPr>
            <w:r>
              <w:rPr>
                <w:rFonts w:ascii="Arial" w:eastAsia="宋体" w:hAnsi="Arial" w:cs="Arial"/>
                <w:color w:val="000000"/>
                <w:sz w:val="18"/>
                <w:szCs w:val="18"/>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79B" w14:textId="77777777" w:rsidR="002661BA" w:rsidRDefault="00D972BC">
            <w:pPr>
              <w:jc w:val="right"/>
              <w:textAlignment w:val="bottom"/>
            </w:pPr>
            <w:r>
              <w:rPr>
                <w:rFonts w:ascii="Arial" w:eastAsia="宋体" w:hAnsi="Arial" w:cs="Arial"/>
                <w:color w:val="000000"/>
                <w:sz w:val="18"/>
                <w:szCs w:val="18"/>
              </w:rPr>
              <w:t>5,944 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79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9D"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79E" w14:textId="77777777" w:rsidR="002661BA" w:rsidRDefault="00D972BC">
            <w:pPr>
              <w:jc w:val="right"/>
              <w:textAlignment w:val="bottom"/>
            </w:pPr>
            <w:r>
              <w:rPr>
                <w:rFonts w:ascii="Arial" w:eastAsia="宋体" w:hAnsi="Arial" w:cs="Arial"/>
                <w:color w:val="000000"/>
                <w:sz w:val="18"/>
                <w:szCs w:val="18"/>
              </w:rPr>
              <w:t>1,767 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79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A0"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7A1" w14:textId="77777777" w:rsidR="002661BA" w:rsidRDefault="00D972BC">
            <w:pPr>
              <w:jc w:val="right"/>
              <w:textAlignment w:val="bottom"/>
            </w:pPr>
            <w:r>
              <w:rPr>
                <w:rFonts w:ascii="Arial" w:eastAsia="宋体" w:hAnsi="Arial" w:cs="Arial"/>
                <w:color w:val="000000"/>
                <w:sz w:val="18"/>
                <w:szCs w:val="18"/>
              </w:rPr>
              <w:t>4,177 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7A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A3"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7A4"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7A5" w14:textId="77777777" w:rsidR="002661BA" w:rsidRDefault="002661BA">
            <w:pPr>
              <w:jc w:val="right"/>
              <w:rPr>
                <w:rFonts w:ascii="宋体"/>
              </w:rPr>
            </w:pPr>
          </w:p>
        </w:tc>
      </w:tr>
      <w:tr w:rsidR="002661BA" w14:paraId="22CFC7B3" w14:textId="77777777">
        <w:tc>
          <w:tcPr>
            <w:tcW w:w="0" w:type="auto"/>
            <w:gridSpan w:val="3"/>
            <w:shd w:val="clear" w:color="auto" w:fill="E2E2E2"/>
            <w:tcMar>
              <w:top w:w="40" w:type="dxa"/>
              <w:left w:w="125" w:type="dxa"/>
              <w:bottom w:w="40" w:type="dxa"/>
              <w:right w:w="20" w:type="dxa"/>
            </w:tcMar>
            <w:vAlign w:val="bottom"/>
          </w:tcPr>
          <w:p w14:paraId="22CFC7A7" w14:textId="77777777" w:rsidR="002661BA" w:rsidRDefault="00D972BC">
            <w:pPr>
              <w:textAlignment w:val="bottom"/>
            </w:pPr>
            <w:r>
              <w:rPr>
                <w:rFonts w:ascii="Arial" w:eastAsia="宋体" w:hAnsi="Arial" w:cs="Arial"/>
                <w:color w:val="000000"/>
                <w:sz w:val="18"/>
                <w:szCs w:val="18"/>
              </w:rPr>
              <w:t>Equity investment in Adevinta</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C7A8" w14:textId="77777777" w:rsidR="002661BA" w:rsidRDefault="00D972BC">
            <w:pPr>
              <w:jc w:val="right"/>
              <w:textAlignment w:val="bottom"/>
            </w:pPr>
            <w:r>
              <w:rPr>
                <w:rFonts w:ascii="Arial" w:eastAsia="宋体" w:hAnsi="Arial" w:cs="Arial"/>
                <w:color w:val="000000"/>
                <w:sz w:val="18"/>
                <w:szCs w:val="18"/>
              </w:rPr>
              <w:t>5,391 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7A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7AA"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C7AB" w14:textId="77777777" w:rsidR="002661BA" w:rsidRDefault="00D972BC">
            <w:pPr>
              <w:jc w:val="right"/>
              <w:textAlignment w:val="bottom"/>
            </w:pPr>
            <w:r>
              <w:rPr>
                <w:rFonts w:ascii="Arial" w:eastAsia="宋体" w:hAnsi="Arial" w:cs="Arial"/>
                <w:color w:val="000000"/>
                <w:sz w:val="18"/>
                <w:szCs w:val="18"/>
              </w:rPr>
              <w:t>5,391 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7AC"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7AD"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C7AE"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7A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7B0"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C7B1"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7B2" w14:textId="77777777" w:rsidR="002661BA" w:rsidRDefault="002661BA">
            <w:pPr>
              <w:jc w:val="right"/>
              <w:rPr>
                <w:rFonts w:ascii="宋体"/>
              </w:rPr>
            </w:pPr>
          </w:p>
        </w:tc>
      </w:tr>
      <w:tr w:rsidR="002661BA" w14:paraId="22CFC7BC" w14:textId="77777777">
        <w:trPr>
          <w:hidden/>
        </w:trPr>
        <w:tc>
          <w:tcPr>
            <w:tcW w:w="0" w:type="auto"/>
            <w:gridSpan w:val="3"/>
            <w:shd w:val="clear" w:color="auto" w:fill="auto"/>
            <w:vAlign w:val="bottom"/>
          </w:tcPr>
          <w:p w14:paraId="22CFC7B4" w14:textId="77777777" w:rsidR="002661BA" w:rsidRDefault="002661BA">
            <w:pPr>
              <w:rPr>
                <w:rFonts w:ascii="宋体"/>
                <w:vanish/>
              </w:rPr>
            </w:pPr>
          </w:p>
        </w:tc>
        <w:tc>
          <w:tcPr>
            <w:tcW w:w="0" w:type="auto"/>
            <w:gridSpan w:val="3"/>
            <w:shd w:val="clear" w:color="auto" w:fill="auto"/>
            <w:vAlign w:val="bottom"/>
          </w:tcPr>
          <w:p w14:paraId="22CFC7B5" w14:textId="77777777" w:rsidR="002661BA" w:rsidRDefault="002661BA">
            <w:pPr>
              <w:rPr>
                <w:rFonts w:ascii="宋体"/>
                <w:vanish/>
              </w:rPr>
            </w:pPr>
          </w:p>
        </w:tc>
        <w:tc>
          <w:tcPr>
            <w:tcW w:w="0" w:type="auto"/>
            <w:gridSpan w:val="3"/>
            <w:shd w:val="clear" w:color="auto" w:fill="auto"/>
            <w:vAlign w:val="bottom"/>
          </w:tcPr>
          <w:p w14:paraId="22CFC7B6" w14:textId="77777777" w:rsidR="002661BA" w:rsidRDefault="002661BA">
            <w:pPr>
              <w:rPr>
                <w:rFonts w:ascii="宋体"/>
                <w:vanish/>
              </w:rPr>
            </w:pPr>
          </w:p>
        </w:tc>
        <w:tc>
          <w:tcPr>
            <w:tcW w:w="0" w:type="auto"/>
            <w:gridSpan w:val="3"/>
            <w:shd w:val="clear" w:color="auto" w:fill="auto"/>
            <w:vAlign w:val="bottom"/>
          </w:tcPr>
          <w:p w14:paraId="22CFC7B7" w14:textId="77777777" w:rsidR="002661BA" w:rsidRDefault="002661BA">
            <w:pPr>
              <w:rPr>
                <w:rFonts w:ascii="宋体"/>
                <w:vanish/>
              </w:rPr>
            </w:pPr>
          </w:p>
        </w:tc>
        <w:tc>
          <w:tcPr>
            <w:tcW w:w="0" w:type="auto"/>
            <w:gridSpan w:val="3"/>
            <w:shd w:val="clear" w:color="auto" w:fill="auto"/>
            <w:vAlign w:val="bottom"/>
          </w:tcPr>
          <w:p w14:paraId="22CFC7B8" w14:textId="77777777" w:rsidR="002661BA" w:rsidRDefault="002661BA">
            <w:pPr>
              <w:rPr>
                <w:rFonts w:ascii="宋体"/>
                <w:vanish/>
              </w:rPr>
            </w:pPr>
          </w:p>
        </w:tc>
        <w:tc>
          <w:tcPr>
            <w:tcW w:w="0" w:type="auto"/>
            <w:gridSpan w:val="3"/>
            <w:shd w:val="clear" w:color="auto" w:fill="auto"/>
            <w:vAlign w:val="bottom"/>
          </w:tcPr>
          <w:p w14:paraId="22CFC7B9" w14:textId="77777777" w:rsidR="002661BA" w:rsidRDefault="002661BA">
            <w:pPr>
              <w:rPr>
                <w:rFonts w:ascii="宋体"/>
                <w:vanish/>
              </w:rPr>
            </w:pPr>
          </w:p>
        </w:tc>
        <w:tc>
          <w:tcPr>
            <w:tcW w:w="0" w:type="auto"/>
            <w:gridSpan w:val="3"/>
            <w:shd w:val="clear" w:color="auto" w:fill="auto"/>
            <w:vAlign w:val="bottom"/>
          </w:tcPr>
          <w:p w14:paraId="22CFC7BA" w14:textId="77777777" w:rsidR="002661BA" w:rsidRDefault="002661BA">
            <w:pPr>
              <w:rPr>
                <w:rFonts w:ascii="宋体"/>
                <w:vanish/>
              </w:rPr>
            </w:pPr>
          </w:p>
        </w:tc>
        <w:tc>
          <w:tcPr>
            <w:tcW w:w="0" w:type="auto"/>
            <w:gridSpan w:val="3"/>
            <w:shd w:val="clear" w:color="auto" w:fill="auto"/>
            <w:vAlign w:val="bottom"/>
          </w:tcPr>
          <w:p w14:paraId="22CFC7BB" w14:textId="77777777" w:rsidR="002661BA" w:rsidRDefault="002661BA">
            <w:pPr>
              <w:rPr>
                <w:rFonts w:ascii="宋体"/>
                <w:vanish/>
              </w:rPr>
            </w:pPr>
          </w:p>
        </w:tc>
      </w:tr>
      <w:tr w:rsidR="002661BA" w14:paraId="22CFC7C9" w14:textId="77777777">
        <w:tc>
          <w:tcPr>
            <w:tcW w:w="0" w:type="auto"/>
            <w:gridSpan w:val="3"/>
            <w:shd w:val="clear" w:color="auto" w:fill="FFFFFF"/>
            <w:tcMar>
              <w:top w:w="40" w:type="dxa"/>
              <w:left w:w="125" w:type="dxa"/>
              <w:bottom w:w="40" w:type="dxa"/>
              <w:right w:w="20" w:type="dxa"/>
            </w:tcMar>
            <w:vAlign w:val="bottom"/>
          </w:tcPr>
          <w:p w14:paraId="22CFC7BD" w14:textId="77777777" w:rsidR="002661BA" w:rsidRDefault="00D972BC">
            <w:pPr>
              <w:textAlignment w:val="bottom"/>
            </w:pPr>
            <w:r>
              <w:rPr>
                <w:rFonts w:ascii="Arial" w:eastAsia="宋体" w:hAnsi="Arial" w:cs="Arial"/>
                <w:color w:val="000000"/>
                <w:sz w:val="18"/>
                <w:szCs w:val="18"/>
              </w:rPr>
              <w:t>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7BE" w14:textId="77777777" w:rsidR="002661BA" w:rsidRDefault="00D972BC">
            <w:pPr>
              <w:jc w:val="right"/>
              <w:textAlignment w:val="bottom"/>
            </w:pPr>
            <w:r>
              <w:rPr>
                <w:rFonts w:ascii="Arial" w:eastAsia="宋体" w:hAnsi="Arial" w:cs="Arial"/>
                <w:color w:val="000000"/>
                <w:sz w:val="18"/>
                <w:szCs w:val="18"/>
              </w:rPr>
              <w:t>553 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7B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C0"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7C1"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7C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C3"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7C4" w14:textId="77777777" w:rsidR="002661BA" w:rsidRDefault="00D972BC">
            <w:pPr>
              <w:jc w:val="right"/>
              <w:textAlignment w:val="bottom"/>
            </w:pPr>
            <w:r>
              <w:rPr>
                <w:rFonts w:ascii="Arial" w:eastAsia="宋体" w:hAnsi="Arial" w:cs="Arial"/>
                <w:color w:val="000000"/>
                <w:sz w:val="18"/>
                <w:szCs w:val="18"/>
              </w:rPr>
              <w:t>109 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7C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C6"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7C7" w14:textId="77777777" w:rsidR="002661BA" w:rsidRDefault="00D972BC">
            <w:pPr>
              <w:jc w:val="right"/>
              <w:textAlignment w:val="bottom"/>
            </w:pPr>
            <w:r>
              <w:rPr>
                <w:rFonts w:ascii="Arial" w:eastAsia="宋体" w:hAnsi="Arial" w:cs="Arial"/>
                <w:color w:val="000000"/>
                <w:sz w:val="18"/>
                <w:szCs w:val="18"/>
              </w:rPr>
              <w:t>444 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7C8" w14:textId="77777777" w:rsidR="002661BA" w:rsidRDefault="002661BA">
            <w:pPr>
              <w:jc w:val="right"/>
              <w:rPr>
                <w:rFonts w:ascii="宋体"/>
              </w:rPr>
            </w:pPr>
          </w:p>
        </w:tc>
      </w:tr>
      <w:tr w:rsidR="002661BA" w14:paraId="22CFC7D2" w14:textId="77777777">
        <w:tc>
          <w:tcPr>
            <w:tcW w:w="0" w:type="auto"/>
            <w:gridSpan w:val="3"/>
            <w:shd w:val="clear" w:color="auto" w:fill="E2E2E2"/>
            <w:tcMar>
              <w:top w:w="40" w:type="dxa"/>
              <w:left w:w="125" w:type="dxa"/>
              <w:bottom w:w="40" w:type="dxa"/>
              <w:right w:w="20" w:type="dxa"/>
            </w:tcMar>
            <w:vAlign w:val="bottom"/>
          </w:tcPr>
          <w:p w14:paraId="22CFC7CA" w14:textId="77777777" w:rsidR="002661BA" w:rsidRDefault="00D972BC">
            <w:pPr>
              <w:textAlignment w:val="bottom"/>
            </w:pPr>
            <w:r>
              <w:rPr>
                <w:rFonts w:ascii="Arial" w:eastAsia="宋体" w:hAnsi="Arial" w:cs="Arial"/>
                <w:color w:val="000000"/>
                <w:sz w:val="18"/>
                <w:szCs w:val="18"/>
              </w:rPr>
              <w:t>Long-term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7CB"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7CC"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7CD"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7CE"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7CF"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7D0"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7D1" w14:textId="77777777" w:rsidR="002661BA" w:rsidRDefault="002661BA">
            <w:pPr>
              <w:rPr>
                <w:rFonts w:ascii="宋体"/>
              </w:rPr>
            </w:pPr>
          </w:p>
        </w:tc>
      </w:tr>
      <w:tr w:rsidR="002661BA" w14:paraId="22CFC7DF" w14:textId="77777777">
        <w:tc>
          <w:tcPr>
            <w:tcW w:w="0" w:type="auto"/>
            <w:gridSpan w:val="3"/>
            <w:shd w:val="clear" w:color="auto" w:fill="FFFFFF"/>
            <w:tcMar>
              <w:top w:w="40" w:type="dxa"/>
              <w:left w:w="380" w:type="dxa"/>
              <w:bottom w:w="40" w:type="dxa"/>
              <w:right w:w="20" w:type="dxa"/>
            </w:tcMar>
            <w:vAlign w:val="bottom"/>
          </w:tcPr>
          <w:p w14:paraId="22CFC7D3" w14:textId="77777777" w:rsidR="002661BA" w:rsidRDefault="00D972BC">
            <w:pPr>
              <w:textAlignment w:val="bottom"/>
            </w:pPr>
            <w:r>
              <w:rPr>
                <w:rFonts w:ascii="Arial" w:eastAsia="宋体" w:hAnsi="Arial" w:cs="Arial"/>
                <w:color w:val="000000"/>
                <w:sz w:val="18"/>
                <w:szCs w:val="18"/>
              </w:rPr>
              <w:t>Corporate debt securities</w:t>
            </w:r>
          </w:p>
        </w:tc>
        <w:tc>
          <w:tcPr>
            <w:tcW w:w="0" w:type="auto"/>
            <w:gridSpan w:val="2"/>
            <w:shd w:val="clear" w:color="auto" w:fill="FFFFFF"/>
            <w:tcMar>
              <w:top w:w="40" w:type="dxa"/>
              <w:left w:w="20" w:type="dxa"/>
              <w:bottom w:w="40" w:type="dxa"/>
              <w:right w:w="0" w:type="dxa"/>
            </w:tcMar>
            <w:vAlign w:val="bottom"/>
          </w:tcPr>
          <w:p w14:paraId="22CFC7D4" w14:textId="77777777" w:rsidR="002661BA" w:rsidRDefault="00D972BC">
            <w:pPr>
              <w:jc w:val="right"/>
              <w:textAlignment w:val="bottom"/>
            </w:pPr>
            <w:r>
              <w:rPr>
                <w:rFonts w:ascii="Arial" w:eastAsia="宋体" w:hAnsi="Arial" w:cs="Arial"/>
                <w:color w:val="000000"/>
                <w:sz w:val="18"/>
                <w:szCs w:val="18"/>
              </w:rPr>
              <w:t>950 </w:t>
            </w:r>
          </w:p>
        </w:tc>
        <w:tc>
          <w:tcPr>
            <w:tcW w:w="0" w:type="auto"/>
            <w:shd w:val="clear" w:color="auto" w:fill="FFFFFF"/>
            <w:tcMar>
              <w:top w:w="40" w:type="dxa"/>
              <w:left w:w="0" w:type="dxa"/>
              <w:bottom w:w="40" w:type="dxa"/>
              <w:right w:w="20" w:type="dxa"/>
            </w:tcMar>
            <w:vAlign w:val="bottom"/>
          </w:tcPr>
          <w:p w14:paraId="22CFC7D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D6"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7D7"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7D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D9"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7DA" w14:textId="77777777" w:rsidR="002661BA" w:rsidRDefault="00D972BC">
            <w:pPr>
              <w:jc w:val="right"/>
              <w:textAlignment w:val="bottom"/>
            </w:pPr>
            <w:r>
              <w:rPr>
                <w:rFonts w:ascii="Arial" w:eastAsia="宋体" w:hAnsi="Arial" w:cs="Arial"/>
                <w:color w:val="000000"/>
                <w:sz w:val="18"/>
                <w:szCs w:val="18"/>
              </w:rPr>
              <w:t>950 </w:t>
            </w:r>
          </w:p>
        </w:tc>
        <w:tc>
          <w:tcPr>
            <w:tcW w:w="0" w:type="auto"/>
            <w:shd w:val="clear" w:color="auto" w:fill="FFFFFF"/>
            <w:tcMar>
              <w:top w:w="40" w:type="dxa"/>
              <w:left w:w="0" w:type="dxa"/>
              <w:bottom w:w="40" w:type="dxa"/>
              <w:right w:w="20" w:type="dxa"/>
            </w:tcMar>
            <w:vAlign w:val="bottom"/>
          </w:tcPr>
          <w:p w14:paraId="22CFC7D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D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7DD"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7DE" w14:textId="77777777" w:rsidR="002661BA" w:rsidRDefault="002661BA">
            <w:pPr>
              <w:jc w:val="right"/>
              <w:rPr>
                <w:rFonts w:ascii="宋体"/>
              </w:rPr>
            </w:pPr>
          </w:p>
        </w:tc>
      </w:tr>
      <w:tr w:rsidR="002661BA" w14:paraId="22CFC7EC" w14:textId="77777777">
        <w:tc>
          <w:tcPr>
            <w:tcW w:w="0" w:type="auto"/>
            <w:gridSpan w:val="3"/>
            <w:shd w:val="clear" w:color="auto" w:fill="E2E2E2"/>
            <w:tcMar>
              <w:top w:w="40" w:type="dxa"/>
              <w:left w:w="380" w:type="dxa"/>
              <w:bottom w:w="40" w:type="dxa"/>
              <w:right w:w="20" w:type="dxa"/>
            </w:tcMar>
            <w:vAlign w:val="bottom"/>
          </w:tcPr>
          <w:p w14:paraId="22CFC7E0" w14:textId="77777777" w:rsidR="002661BA" w:rsidRDefault="00D972BC">
            <w:pPr>
              <w:textAlignment w:val="bottom"/>
            </w:pPr>
            <w:r>
              <w:rPr>
                <w:rFonts w:ascii="Arial" w:eastAsia="宋体" w:hAnsi="Arial" w:cs="Arial"/>
                <w:color w:val="000000"/>
                <w:sz w:val="18"/>
                <w:szCs w:val="18"/>
              </w:rPr>
              <w:t>Government and agency securities</w:t>
            </w:r>
          </w:p>
        </w:tc>
        <w:tc>
          <w:tcPr>
            <w:tcW w:w="0" w:type="auto"/>
            <w:gridSpan w:val="2"/>
            <w:shd w:val="clear" w:color="auto" w:fill="E2E2E2"/>
            <w:tcMar>
              <w:top w:w="40" w:type="dxa"/>
              <w:left w:w="20" w:type="dxa"/>
              <w:bottom w:w="40" w:type="dxa"/>
              <w:right w:w="0" w:type="dxa"/>
            </w:tcMar>
            <w:vAlign w:val="bottom"/>
          </w:tcPr>
          <w:p w14:paraId="22CFC7E1" w14:textId="77777777" w:rsidR="002661BA" w:rsidRDefault="00D972BC">
            <w:pPr>
              <w:jc w:val="right"/>
              <w:textAlignment w:val="bottom"/>
            </w:pPr>
            <w:r>
              <w:rPr>
                <w:rFonts w:ascii="Arial" w:eastAsia="宋体" w:hAnsi="Arial" w:cs="Arial"/>
                <w:color w:val="000000"/>
                <w:sz w:val="18"/>
                <w:szCs w:val="18"/>
              </w:rPr>
              <w:t>777 </w:t>
            </w:r>
          </w:p>
        </w:tc>
        <w:tc>
          <w:tcPr>
            <w:tcW w:w="0" w:type="auto"/>
            <w:shd w:val="clear" w:color="auto" w:fill="E2E2E2"/>
            <w:tcMar>
              <w:top w:w="40" w:type="dxa"/>
              <w:left w:w="0" w:type="dxa"/>
              <w:bottom w:w="40" w:type="dxa"/>
              <w:right w:w="20" w:type="dxa"/>
            </w:tcMar>
            <w:vAlign w:val="bottom"/>
          </w:tcPr>
          <w:p w14:paraId="22CFC7E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7E3"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7E4"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C7E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7E6"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7E7" w14:textId="77777777" w:rsidR="002661BA" w:rsidRDefault="00D972BC">
            <w:pPr>
              <w:jc w:val="right"/>
              <w:textAlignment w:val="bottom"/>
            </w:pPr>
            <w:r>
              <w:rPr>
                <w:rFonts w:ascii="Arial" w:eastAsia="宋体" w:hAnsi="Arial" w:cs="Arial"/>
                <w:color w:val="000000"/>
                <w:sz w:val="18"/>
                <w:szCs w:val="18"/>
              </w:rPr>
              <w:t>777 </w:t>
            </w:r>
          </w:p>
        </w:tc>
        <w:tc>
          <w:tcPr>
            <w:tcW w:w="0" w:type="auto"/>
            <w:shd w:val="clear" w:color="auto" w:fill="E2E2E2"/>
            <w:tcMar>
              <w:top w:w="40" w:type="dxa"/>
              <w:left w:w="0" w:type="dxa"/>
              <w:bottom w:w="40" w:type="dxa"/>
              <w:right w:w="20" w:type="dxa"/>
            </w:tcMar>
            <w:vAlign w:val="bottom"/>
          </w:tcPr>
          <w:p w14:paraId="22CFC7E8"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7E9"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7EA"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C7EB" w14:textId="77777777" w:rsidR="002661BA" w:rsidRDefault="002661BA">
            <w:pPr>
              <w:jc w:val="right"/>
              <w:rPr>
                <w:rFonts w:ascii="宋体"/>
              </w:rPr>
            </w:pPr>
          </w:p>
        </w:tc>
      </w:tr>
      <w:tr w:rsidR="002661BA" w14:paraId="22CFC7F9" w14:textId="77777777">
        <w:tc>
          <w:tcPr>
            <w:tcW w:w="0" w:type="auto"/>
            <w:gridSpan w:val="3"/>
            <w:shd w:val="clear" w:color="auto" w:fill="FFFFFF"/>
            <w:tcMar>
              <w:top w:w="40" w:type="dxa"/>
              <w:left w:w="380" w:type="dxa"/>
              <w:bottom w:w="40" w:type="dxa"/>
              <w:right w:w="20" w:type="dxa"/>
            </w:tcMar>
            <w:vAlign w:val="bottom"/>
          </w:tcPr>
          <w:p w14:paraId="22CFC7ED" w14:textId="77777777" w:rsidR="002661BA" w:rsidRDefault="00D972BC">
            <w:pPr>
              <w:textAlignment w:val="bottom"/>
            </w:pPr>
            <w:r>
              <w:rPr>
                <w:rFonts w:ascii="Arial" w:eastAsia="宋体" w:hAnsi="Arial" w:cs="Arial"/>
                <w:color w:val="000000"/>
                <w:sz w:val="18"/>
                <w:szCs w:val="18"/>
              </w:rPr>
              <w:t>Equity investment under the fair value option</w:t>
            </w:r>
          </w:p>
        </w:tc>
        <w:tc>
          <w:tcPr>
            <w:tcW w:w="0" w:type="auto"/>
            <w:gridSpan w:val="2"/>
            <w:shd w:val="clear" w:color="auto" w:fill="FFFFFF"/>
            <w:tcMar>
              <w:top w:w="40" w:type="dxa"/>
              <w:left w:w="20" w:type="dxa"/>
              <w:bottom w:w="40" w:type="dxa"/>
              <w:right w:w="0" w:type="dxa"/>
            </w:tcMar>
            <w:vAlign w:val="bottom"/>
          </w:tcPr>
          <w:p w14:paraId="22CFC7EE" w14:textId="77777777" w:rsidR="002661BA" w:rsidRDefault="00D972BC">
            <w:pPr>
              <w:jc w:val="right"/>
              <w:textAlignment w:val="bottom"/>
            </w:pPr>
            <w:r>
              <w:rPr>
                <w:rFonts w:ascii="Arial" w:eastAsia="宋体" w:hAnsi="Arial" w:cs="Arial"/>
                <w:color w:val="000000"/>
                <w:sz w:val="18"/>
                <w:szCs w:val="18"/>
              </w:rPr>
              <w:t>725 </w:t>
            </w:r>
          </w:p>
        </w:tc>
        <w:tc>
          <w:tcPr>
            <w:tcW w:w="0" w:type="auto"/>
            <w:shd w:val="clear" w:color="auto" w:fill="FFFFFF"/>
            <w:tcMar>
              <w:top w:w="40" w:type="dxa"/>
              <w:left w:w="0" w:type="dxa"/>
              <w:bottom w:w="40" w:type="dxa"/>
              <w:right w:w="20" w:type="dxa"/>
            </w:tcMar>
            <w:vAlign w:val="bottom"/>
          </w:tcPr>
          <w:p w14:paraId="22CFC7E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F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7F1"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7F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F3"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7F4"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7F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7F6"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7F7" w14:textId="77777777" w:rsidR="002661BA" w:rsidRDefault="00D972BC">
            <w:pPr>
              <w:jc w:val="right"/>
              <w:textAlignment w:val="bottom"/>
            </w:pPr>
            <w:r>
              <w:rPr>
                <w:rFonts w:ascii="Arial" w:eastAsia="宋体" w:hAnsi="Arial" w:cs="Arial"/>
                <w:color w:val="000000"/>
                <w:sz w:val="18"/>
                <w:szCs w:val="18"/>
              </w:rPr>
              <w:t>725 </w:t>
            </w:r>
          </w:p>
        </w:tc>
        <w:tc>
          <w:tcPr>
            <w:tcW w:w="0" w:type="auto"/>
            <w:shd w:val="clear" w:color="auto" w:fill="FFFFFF"/>
            <w:tcMar>
              <w:top w:w="40" w:type="dxa"/>
              <w:left w:w="0" w:type="dxa"/>
              <w:bottom w:w="40" w:type="dxa"/>
              <w:right w:w="20" w:type="dxa"/>
            </w:tcMar>
            <w:vAlign w:val="bottom"/>
          </w:tcPr>
          <w:p w14:paraId="22CFC7F8" w14:textId="77777777" w:rsidR="002661BA" w:rsidRDefault="002661BA">
            <w:pPr>
              <w:jc w:val="right"/>
              <w:rPr>
                <w:rFonts w:ascii="宋体"/>
              </w:rPr>
            </w:pPr>
          </w:p>
        </w:tc>
      </w:tr>
      <w:tr w:rsidR="002661BA" w14:paraId="22CFC806" w14:textId="77777777">
        <w:tc>
          <w:tcPr>
            <w:tcW w:w="0" w:type="auto"/>
            <w:gridSpan w:val="3"/>
            <w:shd w:val="clear" w:color="auto" w:fill="E2E2E2"/>
            <w:tcMar>
              <w:top w:w="40" w:type="dxa"/>
              <w:left w:w="20" w:type="dxa"/>
              <w:bottom w:w="40" w:type="dxa"/>
              <w:right w:w="20" w:type="dxa"/>
            </w:tcMar>
            <w:vAlign w:val="bottom"/>
          </w:tcPr>
          <w:p w14:paraId="22CFC7FA" w14:textId="77777777" w:rsidR="002661BA" w:rsidRDefault="00D972BC">
            <w:pPr>
              <w:textAlignment w:val="bottom"/>
            </w:pPr>
            <w:r>
              <w:rPr>
                <w:rFonts w:ascii="Arial" w:eastAsia="宋体" w:hAnsi="Arial" w:cs="Arial"/>
                <w:color w:val="000000"/>
                <w:sz w:val="18"/>
                <w:szCs w:val="18"/>
              </w:rPr>
              <w:t>Total long-term investments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C7FB" w14:textId="77777777" w:rsidR="002661BA" w:rsidRDefault="00D972BC">
            <w:pPr>
              <w:jc w:val="right"/>
              <w:textAlignment w:val="bottom"/>
            </w:pPr>
            <w:r>
              <w:rPr>
                <w:rFonts w:ascii="Arial" w:eastAsia="宋体" w:hAnsi="Arial" w:cs="Arial"/>
                <w:color w:val="000000"/>
                <w:sz w:val="18"/>
                <w:szCs w:val="18"/>
              </w:rPr>
              <w:t>2,452 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7FC"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7FD"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C7FE"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7F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800"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C801" w14:textId="77777777" w:rsidR="002661BA" w:rsidRDefault="00D972BC">
            <w:pPr>
              <w:jc w:val="right"/>
              <w:textAlignment w:val="bottom"/>
            </w:pPr>
            <w:r>
              <w:rPr>
                <w:rFonts w:ascii="Arial" w:eastAsia="宋体" w:hAnsi="Arial" w:cs="Arial"/>
                <w:color w:val="000000"/>
                <w:sz w:val="18"/>
                <w:szCs w:val="18"/>
              </w:rPr>
              <w:t>1,727 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80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803"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C804" w14:textId="77777777" w:rsidR="002661BA" w:rsidRDefault="00D972BC">
            <w:pPr>
              <w:jc w:val="right"/>
              <w:textAlignment w:val="bottom"/>
            </w:pPr>
            <w:r>
              <w:rPr>
                <w:rFonts w:ascii="Arial" w:eastAsia="宋体" w:hAnsi="Arial" w:cs="Arial"/>
                <w:color w:val="000000"/>
                <w:sz w:val="18"/>
                <w:szCs w:val="18"/>
              </w:rPr>
              <w:t>725 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805" w14:textId="77777777" w:rsidR="002661BA" w:rsidRDefault="002661BA">
            <w:pPr>
              <w:jc w:val="right"/>
              <w:rPr>
                <w:rFonts w:ascii="宋体"/>
              </w:rPr>
            </w:pPr>
          </w:p>
        </w:tc>
      </w:tr>
      <w:tr w:rsidR="002661BA" w14:paraId="22CFC817" w14:textId="77777777">
        <w:tc>
          <w:tcPr>
            <w:tcW w:w="0" w:type="auto"/>
            <w:gridSpan w:val="3"/>
            <w:shd w:val="clear" w:color="auto" w:fill="FFFFFF"/>
            <w:tcMar>
              <w:top w:w="40" w:type="dxa"/>
              <w:left w:w="20" w:type="dxa"/>
              <w:bottom w:w="40" w:type="dxa"/>
              <w:right w:w="20" w:type="dxa"/>
            </w:tcMar>
            <w:vAlign w:val="bottom"/>
          </w:tcPr>
          <w:p w14:paraId="22CFC807" w14:textId="77777777" w:rsidR="002661BA" w:rsidRDefault="00D972BC">
            <w:pPr>
              <w:textAlignment w:val="bottom"/>
            </w:pPr>
            <w:r>
              <w:rPr>
                <w:rFonts w:ascii="Arial" w:eastAsia="宋体" w:hAnsi="Arial" w:cs="Arial"/>
                <w:color w:val="000000"/>
                <w:sz w:val="18"/>
                <w:szCs w:val="18"/>
              </w:rPr>
              <w:t>Total financial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22CFC80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C809" w14:textId="77777777" w:rsidR="002661BA" w:rsidRDefault="00D972BC">
            <w:pPr>
              <w:jc w:val="right"/>
              <w:textAlignment w:val="bottom"/>
            </w:pPr>
            <w:r>
              <w:rPr>
                <w:rFonts w:ascii="Arial" w:eastAsia="宋体" w:hAnsi="Arial" w:cs="Arial"/>
                <w:color w:val="000000"/>
                <w:sz w:val="18"/>
                <w:szCs w:val="18"/>
              </w:rPr>
              <w:t>15,719 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80A"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80B"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C80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C80D" w14:textId="77777777" w:rsidR="002661BA" w:rsidRDefault="00D972BC">
            <w:pPr>
              <w:jc w:val="right"/>
              <w:textAlignment w:val="bottom"/>
            </w:pPr>
            <w:r>
              <w:rPr>
                <w:rFonts w:ascii="Arial" w:eastAsia="宋体" w:hAnsi="Arial" w:cs="Arial"/>
                <w:color w:val="000000"/>
                <w:sz w:val="18"/>
                <w:szCs w:val="18"/>
              </w:rPr>
              <w:t>8,537 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80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80F"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C81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C811" w14:textId="77777777" w:rsidR="002661BA" w:rsidRDefault="00D972BC">
            <w:pPr>
              <w:jc w:val="right"/>
              <w:textAlignment w:val="bottom"/>
            </w:pPr>
            <w:r>
              <w:rPr>
                <w:rFonts w:ascii="Arial" w:eastAsia="宋体" w:hAnsi="Arial" w:cs="Arial"/>
                <w:color w:val="000000"/>
                <w:sz w:val="18"/>
                <w:szCs w:val="18"/>
              </w:rPr>
              <w:t>6,013 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81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813"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C81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C815" w14:textId="77777777" w:rsidR="002661BA" w:rsidRDefault="00D972BC">
            <w:pPr>
              <w:jc w:val="right"/>
              <w:textAlignment w:val="bottom"/>
            </w:pPr>
            <w:r>
              <w:rPr>
                <w:rFonts w:ascii="Arial" w:eastAsia="宋体" w:hAnsi="Arial" w:cs="Arial"/>
                <w:color w:val="000000"/>
                <w:sz w:val="18"/>
                <w:szCs w:val="18"/>
              </w:rPr>
              <w:t>1,169 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816" w14:textId="77777777" w:rsidR="002661BA" w:rsidRDefault="002661BA">
            <w:pPr>
              <w:jc w:val="right"/>
              <w:rPr>
                <w:rFonts w:ascii="宋体"/>
              </w:rPr>
            </w:pPr>
          </w:p>
        </w:tc>
      </w:tr>
      <w:tr w:rsidR="002661BA" w14:paraId="22CFC820" w14:textId="77777777">
        <w:trPr>
          <w:trHeight w:val="280"/>
        </w:trPr>
        <w:tc>
          <w:tcPr>
            <w:tcW w:w="0" w:type="auto"/>
            <w:gridSpan w:val="3"/>
            <w:shd w:val="clear" w:color="auto" w:fill="E2E2E2"/>
            <w:tcMar>
              <w:top w:w="0" w:type="dxa"/>
              <w:left w:w="20" w:type="dxa"/>
              <w:bottom w:w="0" w:type="dxa"/>
              <w:right w:w="20" w:type="dxa"/>
            </w:tcMar>
            <w:vAlign w:val="bottom"/>
          </w:tcPr>
          <w:p w14:paraId="22CFC818" w14:textId="77777777" w:rsidR="002661BA" w:rsidRDefault="002661B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C819"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81A" w14:textId="77777777" w:rsidR="002661BA" w:rsidRDefault="002661B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C81B"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81C" w14:textId="77777777" w:rsidR="002661BA" w:rsidRDefault="002661B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C81D"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81E" w14:textId="77777777" w:rsidR="002661BA" w:rsidRDefault="002661B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C81F" w14:textId="77777777" w:rsidR="002661BA" w:rsidRDefault="002661BA">
            <w:pPr>
              <w:rPr>
                <w:rFonts w:ascii="宋体"/>
              </w:rPr>
            </w:pPr>
          </w:p>
        </w:tc>
      </w:tr>
      <w:tr w:rsidR="002661BA" w14:paraId="22CFC829" w14:textId="77777777">
        <w:tc>
          <w:tcPr>
            <w:tcW w:w="0" w:type="auto"/>
            <w:gridSpan w:val="3"/>
            <w:shd w:val="clear" w:color="auto" w:fill="FFFFFF"/>
            <w:tcMar>
              <w:top w:w="40" w:type="dxa"/>
              <w:left w:w="20" w:type="dxa"/>
              <w:bottom w:w="40" w:type="dxa"/>
              <w:right w:w="20" w:type="dxa"/>
            </w:tcMar>
            <w:vAlign w:val="bottom"/>
          </w:tcPr>
          <w:p w14:paraId="22CFC821" w14:textId="77777777" w:rsidR="002661BA" w:rsidRDefault="00D972BC">
            <w:pPr>
              <w:textAlignment w:val="bottom"/>
            </w:pPr>
            <w:r>
              <w:rPr>
                <w:rFonts w:ascii="Arial" w:eastAsia="宋体" w:hAnsi="Arial" w:cs="Arial"/>
                <w:b/>
                <w:bCs/>
                <w:i/>
                <w:iCs/>
                <w:color w:val="000000"/>
                <w:sz w:val="18"/>
                <w:szCs w:val="18"/>
              </w:rPr>
              <w:t>Liabilities:</w:t>
            </w:r>
          </w:p>
        </w:tc>
        <w:tc>
          <w:tcPr>
            <w:tcW w:w="0" w:type="auto"/>
            <w:gridSpan w:val="3"/>
            <w:shd w:val="clear" w:color="auto" w:fill="FFFFFF"/>
            <w:tcMar>
              <w:top w:w="0" w:type="dxa"/>
              <w:left w:w="20" w:type="dxa"/>
              <w:bottom w:w="0" w:type="dxa"/>
              <w:right w:w="20" w:type="dxa"/>
            </w:tcMar>
            <w:vAlign w:val="bottom"/>
          </w:tcPr>
          <w:p w14:paraId="22CFC822"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823"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824"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825"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826"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827"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828" w14:textId="77777777" w:rsidR="002661BA" w:rsidRDefault="002661BA">
            <w:pPr>
              <w:rPr>
                <w:rFonts w:ascii="宋体"/>
              </w:rPr>
            </w:pPr>
          </w:p>
        </w:tc>
      </w:tr>
      <w:tr w:rsidR="002661BA" w14:paraId="22CFC83A" w14:textId="77777777">
        <w:tc>
          <w:tcPr>
            <w:tcW w:w="0" w:type="auto"/>
            <w:gridSpan w:val="3"/>
            <w:shd w:val="clear" w:color="auto" w:fill="E2E2E2"/>
            <w:tcMar>
              <w:top w:w="40" w:type="dxa"/>
              <w:left w:w="20" w:type="dxa"/>
              <w:bottom w:w="40" w:type="dxa"/>
              <w:right w:w="20" w:type="dxa"/>
            </w:tcMar>
            <w:vAlign w:val="bottom"/>
          </w:tcPr>
          <w:p w14:paraId="22CFC82A" w14:textId="77777777" w:rsidR="002661BA" w:rsidRDefault="00D972BC">
            <w:pPr>
              <w:textAlignment w:val="bottom"/>
            </w:pPr>
            <w:r>
              <w:rPr>
                <w:rFonts w:ascii="Arial" w:eastAsia="宋体" w:hAnsi="Arial" w:cs="Arial"/>
                <w:color w:val="000000"/>
                <w:sz w:val="18"/>
                <w:szCs w:val="18"/>
              </w:rPr>
              <w:t>Derivatives</w:t>
            </w:r>
          </w:p>
        </w:tc>
        <w:tc>
          <w:tcPr>
            <w:tcW w:w="0" w:type="auto"/>
            <w:tcBorders>
              <w:bottom w:val="double" w:sz="6" w:space="0" w:color="000000"/>
            </w:tcBorders>
            <w:shd w:val="clear" w:color="auto" w:fill="E2E2E2"/>
            <w:tcMar>
              <w:top w:w="40" w:type="dxa"/>
              <w:left w:w="20" w:type="dxa"/>
              <w:bottom w:w="40" w:type="dxa"/>
              <w:right w:w="0" w:type="dxa"/>
            </w:tcMar>
            <w:vAlign w:val="bottom"/>
          </w:tcPr>
          <w:p w14:paraId="22CFC82B" w14:textId="77777777" w:rsidR="002661BA" w:rsidRDefault="00D972BC">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22CFC82C" w14:textId="77777777" w:rsidR="002661BA" w:rsidRDefault="00D972BC">
            <w:pPr>
              <w:jc w:val="right"/>
              <w:textAlignment w:val="bottom"/>
            </w:pPr>
            <w:r>
              <w:rPr>
                <w:rFonts w:ascii="Arial" w:eastAsia="宋体" w:hAnsi="Arial" w:cs="Arial"/>
                <w:color w:val="000000"/>
                <w:sz w:val="18"/>
                <w:szCs w:val="18"/>
              </w:rPr>
              <w:t>17 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22CFC82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82E" w14:textId="77777777" w:rsidR="002661BA" w:rsidRDefault="002661BA">
            <w:pPr>
              <w:rPr>
                <w:rFonts w:ascii="宋体"/>
              </w:rPr>
            </w:pPr>
          </w:p>
        </w:tc>
        <w:tc>
          <w:tcPr>
            <w:tcW w:w="0" w:type="auto"/>
            <w:tcBorders>
              <w:bottom w:val="double" w:sz="6" w:space="0" w:color="000000"/>
            </w:tcBorders>
            <w:shd w:val="clear" w:color="auto" w:fill="E2E2E2"/>
            <w:tcMar>
              <w:top w:w="40" w:type="dxa"/>
              <w:left w:w="20" w:type="dxa"/>
              <w:bottom w:w="40" w:type="dxa"/>
              <w:right w:w="0" w:type="dxa"/>
            </w:tcMar>
            <w:vAlign w:val="bottom"/>
          </w:tcPr>
          <w:p w14:paraId="22CFC82F" w14:textId="77777777" w:rsidR="002661BA" w:rsidRDefault="00D972BC">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22CFC830" w14:textId="77777777" w:rsidR="002661BA" w:rsidRDefault="00D972BC">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22CFC831"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832" w14:textId="77777777" w:rsidR="002661BA" w:rsidRDefault="002661BA">
            <w:pPr>
              <w:rPr>
                <w:rFonts w:ascii="宋体"/>
              </w:rPr>
            </w:pPr>
          </w:p>
        </w:tc>
        <w:tc>
          <w:tcPr>
            <w:tcW w:w="0" w:type="auto"/>
            <w:tcBorders>
              <w:bottom w:val="double" w:sz="6" w:space="0" w:color="000000"/>
            </w:tcBorders>
            <w:shd w:val="clear" w:color="auto" w:fill="E2E2E2"/>
            <w:tcMar>
              <w:top w:w="40" w:type="dxa"/>
              <w:left w:w="20" w:type="dxa"/>
              <w:bottom w:w="40" w:type="dxa"/>
              <w:right w:w="0" w:type="dxa"/>
            </w:tcMar>
            <w:vAlign w:val="bottom"/>
          </w:tcPr>
          <w:p w14:paraId="22CFC833" w14:textId="77777777" w:rsidR="002661BA" w:rsidRDefault="00D972BC">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22CFC834" w14:textId="77777777" w:rsidR="002661BA" w:rsidRDefault="00D972BC">
            <w:pPr>
              <w:jc w:val="right"/>
              <w:textAlignment w:val="bottom"/>
            </w:pPr>
            <w:r>
              <w:rPr>
                <w:rFonts w:ascii="Arial" w:eastAsia="宋体" w:hAnsi="Arial" w:cs="Arial"/>
                <w:color w:val="000000"/>
                <w:sz w:val="18"/>
                <w:szCs w:val="18"/>
              </w:rPr>
              <w:t>17 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22CFC83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836" w14:textId="77777777" w:rsidR="002661BA" w:rsidRDefault="002661BA">
            <w:pPr>
              <w:rPr>
                <w:rFonts w:ascii="宋体"/>
              </w:rPr>
            </w:pPr>
          </w:p>
        </w:tc>
        <w:tc>
          <w:tcPr>
            <w:tcW w:w="0" w:type="auto"/>
            <w:tcBorders>
              <w:bottom w:val="double" w:sz="6" w:space="0" w:color="000000"/>
            </w:tcBorders>
            <w:shd w:val="clear" w:color="auto" w:fill="E2E2E2"/>
            <w:tcMar>
              <w:top w:w="40" w:type="dxa"/>
              <w:left w:w="20" w:type="dxa"/>
              <w:bottom w:w="40" w:type="dxa"/>
              <w:right w:w="0" w:type="dxa"/>
            </w:tcMar>
            <w:vAlign w:val="bottom"/>
          </w:tcPr>
          <w:p w14:paraId="22CFC837" w14:textId="77777777" w:rsidR="002661BA" w:rsidRDefault="00D972BC">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22CFC838" w14:textId="77777777" w:rsidR="002661BA" w:rsidRDefault="00D972BC">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22CFC839" w14:textId="77777777" w:rsidR="002661BA" w:rsidRDefault="002661BA">
            <w:pPr>
              <w:jc w:val="right"/>
              <w:rPr>
                <w:rFonts w:ascii="宋体"/>
              </w:rPr>
            </w:pPr>
          </w:p>
        </w:tc>
      </w:tr>
      <w:tr w:rsidR="002661BA" w14:paraId="22CFC843" w14:textId="77777777">
        <w:trPr>
          <w:hidden/>
        </w:trPr>
        <w:tc>
          <w:tcPr>
            <w:tcW w:w="0" w:type="auto"/>
            <w:gridSpan w:val="3"/>
            <w:shd w:val="clear" w:color="auto" w:fill="auto"/>
            <w:vAlign w:val="bottom"/>
          </w:tcPr>
          <w:p w14:paraId="22CFC83B" w14:textId="77777777" w:rsidR="002661BA" w:rsidRDefault="002661BA">
            <w:pPr>
              <w:rPr>
                <w:rFonts w:ascii="宋体"/>
                <w:vanish/>
              </w:rPr>
            </w:pPr>
          </w:p>
        </w:tc>
        <w:tc>
          <w:tcPr>
            <w:tcW w:w="0" w:type="auto"/>
            <w:gridSpan w:val="3"/>
            <w:shd w:val="clear" w:color="auto" w:fill="auto"/>
            <w:vAlign w:val="bottom"/>
          </w:tcPr>
          <w:p w14:paraId="22CFC83C" w14:textId="77777777" w:rsidR="002661BA" w:rsidRDefault="002661BA">
            <w:pPr>
              <w:rPr>
                <w:rFonts w:ascii="宋体"/>
                <w:vanish/>
              </w:rPr>
            </w:pPr>
          </w:p>
        </w:tc>
        <w:tc>
          <w:tcPr>
            <w:tcW w:w="0" w:type="auto"/>
            <w:gridSpan w:val="3"/>
            <w:shd w:val="clear" w:color="auto" w:fill="auto"/>
            <w:vAlign w:val="bottom"/>
          </w:tcPr>
          <w:p w14:paraId="22CFC83D" w14:textId="77777777" w:rsidR="002661BA" w:rsidRDefault="002661BA">
            <w:pPr>
              <w:rPr>
                <w:rFonts w:ascii="宋体"/>
                <w:vanish/>
              </w:rPr>
            </w:pPr>
          </w:p>
        </w:tc>
        <w:tc>
          <w:tcPr>
            <w:tcW w:w="0" w:type="auto"/>
            <w:gridSpan w:val="3"/>
            <w:shd w:val="clear" w:color="auto" w:fill="auto"/>
            <w:vAlign w:val="bottom"/>
          </w:tcPr>
          <w:p w14:paraId="22CFC83E" w14:textId="77777777" w:rsidR="002661BA" w:rsidRDefault="002661BA">
            <w:pPr>
              <w:rPr>
                <w:rFonts w:ascii="宋体"/>
                <w:vanish/>
              </w:rPr>
            </w:pPr>
          </w:p>
        </w:tc>
        <w:tc>
          <w:tcPr>
            <w:tcW w:w="0" w:type="auto"/>
            <w:gridSpan w:val="3"/>
            <w:shd w:val="clear" w:color="auto" w:fill="auto"/>
            <w:vAlign w:val="bottom"/>
          </w:tcPr>
          <w:p w14:paraId="22CFC83F" w14:textId="77777777" w:rsidR="002661BA" w:rsidRDefault="002661BA">
            <w:pPr>
              <w:rPr>
                <w:rFonts w:ascii="宋体"/>
                <w:vanish/>
              </w:rPr>
            </w:pPr>
          </w:p>
        </w:tc>
        <w:tc>
          <w:tcPr>
            <w:tcW w:w="0" w:type="auto"/>
            <w:gridSpan w:val="3"/>
            <w:shd w:val="clear" w:color="auto" w:fill="auto"/>
            <w:vAlign w:val="bottom"/>
          </w:tcPr>
          <w:p w14:paraId="22CFC840" w14:textId="77777777" w:rsidR="002661BA" w:rsidRDefault="002661BA">
            <w:pPr>
              <w:rPr>
                <w:rFonts w:ascii="宋体"/>
                <w:vanish/>
              </w:rPr>
            </w:pPr>
          </w:p>
        </w:tc>
        <w:tc>
          <w:tcPr>
            <w:tcW w:w="0" w:type="auto"/>
            <w:gridSpan w:val="3"/>
            <w:shd w:val="clear" w:color="auto" w:fill="auto"/>
            <w:vAlign w:val="bottom"/>
          </w:tcPr>
          <w:p w14:paraId="22CFC841" w14:textId="77777777" w:rsidR="002661BA" w:rsidRDefault="002661BA">
            <w:pPr>
              <w:rPr>
                <w:rFonts w:ascii="宋体"/>
                <w:vanish/>
              </w:rPr>
            </w:pPr>
          </w:p>
        </w:tc>
        <w:tc>
          <w:tcPr>
            <w:tcW w:w="0" w:type="auto"/>
            <w:gridSpan w:val="3"/>
            <w:shd w:val="clear" w:color="auto" w:fill="auto"/>
            <w:vAlign w:val="bottom"/>
          </w:tcPr>
          <w:p w14:paraId="22CFC842" w14:textId="77777777" w:rsidR="002661BA" w:rsidRDefault="002661BA">
            <w:pPr>
              <w:rPr>
                <w:rFonts w:ascii="宋体"/>
                <w:vanish/>
              </w:rPr>
            </w:pPr>
          </w:p>
        </w:tc>
      </w:tr>
      <w:tr w:rsidR="002661BA" w14:paraId="22CFC84C" w14:textId="77777777">
        <w:trPr>
          <w:hidden/>
        </w:trPr>
        <w:tc>
          <w:tcPr>
            <w:tcW w:w="0" w:type="auto"/>
            <w:gridSpan w:val="3"/>
            <w:shd w:val="clear" w:color="auto" w:fill="auto"/>
            <w:vAlign w:val="bottom"/>
          </w:tcPr>
          <w:p w14:paraId="22CFC844" w14:textId="77777777" w:rsidR="002661BA" w:rsidRDefault="002661BA">
            <w:pPr>
              <w:rPr>
                <w:rFonts w:ascii="宋体"/>
                <w:vanish/>
              </w:rPr>
            </w:pPr>
          </w:p>
        </w:tc>
        <w:tc>
          <w:tcPr>
            <w:tcW w:w="0" w:type="auto"/>
            <w:gridSpan w:val="3"/>
            <w:shd w:val="clear" w:color="auto" w:fill="auto"/>
            <w:vAlign w:val="bottom"/>
          </w:tcPr>
          <w:p w14:paraId="22CFC845" w14:textId="77777777" w:rsidR="002661BA" w:rsidRDefault="002661BA">
            <w:pPr>
              <w:rPr>
                <w:rFonts w:ascii="宋体"/>
                <w:vanish/>
              </w:rPr>
            </w:pPr>
          </w:p>
        </w:tc>
        <w:tc>
          <w:tcPr>
            <w:tcW w:w="0" w:type="auto"/>
            <w:gridSpan w:val="3"/>
            <w:shd w:val="clear" w:color="auto" w:fill="auto"/>
            <w:vAlign w:val="bottom"/>
          </w:tcPr>
          <w:p w14:paraId="22CFC846" w14:textId="77777777" w:rsidR="002661BA" w:rsidRDefault="002661BA">
            <w:pPr>
              <w:rPr>
                <w:rFonts w:ascii="宋体"/>
                <w:vanish/>
              </w:rPr>
            </w:pPr>
          </w:p>
        </w:tc>
        <w:tc>
          <w:tcPr>
            <w:tcW w:w="0" w:type="auto"/>
            <w:gridSpan w:val="3"/>
            <w:shd w:val="clear" w:color="auto" w:fill="auto"/>
            <w:vAlign w:val="bottom"/>
          </w:tcPr>
          <w:p w14:paraId="22CFC847" w14:textId="77777777" w:rsidR="002661BA" w:rsidRDefault="002661BA">
            <w:pPr>
              <w:rPr>
                <w:rFonts w:ascii="宋体"/>
                <w:vanish/>
              </w:rPr>
            </w:pPr>
          </w:p>
        </w:tc>
        <w:tc>
          <w:tcPr>
            <w:tcW w:w="0" w:type="auto"/>
            <w:gridSpan w:val="3"/>
            <w:shd w:val="clear" w:color="auto" w:fill="auto"/>
            <w:vAlign w:val="bottom"/>
          </w:tcPr>
          <w:p w14:paraId="22CFC848" w14:textId="77777777" w:rsidR="002661BA" w:rsidRDefault="002661BA">
            <w:pPr>
              <w:rPr>
                <w:rFonts w:ascii="宋体"/>
                <w:vanish/>
              </w:rPr>
            </w:pPr>
          </w:p>
        </w:tc>
        <w:tc>
          <w:tcPr>
            <w:tcW w:w="0" w:type="auto"/>
            <w:gridSpan w:val="3"/>
            <w:shd w:val="clear" w:color="auto" w:fill="auto"/>
            <w:vAlign w:val="bottom"/>
          </w:tcPr>
          <w:p w14:paraId="22CFC849" w14:textId="77777777" w:rsidR="002661BA" w:rsidRDefault="002661BA">
            <w:pPr>
              <w:rPr>
                <w:rFonts w:ascii="宋体"/>
                <w:vanish/>
              </w:rPr>
            </w:pPr>
          </w:p>
        </w:tc>
        <w:tc>
          <w:tcPr>
            <w:tcW w:w="0" w:type="auto"/>
            <w:gridSpan w:val="3"/>
            <w:shd w:val="clear" w:color="auto" w:fill="auto"/>
            <w:vAlign w:val="bottom"/>
          </w:tcPr>
          <w:p w14:paraId="22CFC84A" w14:textId="77777777" w:rsidR="002661BA" w:rsidRDefault="002661BA">
            <w:pPr>
              <w:rPr>
                <w:rFonts w:ascii="宋体"/>
                <w:vanish/>
              </w:rPr>
            </w:pPr>
          </w:p>
        </w:tc>
        <w:tc>
          <w:tcPr>
            <w:tcW w:w="0" w:type="auto"/>
            <w:gridSpan w:val="3"/>
            <w:shd w:val="clear" w:color="auto" w:fill="auto"/>
            <w:vAlign w:val="bottom"/>
          </w:tcPr>
          <w:p w14:paraId="22CFC84B" w14:textId="77777777" w:rsidR="002661BA" w:rsidRDefault="002661BA">
            <w:pPr>
              <w:rPr>
                <w:rFonts w:ascii="宋体"/>
                <w:vanish/>
              </w:rPr>
            </w:pPr>
          </w:p>
        </w:tc>
      </w:tr>
      <w:tr w:rsidR="002661BA" w14:paraId="22CFC855" w14:textId="77777777">
        <w:trPr>
          <w:hidden/>
        </w:trPr>
        <w:tc>
          <w:tcPr>
            <w:tcW w:w="0" w:type="auto"/>
            <w:gridSpan w:val="3"/>
            <w:shd w:val="clear" w:color="auto" w:fill="auto"/>
            <w:vAlign w:val="bottom"/>
          </w:tcPr>
          <w:p w14:paraId="22CFC84D" w14:textId="77777777" w:rsidR="002661BA" w:rsidRDefault="002661BA">
            <w:pPr>
              <w:rPr>
                <w:rFonts w:ascii="宋体"/>
                <w:vanish/>
              </w:rPr>
            </w:pPr>
          </w:p>
        </w:tc>
        <w:tc>
          <w:tcPr>
            <w:tcW w:w="0" w:type="auto"/>
            <w:gridSpan w:val="3"/>
            <w:shd w:val="clear" w:color="auto" w:fill="auto"/>
            <w:vAlign w:val="bottom"/>
          </w:tcPr>
          <w:p w14:paraId="22CFC84E" w14:textId="77777777" w:rsidR="002661BA" w:rsidRDefault="002661BA">
            <w:pPr>
              <w:rPr>
                <w:rFonts w:ascii="宋体"/>
                <w:vanish/>
              </w:rPr>
            </w:pPr>
          </w:p>
        </w:tc>
        <w:tc>
          <w:tcPr>
            <w:tcW w:w="0" w:type="auto"/>
            <w:gridSpan w:val="3"/>
            <w:shd w:val="clear" w:color="auto" w:fill="auto"/>
            <w:vAlign w:val="bottom"/>
          </w:tcPr>
          <w:p w14:paraId="22CFC84F" w14:textId="77777777" w:rsidR="002661BA" w:rsidRDefault="002661BA">
            <w:pPr>
              <w:rPr>
                <w:rFonts w:ascii="宋体"/>
                <w:vanish/>
              </w:rPr>
            </w:pPr>
          </w:p>
        </w:tc>
        <w:tc>
          <w:tcPr>
            <w:tcW w:w="0" w:type="auto"/>
            <w:gridSpan w:val="3"/>
            <w:shd w:val="clear" w:color="auto" w:fill="auto"/>
            <w:vAlign w:val="bottom"/>
          </w:tcPr>
          <w:p w14:paraId="22CFC850" w14:textId="77777777" w:rsidR="002661BA" w:rsidRDefault="002661BA">
            <w:pPr>
              <w:rPr>
                <w:rFonts w:ascii="宋体"/>
                <w:vanish/>
              </w:rPr>
            </w:pPr>
          </w:p>
        </w:tc>
        <w:tc>
          <w:tcPr>
            <w:tcW w:w="0" w:type="auto"/>
            <w:gridSpan w:val="3"/>
            <w:shd w:val="clear" w:color="auto" w:fill="auto"/>
            <w:vAlign w:val="bottom"/>
          </w:tcPr>
          <w:p w14:paraId="22CFC851" w14:textId="77777777" w:rsidR="002661BA" w:rsidRDefault="002661BA">
            <w:pPr>
              <w:rPr>
                <w:rFonts w:ascii="宋体"/>
                <w:vanish/>
              </w:rPr>
            </w:pPr>
          </w:p>
        </w:tc>
        <w:tc>
          <w:tcPr>
            <w:tcW w:w="0" w:type="auto"/>
            <w:gridSpan w:val="3"/>
            <w:shd w:val="clear" w:color="auto" w:fill="auto"/>
            <w:vAlign w:val="bottom"/>
          </w:tcPr>
          <w:p w14:paraId="22CFC852" w14:textId="77777777" w:rsidR="002661BA" w:rsidRDefault="002661BA">
            <w:pPr>
              <w:rPr>
                <w:rFonts w:ascii="宋体"/>
                <w:vanish/>
              </w:rPr>
            </w:pPr>
          </w:p>
        </w:tc>
        <w:tc>
          <w:tcPr>
            <w:tcW w:w="0" w:type="auto"/>
            <w:gridSpan w:val="3"/>
            <w:shd w:val="clear" w:color="auto" w:fill="auto"/>
            <w:vAlign w:val="bottom"/>
          </w:tcPr>
          <w:p w14:paraId="22CFC853" w14:textId="77777777" w:rsidR="002661BA" w:rsidRDefault="002661BA">
            <w:pPr>
              <w:rPr>
                <w:rFonts w:ascii="宋体"/>
                <w:vanish/>
              </w:rPr>
            </w:pPr>
          </w:p>
        </w:tc>
        <w:tc>
          <w:tcPr>
            <w:tcW w:w="0" w:type="auto"/>
            <w:gridSpan w:val="3"/>
            <w:shd w:val="clear" w:color="auto" w:fill="auto"/>
            <w:vAlign w:val="bottom"/>
          </w:tcPr>
          <w:p w14:paraId="22CFC854" w14:textId="77777777" w:rsidR="002661BA" w:rsidRDefault="002661BA">
            <w:pPr>
              <w:rPr>
                <w:rFonts w:ascii="宋体"/>
                <w:vanish/>
              </w:rPr>
            </w:pPr>
          </w:p>
        </w:tc>
      </w:tr>
      <w:tr w:rsidR="002661BA" w14:paraId="22CFC85E" w14:textId="77777777">
        <w:trPr>
          <w:hidden/>
        </w:trPr>
        <w:tc>
          <w:tcPr>
            <w:tcW w:w="0" w:type="auto"/>
            <w:gridSpan w:val="3"/>
            <w:shd w:val="clear" w:color="auto" w:fill="auto"/>
            <w:vAlign w:val="bottom"/>
          </w:tcPr>
          <w:p w14:paraId="22CFC856" w14:textId="77777777" w:rsidR="002661BA" w:rsidRDefault="002661BA">
            <w:pPr>
              <w:rPr>
                <w:rFonts w:ascii="宋体"/>
                <w:vanish/>
              </w:rPr>
            </w:pPr>
          </w:p>
        </w:tc>
        <w:tc>
          <w:tcPr>
            <w:tcW w:w="0" w:type="auto"/>
            <w:gridSpan w:val="3"/>
            <w:shd w:val="clear" w:color="auto" w:fill="auto"/>
            <w:vAlign w:val="bottom"/>
          </w:tcPr>
          <w:p w14:paraId="22CFC857" w14:textId="77777777" w:rsidR="002661BA" w:rsidRDefault="002661BA">
            <w:pPr>
              <w:rPr>
                <w:rFonts w:ascii="宋体"/>
                <w:vanish/>
              </w:rPr>
            </w:pPr>
          </w:p>
        </w:tc>
        <w:tc>
          <w:tcPr>
            <w:tcW w:w="0" w:type="auto"/>
            <w:gridSpan w:val="3"/>
            <w:shd w:val="clear" w:color="auto" w:fill="auto"/>
            <w:vAlign w:val="bottom"/>
          </w:tcPr>
          <w:p w14:paraId="22CFC858" w14:textId="77777777" w:rsidR="002661BA" w:rsidRDefault="002661BA">
            <w:pPr>
              <w:rPr>
                <w:rFonts w:ascii="宋体"/>
                <w:vanish/>
              </w:rPr>
            </w:pPr>
          </w:p>
        </w:tc>
        <w:tc>
          <w:tcPr>
            <w:tcW w:w="0" w:type="auto"/>
            <w:gridSpan w:val="3"/>
            <w:shd w:val="clear" w:color="auto" w:fill="auto"/>
            <w:vAlign w:val="bottom"/>
          </w:tcPr>
          <w:p w14:paraId="22CFC859" w14:textId="77777777" w:rsidR="002661BA" w:rsidRDefault="002661BA">
            <w:pPr>
              <w:rPr>
                <w:rFonts w:ascii="宋体"/>
                <w:vanish/>
              </w:rPr>
            </w:pPr>
          </w:p>
        </w:tc>
        <w:tc>
          <w:tcPr>
            <w:tcW w:w="0" w:type="auto"/>
            <w:gridSpan w:val="3"/>
            <w:shd w:val="clear" w:color="auto" w:fill="auto"/>
            <w:vAlign w:val="bottom"/>
          </w:tcPr>
          <w:p w14:paraId="22CFC85A" w14:textId="77777777" w:rsidR="002661BA" w:rsidRDefault="002661BA">
            <w:pPr>
              <w:rPr>
                <w:rFonts w:ascii="宋体"/>
                <w:vanish/>
              </w:rPr>
            </w:pPr>
          </w:p>
        </w:tc>
        <w:tc>
          <w:tcPr>
            <w:tcW w:w="0" w:type="auto"/>
            <w:gridSpan w:val="3"/>
            <w:shd w:val="clear" w:color="auto" w:fill="auto"/>
            <w:vAlign w:val="bottom"/>
          </w:tcPr>
          <w:p w14:paraId="22CFC85B" w14:textId="77777777" w:rsidR="002661BA" w:rsidRDefault="002661BA">
            <w:pPr>
              <w:rPr>
                <w:rFonts w:ascii="宋体"/>
                <w:vanish/>
              </w:rPr>
            </w:pPr>
          </w:p>
        </w:tc>
        <w:tc>
          <w:tcPr>
            <w:tcW w:w="0" w:type="auto"/>
            <w:gridSpan w:val="3"/>
            <w:shd w:val="clear" w:color="auto" w:fill="auto"/>
            <w:vAlign w:val="bottom"/>
          </w:tcPr>
          <w:p w14:paraId="22CFC85C" w14:textId="77777777" w:rsidR="002661BA" w:rsidRDefault="002661BA">
            <w:pPr>
              <w:rPr>
                <w:rFonts w:ascii="宋体"/>
                <w:vanish/>
              </w:rPr>
            </w:pPr>
          </w:p>
        </w:tc>
        <w:tc>
          <w:tcPr>
            <w:tcW w:w="0" w:type="auto"/>
            <w:gridSpan w:val="3"/>
            <w:shd w:val="clear" w:color="auto" w:fill="auto"/>
            <w:vAlign w:val="bottom"/>
          </w:tcPr>
          <w:p w14:paraId="22CFC85D" w14:textId="77777777" w:rsidR="002661BA" w:rsidRDefault="002661BA">
            <w:pPr>
              <w:rPr>
                <w:rFonts w:ascii="宋体"/>
                <w:vanish/>
              </w:rPr>
            </w:pPr>
          </w:p>
        </w:tc>
      </w:tr>
    </w:tbl>
    <w:p w14:paraId="22CFC85F" w14:textId="77777777" w:rsidR="002661BA" w:rsidRDefault="002661BA">
      <w:pPr>
        <w:jc w:val="both"/>
      </w:pPr>
    </w:p>
    <w:tbl>
      <w:tblPr>
        <w:tblW w:w="5000" w:type="pct"/>
        <w:tblCellMar>
          <w:top w:w="15" w:type="dxa"/>
          <w:left w:w="15" w:type="dxa"/>
          <w:bottom w:w="15" w:type="dxa"/>
          <w:right w:w="15" w:type="dxa"/>
        </w:tblCellMar>
        <w:tblLook w:val="04A0" w:firstRow="1" w:lastRow="0" w:firstColumn="1" w:lastColumn="0" w:noHBand="0" w:noVBand="1"/>
      </w:tblPr>
      <w:tblGrid>
        <w:gridCol w:w="40"/>
        <w:gridCol w:w="2203"/>
        <w:gridCol w:w="38"/>
        <w:gridCol w:w="122"/>
        <w:gridCol w:w="1084"/>
        <w:gridCol w:w="36"/>
        <w:gridCol w:w="36"/>
        <w:gridCol w:w="36"/>
        <w:gridCol w:w="36"/>
        <w:gridCol w:w="122"/>
        <w:gridCol w:w="1412"/>
        <w:gridCol w:w="36"/>
        <w:gridCol w:w="36"/>
        <w:gridCol w:w="36"/>
        <w:gridCol w:w="36"/>
        <w:gridCol w:w="122"/>
        <w:gridCol w:w="1421"/>
        <w:gridCol w:w="36"/>
        <w:gridCol w:w="36"/>
        <w:gridCol w:w="36"/>
        <w:gridCol w:w="36"/>
        <w:gridCol w:w="122"/>
        <w:gridCol w:w="1182"/>
        <w:gridCol w:w="36"/>
      </w:tblGrid>
      <w:tr w:rsidR="002661BA" w14:paraId="22CFC878" w14:textId="77777777">
        <w:tc>
          <w:tcPr>
            <w:tcW w:w="50" w:type="pct"/>
            <w:shd w:val="clear" w:color="auto" w:fill="auto"/>
            <w:vAlign w:val="bottom"/>
          </w:tcPr>
          <w:p w14:paraId="22CFC860" w14:textId="77777777" w:rsidR="002661BA" w:rsidRDefault="002661BA">
            <w:pPr>
              <w:rPr>
                <w:rFonts w:ascii="宋体"/>
              </w:rPr>
            </w:pPr>
          </w:p>
        </w:tc>
        <w:tc>
          <w:tcPr>
            <w:tcW w:w="1523" w:type="pct"/>
            <w:shd w:val="clear" w:color="auto" w:fill="auto"/>
            <w:vAlign w:val="bottom"/>
          </w:tcPr>
          <w:p w14:paraId="22CFC861" w14:textId="77777777" w:rsidR="002661BA" w:rsidRDefault="002661BA">
            <w:pPr>
              <w:rPr>
                <w:rFonts w:ascii="宋体"/>
              </w:rPr>
            </w:pPr>
          </w:p>
        </w:tc>
        <w:tc>
          <w:tcPr>
            <w:tcW w:w="5" w:type="pct"/>
            <w:shd w:val="clear" w:color="auto" w:fill="auto"/>
            <w:vAlign w:val="bottom"/>
          </w:tcPr>
          <w:p w14:paraId="22CFC862" w14:textId="77777777" w:rsidR="002661BA" w:rsidRDefault="002661BA">
            <w:pPr>
              <w:rPr>
                <w:rFonts w:ascii="宋体"/>
              </w:rPr>
            </w:pPr>
          </w:p>
        </w:tc>
        <w:tc>
          <w:tcPr>
            <w:tcW w:w="50" w:type="pct"/>
            <w:shd w:val="clear" w:color="auto" w:fill="auto"/>
            <w:vAlign w:val="bottom"/>
          </w:tcPr>
          <w:p w14:paraId="22CFC863" w14:textId="77777777" w:rsidR="002661BA" w:rsidRDefault="002661BA">
            <w:pPr>
              <w:rPr>
                <w:rFonts w:ascii="宋体"/>
              </w:rPr>
            </w:pPr>
          </w:p>
        </w:tc>
        <w:tc>
          <w:tcPr>
            <w:tcW w:w="763" w:type="pct"/>
            <w:shd w:val="clear" w:color="auto" w:fill="auto"/>
            <w:vAlign w:val="bottom"/>
          </w:tcPr>
          <w:p w14:paraId="22CFC864" w14:textId="77777777" w:rsidR="002661BA" w:rsidRDefault="002661BA">
            <w:pPr>
              <w:rPr>
                <w:rFonts w:ascii="宋体"/>
              </w:rPr>
            </w:pPr>
          </w:p>
        </w:tc>
        <w:tc>
          <w:tcPr>
            <w:tcW w:w="5" w:type="pct"/>
            <w:shd w:val="clear" w:color="auto" w:fill="auto"/>
            <w:vAlign w:val="bottom"/>
          </w:tcPr>
          <w:p w14:paraId="22CFC865" w14:textId="77777777" w:rsidR="002661BA" w:rsidRDefault="002661BA">
            <w:pPr>
              <w:rPr>
                <w:rFonts w:ascii="宋体"/>
              </w:rPr>
            </w:pPr>
          </w:p>
        </w:tc>
        <w:tc>
          <w:tcPr>
            <w:tcW w:w="5" w:type="pct"/>
            <w:shd w:val="clear" w:color="auto" w:fill="auto"/>
            <w:vAlign w:val="bottom"/>
          </w:tcPr>
          <w:p w14:paraId="22CFC866" w14:textId="77777777" w:rsidR="002661BA" w:rsidRDefault="002661BA">
            <w:pPr>
              <w:rPr>
                <w:rFonts w:ascii="宋体"/>
              </w:rPr>
            </w:pPr>
          </w:p>
        </w:tc>
        <w:tc>
          <w:tcPr>
            <w:tcW w:w="19" w:type="pct"/>
            <w:shd w:val="clear" w:color="auto" w:fill="auto"/>
            <w:vAlign w:val="bottom"/>
          </w:tcPr>
          <w:p w14:paraId="22CFC867" w14:textId="77777777" w:rsidR="002661BA" w:rsidRDefault="002661BA">
            <w:pPr>
              <w:rPr>
                <w:rFonts w:ascii="宋体"/>
              </w:rPr>
            </w:pPr>
          </w:p>
        </w:tc>
        <w:tc>
          <w:tcPr>
            <w:tcW w:w="5" w:type="pct"/>
            <w:shd w:val="clear" w:color="auto" w:fill="auto"/>
            <w:vAlign w:val="bottom"/>
          </w:tcPr>
          <w:p w14:paraId="22CFC868" w14:textId="77777777" w:rsidR="002661BA" w:rsidRDefault="002661BA">
            <w:pPr>
              <w:rPr>
                <w:rFonts w:ascii="宋体"/>
              </w:rPr>
            </w:pPr>
          </w:p>
        </w:tc>
        <w:tc>
          <w:tcPr>
            <w:tcW w:w="50" w:type="pct"/>
            <w:shd w:val="clear" w:color="auto" w:fill="auto"/>
            <w:vAlign w:val="bottom"/>
          </w:tcPr>
          <w:p w14:paraId="22CFC869" w14:textId="77777777" w:rsidR="002661BA" w:rsidRDefault="002661BA">
            <w:pPr>
              <w:rPr>
                <w:rFonts w:ascii="宋体"/>
              </w:rPr>
            </w:pPr>
          </w:p>
        </w:tc>
        <w:tc>
          <w:tcPr>
            <w:tcW w:w="763" w:type="pct"/>
            <w:shd w:val="clear" w:color="auto" w:fill="auto"/>
            <w:vAlign w:val="bottom"/>
          </w:tcPr>
          <w:p w14:paraId="22CFC86A" w14:textId="77777777" w:rsidR="002661BA" w:rsidRDefault="002661BA">
            <w:pPr>
              <w:rPr>
                <w:rFonts w:ascii="宋体"/>
              </w:rPr>
            </w:pPr>
          </w:p>
        </w:tc>
        <w:tc>
          <w:tcPr>
            <w:tcW w:w="5" w:type="pct"/>
            <w:shd w:val="clear" w:color="auto" w:fill="auto"/>
            <w:vAlign w:val="bottom"/>
          </w:tcPr>
          <w:p w14:paraId="22CFC86B" w14:textId="77777777" w:rsidR="002661BA" w:rsidRDefault="002661BA">
            <w:pPr>
              <w:rPr>
                <w:rFonts w:ascii="宋体"/>
              </w:rPr>
            </w:pPr>
          </w:p>
        </w:tc>
        <w:tc>
          <w:tcPr>
            <w:tcW w:w="5" w:type="pct"/>
            <w:shd w:val="clear" w:color="auto" w:fill="auto"/>
            <w:vAlign w:val="bottom"/>
          </w:tcPr>
          <w:p w14:paraId="22CFC86C" w14:textId="77777777" w:rsidR="002661BA" w:rsidRDefault="002661BA">
            <w:pPr>
              <w:rPr>
                <w:rFonts w:ascii="宋体"/>
              </w:rPr>
            </w:pPr>
          </w:p>
        </w:tc>
        <w:tc>
          <w:tcPr>
            <w:tcW w:w="19" w:type="pct"/>
            <w:shd w:val="clear" w:color="auto" w:fill="auto"/>
            <w:vAlign w:val="bottom"/>
          </w:tcPr>
          <w:p w14:paraId="22CFC86D" w14:textId="77777777" w:rsidR="002661BA" w:rsidRDefault="002661BA">
            <w:pPr>
              <w:rPr>
                <w:rFonts w:ascii="宋体"/>
              </w:rPr>
            </w:pPr>
          </w:p>
        </w:tc>
        <w:tc>
          <w:tcPr>
            <w:tcW w:w="5" w:type="pct"/>
            <w:shd w:val="clear" w:color="auto" w:fill="auto"/>
            <w:vAlign w:val="bottom"/>
          </w:tcPr>
          <w:p w14:paraId="22CFC86E" w14:textId="77777777" w:rsidR="002661BA" w:rsidRDefault="002661BA">
            <w:pPr>
              <w:rPr>
                <w:rFonts w:ascii="宋体"/>
              </w:rPr>
            </w:pPr>
          </w:p>
        </w:tc>
        <w:tc>
          <w:tcPr>
            <w:tcW w:w="50" w:type="pct"/>
            <w:shd w:val="clear" w:color="auto" w:fill="auto"/>
            <w:vAlign w:val="bottom"/>
          </w:tcPr>
          <w:p w14:paraId="22CFC86F" w14:textId="77777777" w:rsidR="002661BA" w:rsidRDefault="002661BA">
            <w:pPr>
              <w:rPr>
                <w:rFonts w:ascii="宋体"/>
              </w:rPr>
            </w:pPr>
          </w:p>
        </w:tc>
        <w:tc>
          <w:tcPr>
            <w:tcW w:w="763" w:type="pct"/>
            <w:shd w:val="clear" w:color="auto" w:fill="auto"/>
            <w:vAlign w:val="bottom"/>
          </w:tcPr>
          <w:p w14:paraId="22CFC870" w14:textId="77777777" w:rsidR="002661BA" w:rsidRDefault="002661BA">
            <w:pPr>
              <w:rPr>
                <w:rFonts w:ascii="宋体"/>
              </w:rPr>
            </w:pPr>
          </w:p>
        </w:tc>
        <w:tc>
          <w:tcPr>
            <w:tcW w:w="5" w:type="pct"/>
            <w:shd w:val="clear" w:color="auto" w:fill="auto"/>
            <w:vAlign w:val="bottom"/>
          </w:tcPr>
          <w:p w14:paraId="22CFC871" w14:textId="77777777" w:rsidR="002661BA" w:rsidRDefault="002661BA">
            <w:pPr>
              <w:rPr>
                <w:rFonts w:ascii="宋体"/>
              </w:rPr>
            </w:pPr>
          </w:p>
        </w:tc>
        <w:tc>
          <w:tcPr>
            <w:tcW w:w="5" w:type="pct"/>
            <w:shd w:val="clear" w:color="auto" w:fill="auto"/>
            <w:vAlign w:val="bottom"/>
          </w:tcPr>
          <w:p w14:paraId="22CFC872" w14:textId="77777777" w:rsidR="002661BA" w:rsidRDefault="002661BA">
            <w:pPr>
              <w:rPr>
                <w:rFonts w:ascii="宋体"/>
              </w:rPr>
            </w:pPr>
          </w:p>
        </w:tc>
        <w:tc>
          <w:tcPr>
            <w:tcW w:w="19" w:type="pct"/>
            <w:shd w:val="clear" w:color="auto" w:fill="auto"/>
            <w:vAlign w:val="bottom"/>
          </w:tcPr>
          <w:p w14:paraId="22CFC873" w14:textId="77777777" w:rsidR="002661BA" w:rsidRDefault="002661BA">
            <w:pPr>
              <w:rPr>
                <w:rFonts w:ascii="宋体"/>
              </w:rPr>
            </w:pPr>
          </w:p>
        </w:tc>
        <w:tc>
          <w:tcPr>
            <w:tcW w:w="5" w:type="pct"/>
            <w:shd w:val="clear" w:color="auto" w:fill="auto"/>
            <w:vAlign w:val="bottom"/>
          </w:tcPr>
          <w:p w14:paraId="22CFC874" w14:textId="77777777" w:rsidR="002661BA" w:rsidRDefault="002661BA">
            <w:pPr>
              <w:rPr>
                <w:rFonts w:ascii="宋体"/>
              </w:rPr>
            </w:pPr>
          </w:p>
        </w:tc>
        <w:tc>
          <w:tcPr>
            <w:tcW w:w="50" w:type="pct"/>
            <w:shd w:val="clear" w:color="auto" w:fill="auto"/>
            <w:vAlign w:val="bottom"/>
          </w:tcPr>
          <w:p w14:paraId="22CFC875" w14:textId="77777777" w:rsidR="002661BA" w:rsidRDefault="002661BA">
            <w:pPr>
              <w:rPr>
                <w:rFonts w:ascii="宋体"/>
              </w:rPr>
            </w:pPr>
          </w:p>
        </w:tc>
        <w:tc>
          <w:tcPr>
            <w:tcW w:w="822" w:type="pct"/>
            <w:shd w:val="clear" w:color="auto" w:fill="auto"/>
            <w:vAlign w:val="bottom"/>
          </w:tcPr>
          <w:p w14:paraId="22CFC876" w14:textId="77777777" w:rsidR="002661BA" w:rsidRDefault="002661BA">
            <w:pPr>
              <w:rPr>
                <w:rFonts w:ascii="宋体"/>
              </w:rPr>
            </w:pPr>
          </w:p>
        </w:tc>
        <w:tc>
          <w:tcPr>
            <w:tcW w:w="5" w:type="pct"/>
            <w:shd w:val="clear" w:color="auto" w:fill="auto"/>
            <w:vAlign w:val="bottom"/>
          </w:tcPr>
          <w:p w14:paraId="22CFC877" w14:textId="77777777" w:rsidR="002661BA" w:rsidRDefault="002661BA">
            <w:pPr>
              <w:rPr>
                <w:rFonts w:ascii="宋体"/>
              </w:rPr>
            </w:pPr>
          </w:p>
        </w:tc>
      </w:tr>
      <w:tr w:rsidR="002661BA" w14:paraId="22CFC882" w14:textId="77777777">
        <w:tc>
          <w:tcPr>
            <w:tcW w:w="0" w:type="auto"/>
            <w:gridSpan w:val="3"/>
            <w:shd w:val="clear" w:color="auto" w:fill="auto"/>
            <w:tcMar>
              <w:top w:w="0" w:type="dxa"/>
              <w:left w:w="20" w:type="dxa"/>
              <w:bottom w:w="0" w:type="dxa"/>
              <w:right w:w="20" w:type="dxa"/>
            </w:tcMar>
            <w:vAlign w:val="bottom"/>
          </w:tcPr>
          <w:p w14:paraId="22CFC879"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87A" w14:textId="77777777" w:rsidR="002661BA" w:rsidRDefault="00D972BC">
            <w:pPr>
              <w:jc w:val="center"/>
              <w:textAlignment w:val="bottom"/>
            </w:pPr>
            <w:r>
              <w:rPr>
                <w:rFonts w:ascii="Arial" w:eastAsia="宋体" w:hAnsi="Arial" w:cs="Arial"/>
                <w:b/>
                <w:bCs/>
                <w:color w:val="000000"/>
                <w:sz w:val="17"/>
                <w:szCs w:val="17"/>
              </w:rPr>
              <w:t>December 31, 2020</w:t>
            </w:r>
          </w:p>
        </w:tc>
        <w:tc>
          <w:tcPr>
            <w:tcW w:w="0" w:type="auto"/>
            <w:gridSpan w:val="3"/>
            <w:shd w:val="clear" w:color="auto" w:fill="auto"/>
            <w:tcMar>
              <w:top w:w="0" w:type="dxa"/>
              <w:left w:w="20" w:type="dxa"/>
              <w:bottom w:w="0" w:type="dxa"/>
              <w:right w:w="20" w:type="dxa"/>
            </w:tcMar>
            <w:vAlign w:val="bottom"/>
          </w:tcPr>
          <w:p w14:paraId="22CFC87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87C" w14:textId="77777777" w:rsidR="002661BA" w:rsidRDefault="00D972BC">
            <w:pPr>
              <w:jc w:val="center"/>
              <w:textAlignment w:val="bottom"/>
            </w:pPr>
            <w:r>
              <w:rPr>
                <w:rFonts w:ascii="Arial" w:eastAsia="宋体" w:hAnsi="Arial" w:cs="Arial"/>
                <w:b/>
                <w:bCs/>
                <w:color w:val="000000"/>
                <w:sz w:val="17"/>
                <w:szCs w:val="17"/>
              </w:rPr>
              <w:t>Quoted Prices in Active Markets for Identical Assets</w:t>
            </w:r>
          </w:p>
          <w:p w14:paraId="22CFC87D" w14:textId="77777777" w:rsidR="002661BA" w:rsidRDefault="00D972BC">
            <w:pPr>
              <w:jc w:val="center"/>
              <w:textAlignment w:val="bottom"/>
            </w:pPr>
            <w:r>
              <w:rPr>
                <w:rFonts w:ascii="Arial" w:eastAsia="宋体" w:hAnsi="Arial" w:cs="Arial"/>
                <w:b/>
                <w:bCs/>
                <w:color w:val="000000"/>
                <w:sz w:val="17"/>
                <w:szCs w:val="17"/>
              </w:rPr>
              <w:t>(Level 1)</w:t>
            </w:r>
            <w:r>
              <w:rPr>
                <w:rFonts w:ascii="Arial" w:eastAsia="宋体" w:hAnsi="Arial" w:cs="Arial"/>
                <w:color w:val="000000"/>
                <w:sz w:val="17"/>
                <w:szCs w:val="17"/>
              </w:rPr>
              <w:t xml:space="preserve"> </w:t>
            </w:r>
          </w:p>
        </w:tc>
        <w:tc>
          <w:tcPr>
            <w:tcW w:w="0" w:type="auto"/>
            <w:gridSpan w:val="3"/>
            <w:shd w:val="clear" w:color="auto" w:fill="auto"/>
            <w:tcMar>
              <w:top w:w="0" w:type="dxa"/>
              <w:left w:w="20" w:type="dxa"/>
              <w:bottom w:w="0" w:type="dxa"/>
              <w:right w:w="20" w:type="dxa"/>
            </w:tcMar>
            <w:vAlign w:val="bottom"/>
          </w:tcPr>
          <w:p w14:paraId="22CFC87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87F" w14:textId="77777777" w:rsidR="002661BA" w:rsidRDefault="00D972BC">
            <w:pPr>
              <w:jc w:val="center"/>
              <w:textAlignment w:val="bottom"/>
            </w:pPr>
            <w:r>
              <w:rPr>
                <w:rFonts w:ascii="Arial" w:eastAsia="宋体" w:hAnsi="Arial" w:cs="Arial"/>
                <w:b/>
                <w:bCs/>
                <w:color w:val="000000"/>
                <w:sz w:val="17"/>
                <w:szCs w:val="17"/>
              </w:rPr>
              <w:t>Significant Other Observable Inputs</w:t>
            </w:r>
            <w:r>
              <w:rPr>
                <w:rFonts w:ascii="Arial" w:eastAsia="宋体" w:hAnsi="Arial" w:cs="Arial"/>
                <w:b/>
                <w:bCs/>
                <w:color w:val="000000"/>
                <w:sz w:val="17"/>
                <w:szCs w:val="17"/>
              </w:rPr>
              <w:br/>
              <w:t>(Level 2)</w:t>
            </w:r>
          </w:p>
        </w:tc>
        <w:tc>
          <w:tcPr>
            <w:tcW w:w="0" w:type="auto"/>
            <w:gridSpan w:val="3"/>
            <w:shd w:val="clear" w:color="auto" w:fill="auto"/>
            <w:tcMar>
              <w:top w:w="0" w:type="dxa"/>
              <w:left w:w="20" w:type="dxa"/>
              <w:bottom w:w="0" w:type="dxa"/>
              <w:right w:w="20" w:type="dxa"/>
            </w:tcMar>
            <w:vAlign w:val="bottom"/>
          </w:tcPr>
          <w:p w14:paraId="22CFC88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881" w14:textId="77777777" w:rsidR="002661BA" w:rsidRDefault="00D972BC">
            <w:pPr>
              <w:jc w:val="center"/>
              <w:textAlignment w:val="bottom"/>
            </w:pPr>
            <w:r>
              <w:rPr>
                <w:rFonts w:ascii="Arial" w:eastAsia="宋体" w:hAnsi="Arial" w:cs="Arial"/>
                <w:b/>
                <w:bCs/>
                <w:color w:val="000000"/>
                <w:sz w:val="17"/>
                <w:szCs w:val="17"/>
              </w:rPr>
              <w:t>Significant Unobservable Inputs</w:t>
            </w:r>
            <w:r>
              <w:rPr>
                <w:rFonts w:ascii="Arial" w:eastAsia="宋体" w:hAnsi="Arial" w:cs="Arial"/>
                <w:b/>
                <w:bCs/>
                <w:color w:val="000000"/>
                <w:sz w:val="17"/>
                <w:szCs w:val="17"/>
              </w:rPr>
              <w:br/>
              <w:t>(Level 3)</w:t>
            </w:r>
          </w:p>
        </w:tc>
      </w:tr>
      <w:tr w:rsidR="002661BA" w14:paraId="22CFC88B" w14:textId="77777777">
        <w:tc>
          <w:tcPr>
            <w:tcW w:w="0" w:type="auto"/>
            <w:gridSpan w:val="3"/>
            <w:shd w:val="clear" w:color="auto" w:fill="E2E2E2"/>
            <w:tcMar>
              <w:top w:w="40" w:type="dxa"/>
              <w:left w:w="20" w:type="dxa"/>
              <w:bottom w:w="40" w:type="dxa"/>
              <w:right w:w="20" w:type="dxa"/>
            </w:tcMar>
            <w:vAlign w:val="bottom"/>
          </w:tcPr>
          <w:p w14:paraId="22CFC883" w14:textId="77777777" w:rsidR="002661BA" w:rsidRDefault="00D972BC">
            <w:pPr>
              <w:textAlignment w:val="bottom"/>
            </w:pPr>
            <w:r>
              <w:rPr>
                <w:rFonts w:ascii="Arial" w:eastAsia="宋体" w:hAnsi="Arial" w:cs="Arial"/>
                <w:b/>
                <w:bCs/>
                <w:i/>
                <w:iCs/>
                <w:color w:val="000000"/>
                <w:sz w:val="18"/>
                <w:szCs w:val="18"/>
              </w:rPr>
              <w:t>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22CFC884"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22CFC885" w14:textId="77777777" w:rsidR="002661BA" w:rsidRDefault="002661B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22CFC886"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22CFC887" w14:textId="77777777" w:rsidR="002661BA" w:rsidRDefault="002661B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22CFC888"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22CFC889"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88A" w14:textId="77777777" w:rsidR="002661BA" w:rsidRDefault="002661BA">
            <w:pPr>
              <w:rPr>
                <w:rFonts w:ascii="宋体"/>
              </w:rPr>
            </w:pPr>
          </w:p>
        </w:tc>
      </w:tr>
      <w:tr w:rsidR="002661BA" w14:paraId="22CFC89C" w14:textId="77777777">
        <w:tc>
          <w:tcPr>
            <w:tcW w:w="0" w:type="auto"/>
            <w:gridSpan w:val="3"/>
            <w:shd w:val="clear" w:color="auto" w:fill="FFFFFF"/>
            <w:tcMar>
              <w:top w:w="40" w:type="dxa"/>
              <w:left w:w="20" w:type="dxa"/>
              <w:bottom w:w="40" w:type="dxa"/>
              <w:right w:w="20" w:type="dxa"/>
            </w:tcMar>
            <w:vAlign w:val="bottom"/>
          </w:tcPr>
          <w:p w14:paraId="22CFC88C" w14:textId="77777777" w:rsidR="002661BA" w:rsidRDefault="00D972BC">
            <w:pPr>
              <w:textAlignment w:val="bottom"/>
            </w:pPr>
            <w:r>
              <w:rPr>
                <w:rFonts w:ascii="Arial" w:eastAsia="宋体" w:hAnsi="Arial" w:cs="Arial"/>
                <w:color w:val="000000"/>
                <w:sz w:val="18"/>
                <w:szCs w:val="18"/>
              </w:rPr>
              <w:t xml:space="preserve">Cash and cash </w:t>
            </w:r>
            <w:r>
              <w:rPr>
                <w:rFonts w:ascii="Arial" w:eastAsia="宋体" w:hAnsi="Arial" w:cs="Arial"/>
                <w:color w:val="000000"/>
                <w:sz w:val="18"/>
                <w:szCs w:val="18"/>
              </w:rPr>
              <w:t>equivalents</w:t>
            </w:r>
          </w:p>
        </w:tc>
        <w:tc>
          <w:tcPr>
            <w:tcW w:w="0" w:type="auto"/>
            <w:tcBorders>
              <w:top w:val="single" w:sz="8" w:space="0" w:color="000000"/>
            </w:tcBorders>
            <w:shd w:val="clear" w:color="auto" w:fill="FFFFFF"/>
            <w:tcMar>
              <w:top w:w="40" w:type="dxa"/>
              <w:left w:w="20" w:type="dxa"/>
              <w:bottom w:w="40" w:type="dxa"/>
              <w:right w:w="0" w:type="dxa"/>
            </w:tcMar>
            <w:vAlign w:val="bottom"/>
          </w:tcPr>
          <w:p w14:paraId="22CFC88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C88E" w14:textId="77777777" w:rsidR="002661BA" w:rsidRDefault="00D972BC">
            <w:pPr>
              <w:jc w:val="right"/>
              <w:textAlignment w:val="bottom"/>
            </w:pPr>
            <w:r>
              <w:rPr>
                <w:rFonts w:ascii="Arial" w:eastAsia="宋体" w:hAnsi="Arial" w:cs="Arial"/>
                <w:color w:val="000000"/>
                <w:sz w:val="18"/>
                <w:szCs w:val="18"/>
              </w:rPr>
              <w:t>1,101 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88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890"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C89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C892" w14:textId="77777777" w:rsidR="002661BA" w:rsidRDefault="00D972BC">
            <w:pPr>
              <w:jc w:val="right"/>
              <w:textAlignment w:val="bottom"/>
            </w:pPr>
            <w:r>
              <w:rPr>
                <w:rFonts w:ascii="Arial" w:eastAsia="宋体" w:hAnsi="Arial" w:cs="Arial"/>
                <w:color w:val="000000"/>
                <w:sz w:val="18"/>
                <w:szCs w:val="18"/>
              </w:rPr>
              <w:t>890 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89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894"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C89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C896" w14:textId="77777777" w:rsidR="002661BA" w:rsidRDefault="00D972BC">
            <w:pPr>
              <w:jc w:val="right"/>
              <w:textAlignment w:val="bottom"/>
            </w:pPr>
            <w:r>
              <w:rPr>
                <w:rFonts w:ascii="Arial" w:eastAsia="宋体" w:hAnsi="Arial" w:cs="Arial"/>
                <w:color w:val="000000"/>
                <w:sz w:val="18"/>
                <w:szCs w:val="18"/>
              </w:rPr>
              <w:t>211 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89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898"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C89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C89A"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89B" w14:textId="77777777" w:rsidR="002661BA" w:rsidRDefault="002661BA">
            <w:pPr>
              <w:jc w:val="right"/>
              <w:rPr>
                <w:rFonts w:ascii="宋体"/>
              </w:rPr>
            </w:pPr>
          </w:p>
        </w:tc>
      </w:tr>
      <w:tr w:rsidR="002661BA" w14:paraId="22CFC8A5" w14:textId="77777777">
        <w:tc>
          <w:tcPr>
            <w:tcW w:w="0" w:type="auto"/>
            <w:gridSpan w:val="3"/>
            <w:shd w:val="clear" w:color="auto" w:fill="E2E2E2"/>
            <w:tcMar>
              <w:top w:w="40" w:type="dxa"/>
              <w:left w:w="20" w:type="dxa"/>
              <w:bottom w:w="40" w:type="dxa"/>
              <w:right w:w="20" w:type="dxa"/>
            </w:tcMar>
            <w:vAlign w:val="bottom"/>
          </w:tcPr>
          <w:p w14:paraId="22CFC89D" w14:textId="77777777" w:rsidR="002661BA" w:rsidRDefault="00D972BC">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89E"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89F"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8A0"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8A1"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8A2"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8A3"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8A4" w14:textId="77777777" w:rsidR="002661BA" w:rsidRDefault="002661BA">
            <w:pPr>
              <w:rPr>
                <w:rFonts w:ascii="宋体"/>
              </w:rPr>
            </w:pPr>
          </w:p>
        </w:tc>
      </w:tr>
      <w:tr w:rsidR="002661BA" w14:paraId="22CFC8B2" w14:textId="77777777">
        <w:tc>
          <w:tcPr>
            <w:tcW w:w="0" w:type="auto"/>
            <w:gridSpan w:val="3"/>
            <w:shd w:val="clear" w:color="auto" w:fill="FFFFFF"/>
            <w:tcMar>
              <w:top w:w="40" w:type="dxa"/>
              <w:left w:w="395" w:type="dxa"/>
              <w:bottom w:w="40" w:type="dxa"/>
              <w:right w:w="20" w:type="dxa"/>
            </w:tcMar>
            <w:vAlign w:val="bottom"/>
          </w:tcPr>
          <w:p w14:paraId="22CFC8A6" w14:textId="77777777" w:rsidR="002661BA" w:rsidRDefault="00D972BC">
            <w:pPr>
              <w:textAlignment w:val="bottom"/>
            </w:pPr>
            <w:r>
              <w:rPr>
                <w:rFonts w:ascii="Arial" w:eastAsia="宋体" w:hAnsi="Arial" w:cs="Arial"/>
                <w:color w:val="000000"/>
                <w:sz w:val="18"/>
                <w:szCs w:val="18"/>
              </w:rPr>
              <w:t>Restricted cash</w:t>
            </w:r>
          </w:p>
        </w:tc>
        <w:tc>
          <w:tcPr>
            <w:tcW w:w="0" w:type="auto"/>
            <w:gridSpan w:val="2"/>
            <w:shd w:val="clear" w:color="auto" w:fill="FFFFFF"/>
            <w:tcMar>
              <w:top w:w="40" w:type="dxa"/>
              <w:left w:w="20" w:type="dxa"/>
              <w:bottom w:w="40" w:type="dxa"/>
              <w:right w:w="0" w:type="dxa"/>
            </w:tcMar>
            <w:vAlign w:val="bottom"/>
          </w:tcPr>
          <w:p w14:paraId="22CFC8A7" w14:textId="77777777" w:rsidR="002661BA" w:rsidRDefault="00D972BC">
            <w:pPr>
              <w:jc w:val="right"/>
              <w:textAlignment w:val="bottom"/>
            </w:pPr>
            <w:r>
              <w:rPr>
                <w:rFonts w:ascii="Arial" w:eastAsia="宋体" w:hAnsi="Arial" w:cs="Arial"/>
                <w:color w:val="000000"/>
                <w:sz w:val="18"/>
                <w:szCs w:val="18"/>
              </w:rPr>
              <w:t>137 </w:t>
            </w:r>
          </w:p>
        </w:tc>
        <w:tc>
          <w:tcPr>
            <w:tcW w:w="0" w:type="auto"/>
            <w:shd w:val="clear" w:color="auto" w:fill="FFFFFF"/>
            <w:tcMar>
              <w:top w:w="40" w:type="dxa"/>
              <w:left w:w="0" w:type="dxa"/>
              <w:bottom w:w="40" w:type="dxa"/>
              <w:right w:w="20" w:type="dxa"/>
            </w:tcMar>
            <w:vAlign w:val="bottom"/>
          </w:tcPr>
          <w:p w14:paraId="22CFC8A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8A9"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8AA" w14:textId="77777777" w:rsidR="002661BA" w:rsidRDefault="00D972BC">
            <w:pPr>
              <w:jc w:val="right"/>
              <w:textAlignment w:val="bottom"/>
            </w:pPr>
            <w:r>
              <w:rPr>
                <w:rFonts w:ascii="Arial" w:eastAsia="宋体" w:hAnsi="Arial" w:cs="Arial"/>
                <w:color w:val="000000"/>
                <w:sz w:val="18"/>
                <w:szCs w:val="18"/>
              </w:rPr>
              <w:t>137 </w:t>
            </w:r>
          </w:p>
        </w:tc>
        <w:tc>
          <w:tcPr>
            <w:tcW w:w="0" w:type="auto"/>
            <w:shd w:val="clear" w:color="auto" w:fill="FFFFFF"/>
            <w:tcMar>
              <w:top w:w="40" w:type="dxa"/>
              <w:left w:w="0" w:type="dxa"/>
              <w:bottom w:w="40" w:type="dxa"/>
              <w:right w:w="20" w:type="dxa"/>
            </w:tcMar>
            <w:vAlign w:val="bottom"/>
          </w:tcPr>
          <w:p w14:paraId="22CFC8A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8A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8AD"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8A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8AF"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8B0"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8B1" w14:textId="77777777" w:rsidR="002661BA" w:rsidRDefault="002661BA">
            <w:pPr>
              <w:jc w:val="right"/>
              <w:rPr>
                <w:rFonts w:ascii="宋体"/>
              </w:rPr>
            </w:pPr>
          </w:p>
        </w:tc>
      </w:tr>
      <w:tr w:rsidR="002661BA" w14:paraId="22CFC8BF" w14:textId="77777777">
        <w:tc>
          <w:tcPr>
            <w:tcW w:w="0" w:type="auto"/>
            <w:gridSpan w:val="3"/>
            <w:shd w:val="clear" w:color="auto" w:fill="E2E2E2"/>
            <w:tcMar>
              <w:top w:w="40" w:type="dxa"/>
              <w:left w:w="395" w:type="dxa"/>
              <w:bottom w:w="40" w:type="dxa"/>
              <w:right w:w="20" w:type="dxa"/>
            </w:tcMar>
            <w:vAlign w:val="bottom"/>
          </w:tcPr>
          <w:p w14:paraId="22CFC8B3" w14:textId="77777777" w:rsidR="002661BA" w:rsidRDefault="00D972BC">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22CFC8B4" w14:textId="77777777" w:rsidR="002661BA" w:rsidRDefault="00D972BC">
            <w:pPr>
              <w:jc w:val="right"/>
              <w:textAlignment w:val="bottom"/>
            </w:pPr>
            <w:r>
              <w:rPr>
                <w:rFonts w:ascii="Arial" w:eastAsia="宋体" w:hAnsi="Arial" w:cs="Arial"/>
                <w:color w:val="000000"/>
                <w:sz w:val="18"/>
                <w:szCs w:val="18"/>
              </w:rPr>
              <w:t>2,255 </w:t>
            </w:r>
          </w:p>
        </w:tc>
        <w:tc>
          <w:tcPr>
            <w:tcW w:w="0" w:type="auto"/>
            <w:shd w:val="clear" w:color="auto" w:fill="E2E2E2"/>
            <w:tcMar>
              <w:top w:w="40" w:type="dxa"/>
              <w:left w:w="0" w:type="dxa"/>
              <w:bottom w:w="40" w:type="dxa"/>
              <w:right w:w="20" w:type="dxa"/>
            </w:tcMar>
            <w:vAlign w:val="bottom"/>
          </w:tcPr>
          <w:p w14:paraId="22CFC8B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8B6"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8B7"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C8B8"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8B9"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8BA" w14:textId="77777777" w:rsidR="002661BA" w:rsidRDefault="00D972BC">
            <w:pPr>
              <w:jc w:val="right"/>
              <w:textAlignment w:val="bottom"/>
            </w:pPr>
            <w:r>
              <w:rPr>
                <w:rFonts w:ascii="Arial" w:eastAsia="宋体" w:hAnsi="Arial" w:cs="Arial"/>
                <w:color w:val="000000"/>
                <w:sz w:val="18"/>
                <w:szCs w:val="18"/>
              </w:rPr>
              <w:t>2,255 </w:t>
            </w:r>
          </w:p>
        </w:tc>
        <w:tc>
          <w:tcPr>
            <w:tcW w:w="0" w:type="auto"/>
            <w:shd w:val="clear" w:color="auto" w:fill="E2E2E2"/>
            <w:tcMar>
              <w:top w:w="40" w:type="dxa"/>
              <w:left w:w="0" w:type="dxa"/>
              <w:bottom w:w="40" w:type="dxa"/>
              <w:right w:w="20" w:type="dxa"/>
            </w:tcMar>
            <w:vAlign w:val="bottom"/>
          </w:tcPr>
          <w:p w14:paraId="22CFC8B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8BC"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8BD"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C8BE" w14:textId="77777777" w:rsidR="002661BA" w:rsidRDefault="002661BA">
            <w:pPr>
              <w:jc w:val="right"/>
              <w:rPr>
                <w:rFonts w:ascii="宋体"/>
              </w:rPr>
            </w:pPr>
          </w:p>
        </w:tc>
      </w:tr>
      <w:tr w:rsidR="002661BA" w14:paraId="22CFC8C8" w14:textId="77777777">
        <w:trPr>
          <w:hidden/>
        </w:trPr>
        <w:tc>
          <w:tcPr>
            <w:tcW w:w="0" w:type="auto"/>
            <w:gridSpan w:val="3"/>
            <w:shd w:val="clear" w:color="auto" w:fill="auto"/>
            <w:vAlign w:val="bottom"/>
          </w:tcPr>
          <w:p w14:paraId="22CFC8C0" w14:textId="77777777" w:rsidR="002661BA" w:rsidRDefault="002661BA">
            <w:pPr>
              <w:rPr>
                <w:rFonts w:ascii="宋体"/>
                <w:vanish/>
              </w:rPr>
            </w:pPr>
          </w:p>
        </w:tc>
        <w:tc>
          <w:tcPr>
            <w:tcW w:w="0" w:type="auto"/>
            <w:gridSpan w:val="3"/>
            <w:shd w:val="clear" w:color="auto" w:fill="auto"/>
            <w:vAlign w:val="bottom"/>
          </w:tcPr>
          <w:p w14:paraId="22CFC8C1" w14:textId="77777777" w:rsidR="002661BA" w:rsidRDefault="002661BA">
            <w:pPr>
              <w:rPr>
                <w:rFonts w:ascii="宋体"/>
                <w:vanish/>
              </w:rPr>
            </w:pPr>
          </w:p>
        </w:tc>
        <w:tc>
          <w:tcPr>
            <w:tcW w:w="0" w:type="auto"/>
            <w:gridSpan w:val="3"/>
            <w:shd w:val="clear" w:color="auto" w:fill="auto"/>
            <w:vAlign w:val="bottom"/>
          </w:tcPr>
          <w:p w14:paraId="22CFC8C2" w14:textId="77777777" w:rsidR="002661BA" w:rsidRDefault="002661BA">
            <w:pPr>
              <w:rPr>
                <w:rFonts w:ascii="宋体"/>
                <w:vanish/>
              </w:rPr>
            </w:pPr>
          </w:p>
        </w:tc>
        <w:tc>
          <w:tcPr>
            <w:tcW w:w="0" w:type="auto"/>
            <w:gridSpan w:val="3"/>
            <w:shd w:val="clear" w:color="auto" w:fill="auto"/>
            <w:vAlign w:val="bottom"/>
          </w:tcPr>
          <w:p w14:paraId="22CFC8C3" w14:textId="77777777" w:rsidR="002661BA" w:rsidRDefault="002661BA">
            <w:pPr>
              <w:rPr>
                <w:rFonts w:ascii="宋体"/>
                <w:vanish/>
              </w:rPr>
            </w:pPr>
          </w:p>
        </w:tc>
        <w:tc>
          <w:tcPr>
            <w:tcW w:w="0" w:type="auto"/>
            <w:gridSpan w:val="3"/>
            <w:shd w:val="clear" w:color="auto" w:fill="auto"/>
            <w:vAlign w:val="bottom"/>
          </w:tcPr>
          <w:p w14:paraId="22CFC8C4" w14:textId="77777777" w:rsidR="002661BA" w:rsidRDefault="002661BA">
            <w:pPr>
              <w:rPr>
                <w:rFonts w:ascii="宋体"/>
                <w:vanish/>
              </w:rPr>
            </w:pPr>
          </w:p>
        </w:tc>
        <w:tc>
          <w:tcPr>
            <w:tcW w:w="0" w:type="auto"/>
            <w:gridSpan w:val="3"/>
            <w:shd w:val="clear" w:color="auto" w:fill="auto"/>
            <w:vAlign w:val="bottom"/>
          </w:tcPr>
          <w:p w14:paraId="22CFC8C5" w14:textId="77777777" w:rsidR="002661BA" w:rsidRDefault="002661BA">
            <w:pPr>
              <w:rPr>
                <w:rFonts w:ascii="宋体"/>
                <w:vanish/>
              </w:rPr>
            </w:pPr>
          </w:p>
        </w:tc>
        <w:tc>
          <w:tcPr>
            <w:tcW w:w="0" w:type="auto"/>
            <w:gridSpan w:val="3"/>
            <w:shd w:val="clear" w:color="auto" w:fill="auto"/>
            <w:vAlign w:val="bottom"/>
          </w:tcPr>
          <w:p w14:paraId="22CFC8C6" w14:textId="77777777" w:rsidR="002661BA" w:rsidRDefault="002661BA">
            <w:pPr>
              <w:rPr>
                <w:rFonts w:ascii="宋体"/>
                <w:vanish/>
              </w:rPr>
            </w:pPr>
          </w:p>
        </w:tc>
        <w:tc>
          <w:tcPr>
            <w:tcW w:w="0" w:type="auto"/>
            <w:gridSpan w:val="3"/>
            <w:shd w:val="clear" w:color="auto" w:fill="auto"/>
            <w:vAlign w:val="bottom"/>
          </w:tcPr>
          <w:p w14:paraId="22CFC8C7" w14:textId="77777777" w:rsidR="002661BA" w:rsidRDefault="002661BA">
            <w:pPr>
              <w:rPr>
                <w:rFonts w:ascii="宋体"/>
                <w:vanish/>
              </w:rPr>
            </w:pPr>
          </w:p>
        </w:tc>
      </w:tr>
      <w:tr w:rsidR="002661BA" w14:paraId="22CFC8D1" w14:textId="77777777">
        <w:trPr>
          <w:hidden/>
        </w:trPr>
        <w:tc>
          <w:tcPr>
            <w:tcW w:w="0" w:type="auto"/>
            <w:gridSpan w:val="3"/>
            <w:shd w:val="clear" w:color="auto" w:fill="auto"/>
            <w:vAlign w:val="bottom"/>
          </w:tcPr>
          <w:p w14:paraId="22CFC8C9" w14:textId="77777777" w:rsidR="002661BA" w:rsidRDefault="002661BA">
            <w:pPr>
              <w:rPr>
                <w:rFonts w:ascii="宋体"/>
                <w:vanish/>
              </w:rPr>
            </w:pPr>
          </w:p>
        </w:tc>
        <w:tc>
          <w:tcPr>
            <w:tcW w:w="0" w:type="auto"/>
            <w:gridSpan w:val="3"/>
            <w:shd w:val="clear" w:color="auto" w:fill="auto"/>
            <w:vAlign w:val="bottom"/>
          </w:tcPr>
          <w:p w14:paraId="22CFC8CA" w14:textId="77777777" w:rsidR="002661BA" w:rsidRDefault="002661BA">
            <w:pPr>
              <w:rPr>
                <w:rFonts w:ascii="宋体"/>
                <w:vanish/>
              </w:rPr>
            </w:pPr>
          </w:p>
        </w:tc>
        <w:tc>
          <w:tcPr>
            <w:tcW w:w="0" w:type="auto"/>
            <w:gridSpan w:val="3"/>
            <w:shd w:val="clear" w:color="auto" w:fill="auto"/>
            <w:vAlign w:val="bottom"/>
          </w:tcPr>
          <w:p w14:paraId="22CFC8CB" w14:textId="77777777" w:rsidR="002661BA" w:rsidRDefault="002661BA">
            <w:pPr>
              <w:rPr>
                <w:rFonts w:ascii="宋体"/>
                <w:vanish/>
              </w:rPr>
            </w:pPr>
          </w:p>
        </w:tc>
        <w:tc>
          <w:tcPr>
            <w:tcW w:w="0" w:type="auto"/>
            <w:gridSpan w:val="3"/>
            <w:shd w:val="clear" w:color="auto" w:fill="auto"/>
            <w:vAlign w:val="bottom"/>
          </w:tcPr>
          <w:p w14:paraId="22CFC8CC" w14:textId="77777777" w:rsidR="002661BA" w:rsidRDefault="002661BA">
            <w:pPr>
              <w:rPr>
                <w:rFonts w:ascii="宋体"/>
                <w:vanish/>
              </w:rPr>
            </w:pPr>
          </w:p>
        </w:tc>
        <w:tc>
          <w:tcPr>
            <w:tcW w:w="0" w:type="auto"/>
            <w:gridSpan w:val="3"/>
            <w:shd w:val="clear" w:color="auto" w:fill="auto"/>
            <w:vAlign w:val="bottom"/>
          </w:tcPr>
          <w:p w14:paraId="22CFC8CD" w14:textId="77777777" w:rsidR="002661BA" w:rsidRDefault="002661BA">
            <w:pPr>
              <w:rPr>
                <w:rFonts w:ascii="宋体"/>
                <w:vanish/>
              </w:rPr>
            </w:pPr>
          </w:p>
        </w:tc>
        <w:tc>
          <w:tcPr>
            <w:tcW w:w="0" w:type="auto"/>
            <w:gridSpan w:val="3"/>
            <w:shd w:val="clear" w:color="auto" w:fill="auto"/>
            <w:vAlign w:val="bottom"/>
          </w:tcPr>
          <w:p w14:paraId="22CFC8CE" w14:textId="77777777" w:rsidR="002661BA" w:rsidRDefault="002661BA">
            <w:pPr>
              <w:rPr>
                <w:rFonts w:ascii="宋体"/>
                <w:vanish/>
              </w:rPr>
            </w:pPr>
          </w:p>
        </w:tc>
        <w:tc>
          <w:tcPr>
            <w:tcW w:w="0" w:type="auto"/>
            <w:gridSpan w:val="3"/>
            <w:shd w:val="clear" w:color="auto" w:fill="auto"/>
            <w:vAlign w:val="bottom"/>
          </w:tcPr>
          <w:p w14:paraId="22CFC8CF" w14:textId="77777777" w:rsidR="002661BA" w:rsidRDefault="002661BA">
            <w:pPr>
              <w:rPr>
                <w:rFonts w:ascii="宋体"/>
                <w:vanish/>
              </w:rPr>
            </w:pPr>
          </w:p>
        </w:tc>
        <w:tc>
          <w:tcPr>
            <w:tcW w:w="0" w:type="auto"/>
            <w:gridSpan w:val="3"/>
            <w:shd w:val="clear" w:color="auto" w:fill="auto"/>
            <w:vAlign w:val="bottom"/>
          </w:tcPr>
          <w:p w14:paraId="22CFC8D0" w14:textId="77777777" w:rsidR="002661BA" w:rsidRDefault="002661BA">
            <w:pPr>
              <w:rPr>
                <w:rFonts w:ascii="宋体"/>
                <w:vanish/>
              </w:rPr>
            </w:pPr>
          </w:p>
        </w:tc>
      </w:tr>
      <w:tr w:rsidR="002661BA" w14:paraId="22CFC8DA" w14:textId="77777777">
        <w:trPr>
          <w:hidden/>
        </w:trPr>
        <w:tc>
          <w:tcPr>
            <w:tcW w:w="0" w:type="auto"/>
            <w:gridSpan w:val="3"/>
            <w:shd w:val="clear" w:color="auto" w:fill="auto"/>
            <w:vAlign w:val="bottom"/>
          </w:tcPr>
          <w:p w14:paraId="22CFC8D2" w14:textId="77777777" w:rsidR="002661BA" w:rsidRDefault="002661BA">
            <w:pPr>
              <w:rPr>
                <w:rFonts w:ascii="宋体"/>
                <w:vanish/>
              </w:rPr>
            </w:pPr>
          </w:p>
        </w:tc>
        <w:tc>
          <w:tcPr>
            <w:tcW w:w="0" w:type="auto"/>
            <w:gridSpan w:val="3"/>
            <w:shd w:val="clear" w:color="auto" w:fill="auto"/>
            <w:vAlign w:val="bottom"/>
          </w:tcPr>
          <w:p w14:paraId="22CFC8D3" w14:textId="77777777" w:rsidR="002661BA" w:rsidRDefault="002661BA">
            <w:pPr>
              <w:rPr>
                <w:rFonts w:ascii="宋体"/>
                <w:vanish/>
              </w:rPr>
            </w:pPr>
          </w:p>
        </w:tc>
        <w:tc>
          <w:tcPr>
            <w:tcW w:w="0" w:type="auto"/>
            <w:gridSpan w:val="3"/>
            <w:shd w:val="clear" w:color="auto" w:fill="auto"/>
            <w:vAlign w:val="bottom"/>
          </w:tcPr>
          <w:p w14:paraId="22CFC8D4" w14:textId="77777777" w:rsidR="002661BA" w:rsidRDefault="002661BA">
            <w:pPr>
              <w:rPr>
                <w:rFonts w:ascii="宋体"/>
                <w:vanish/>
              </w:rPr>
            </w:pPr>
          </w:p>
        </w:tc>
        <w:tc>
          <w:tcPr>
            <w:tcW w:w="0" w:type="auto"/>
            <w:gridSpan w:val="3"/>
            <w:shd w:val="clear" w:color="auto" w:fill="auto"/>
            <w:vAlign w:val="bottom"/>
          </w:tcPr>
          <w:p w14:paraId="22CFC8D5" w14:textId="77777777" w:rsidR="002661BA" w:rsidRDefault="002661BA">
            <w:pPr>
              <w:rPr>
                <w:rFonts w:ascii="宋体"/>
                <w:vanish/>
              </w:rPr>
            </w:pPr>
          </w:p>
        </w:tc>
        <w:tc>
          <w:tcPr>
            <w:tcW w:w="0" w:type="auto"/>
            <w:gridSpan w:val="3"/>
            <w:shd w:val="clear" w:color="auto" w:fill="auto"/>
            <w:vAlign w:val="bottom"/>
          </w:tcPr>
          <w:p w14:paraId="22CFC8D6" w14:textId="77777777" w:rsidR="002661BA" w:rsidRDefault="002661BA">
            <w:pPr>
              <w:rPr>
                <w:rFonts w:ascii="宋体"/>
                <w:vanish/>
              </w:rPr>
            </w:pPr>
          </w:p>
        </w:tc>
        <w:tc>
          <w:tcPr>
            <w:tcW w:w="0" w:type="auto"/>
            <w:gridSpan w:val="3"/>
            <w:shd w:val="clear" w:color="auto" w:fill="auto"/>
            <w:vAlign w:val="bottom"/>
          </w:tcPr>
          <w:p w14:paraId="22CFC8D7" w14:textId="77777777" w:rsidR="002661BA" w:rsidRDefault="002661BA">
            <w:pPr>
              <w:rPr>
                <w:rFonts w:ascii="宋体"/>
                <w:vanish/>
              </w:rPr>
            </w:pPr>
          </w:p>
        </w:tc>
        <w:tc>
          <w:tcPr>
            <w:tcW w:w="0" w:type="auto"/>
            <w:gridSpan w:val="3"/>
            <w:shd w:val="clear" w:color="auto" w:fill="auto"/>
            <w:vAlign w:val="bottom"/>
          </w:tcPr>
          <w:p w14:paraId="22CFC8D8" w14:textId="77777777" w:rsidR="002661BA" w:rsidRDefault="002661BA">
            <w:pPr>
              <w:rPr>
                <w:rFonts w:ascii="宋体"/>
                <w:vanish/>
              </w:rPr>
            </w:pPr>
          </w:p>
        </w:tc>
        <w:tc>
          <w:tcPr>
            <w:tcW w:w="0" w:type="auto"/>
            <w:gridSpan w:val="3"/>
            <w:shd w:val="clear" w:color="auto" w:fill="auto"/>
            <w:vAlign w:val="bottom"/>
          </w:tcPr>
          <w:p w14:paraId="22CFC8D9" w14:textId="77777777" w:rsidR="002661BA" w:rsidRDefault="002661BA">
            <w:pPr>
              <w:rPr>
                <w:rFonts w:ascii="宋体"/>
                <w:vanish/>
              </w:rPr>
            </w:pPr>
          </w:p>
        </w:tc>
      </w:tr>
      <w:tr w:rsidR="002661BA" w14:paraId="22CFC8E7" w14:textId="77777777">
        <w:tc>
          <w:tcPr>
            <w:tcW w:w="0" w:type="auto"/>
            <w:gridSpan w:val="3"/>
            <w:shd w:val="clear" w:color="auto" w:fill="FFFFFF"/>
            <w:tcMar>
              <w:top w:w="40" w:type="dxa"/>
              <w:left w:w="20" w:type="dxa"/>
              <w:bottom w:w="40" w:type="dxa"/>
              <w:right w:w="20" w:type="dxa"/>
            </w:tcMar>
            <w:vAlign w:val="bottom"/>
          </w:tcPr>
          <w:p w14:paraId="22CFC8DB" w14:textId="77777777" w:rsidR="002661BA" w:rsidRDefault="00D972BC">
            <w:pPr>
              <w:textAlignment w:val="bottom"/>
            </w:pPr>
            <w:r>
              <w:rPr>
                <w:rFonts w:ascii="Arial" w:eastAsia="宋体" w:hAnsi="Arial" w:cs="Arial"/>
                <w:color w:val="000000"/>
                <w:sz w:val="18"/>
                <w:szCs w:val="18"/>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8DC" w14:textId="77777777" w:rsidR="002661BA" w:rsidRDefault="00D972BC">
            <w:pPr>
              <w:jc w:val="right"/>
              <w:textAlignment w:val="bottom"/>
            </w:pPr>
            <w:r>
              <w:rPr>
                <w:rFonts w:ascii="Arial" w:eastAsia="宋体" w:hAnsi="Arial" w:cs="Arial"/>
                <w:color w:val="000000"/>
                <w:sz w:val="18"/>
                <w:szCs w:val="18"/>
              </w:rPr>
              <w:t>2,392 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8D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8DE"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8DF" w14:textId="77777777" w:rsidR="002661BA" w:rsidRDefault="00D972BC">
            <w:pPr>
              <w:jc w:val="right"/>
              <w:textAlignment w:val="bottom"/>
            </w:pPr>
            <w:r>
              <w:rPr>
                <w:rFonts w:ascii="Arial" w:eastAsia="宋体" w:hAnsi="Arial" w:cs="Arial"/>
                <w:color w:val="000000"/>
                <w:sz w:val="18"/>
                <w:szCs w:val="18"/>
              </w:rPr>
              <w:t>137 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8E0"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8E1"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8E2" w14:textId="77777777" w:rsidR="002661BA" w:rsidRDefault="00D972BC">
            <w:pPr>
              <w:jc w:val="right"/>
              <w:textAlignment w:val="bottom"/>
            </w:pPr>
            <w:r>
              <w:rPr>
                <w:rFonts w:ascii="Arial" w:eastAsia="宋体" w:hAnsi="Arial" w:cs="Arial"/>
                <w:color w:val="000000"/>
                <w:sz w:val="18"/>
                <w:szCs w:val="18"/>
              </w:rPr>
              <w:t>2,255 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8E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8E4"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8E5"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8E6" w14:textId="77777777" w:rsidR="002661BA" w:rsidRDefault="002661BA">
            <w:pPr>
              <w:jc w:val="right"/>
              <w:rPr>
                <w:rFonts w:ascii="宋体"/>
              </w:rPr>
            </w:pPr>
          </w:p>
        </w:tc>
      </w:tr>
      <w:tr w:rsidR="002661BA" w14:paraId="22CFC8F0" w14:textId="77777777">
        <w:trPr>
          <w:hidden/>
        </w:trPr>
        <w:tc>
          <w:tcPr>
            <w:tcW w:w="0" w:type="auto"/>
            <w:gridSpan w:val="3"/>
            <w:shd w:val="clear" w:color="auto" w:fill="auto"/>
            <w:vAlign w:val="bottom"/>
          </w:tcPr>
          <w:p w14:paraId="22CFC8E8" w14:textId="77777777" w:rsidR="002661BA" w:rsidRDefault="002661BA">
            <w:pPr>
              <w:rPr>
                <w:rFonts w:ascii="宋体"/>
                <w:vanish/>
              </w:rPr>
            </w:pPr>
          </w:p>
        </w:tc>
        <w:tc>
          <w:tcPr>
            <w:tcW w:w="0" w:type="auto"/>
            <w:gridSpan w:val="3"/>
            <w:shd w:val="clear" w:color="auto" w:fill="auto"/>
            <w:vAlign w:val="bottom"/>
          </w:tcPr>
          <w:p w14:paraId="22CFC8E9" w14:textId="77777777" w:rsidR="002661BA" w:rsidRDefault="002661BA">
            <w:pPr>
              <w:rPr>
                <w:rFonts w:ascii="宋体"/>
                <w:vanish/>
              </w:rPr>
            </w:pPr>
          </w:p>
        </w:tc>
        <w:tc>
          <w:tcPr>
            <w:tcW w:w="0" w:type="auto"/>
            <w:gridSpan w:val="3"/>
            <w:shd w:val="clear" w:color="auto" w:fill="auto"/>
            <w:vAlign w:val="bottom"/>
          </w:tcPr>
          <w:p w14:paraId="22CFC8EA" w14:textId="77777777" w:rsidR="002661BA" w:rsidRDefault="002661BA">
            <w:pPr>
              <w:rPr>
                <w:rFonts w:ascii="宋体"/>
                <w:vanish/>
              </w:rPr>
            </w:pPr>
          </w:p>
        </w:tc>
        <w:tc>
          <w:tcPr>
            <w:tcW w:w="0" w:type="auto"/>
            <w:gridSpan w:val="3"/>
            <w:shd w:val="clear" w:color="auto" w:fill="auto"/>
            <w:vAlign w:val="bottom"/>
          </w:tcPr>
          <w:p w14:paraId="22CFC8EB" w14:textId="77777777" w:rsidR="002661BA" w:rsidRDefault="002661BA">
            <w:pPr>
              <w:rPr>
                <w:rFonts w:ascii="宋体"/>
                <w:vanish/>
              </w:rPr>
            </w:pPr>
          </w:p>
        </w:tc>
        <w:tc>
          <w:tcPr>
            <w:tcW w:w="0" w:type="auto"/>
            <w:gridSpan w:val="3"/>
            <w:shd w:val="clear" w:color="auto" w:fill="auto"/>
            <w:vAlign w:val="bottom"/>
          </w:tcPr>
          <w:p w14:paraId="22CFC8EC" w14:textId="77777777" w:rsidR="002661BA" w:rsidRDefault="002661BA">
            <w:pPr>
              <w:rPr>
                <w:rFonts w:ascii="宋体"/>
                <w:vanish/>
              </w:rPr>
            </w:pPr>
          </w:p>
        </w:tc>
        <w:tc>
          <w:tcPr>
            <w:tcW w:w="0" w:type="auto"/>
            <w:gridSpan w:val="3"/>
            <w:shd w:val="clear" w:color="auto" w:fill="auto"/>
            <w:vAlign w:val="bottom"/>
          </w:tcPr>
          <w:p w14:paraId="22CFC8ED" w14:textId="77777777" w:rsidR="002661BA" w:rsidRDefault="002661BA">
            <w:pPr>
              <w:rPr>
                <w:rFonts w:ascii="宋体"/>
                <w:vanish/>
              </w:rPr>
            </w:pPr>
          </w:p>
        </w:tc>
        <w:tc>
          <w:tcPr>
            <w:tcW w:w="0" w:type="auto"/>
            <w:gridSpan w:val="3"/>
            <w:shd w:val="clear" w:color="auto" w:fill="auto"/>
            <w:vAlign w:val="bottom"/>
          </w:tcPr>
          <w:p w14:paraId="22CFC8EE" w14:textId="77777777" w:rsidR="002661BA" w:rsidRDefault="002661BA">
            <w:pPr>
              <w:rPr>
                <w:rFonts w:ascii="宋体"/>
                <w:vanish/>
              </w:rPr>
            </w:pPr>
          </w:p>
        </w:tc>
        <w:tc>
          <w:tcPr>
            <w:tcW w:w="0" w:type="auto"/>
            <w:gridSpan w:val="3"/>
            <w:shd w:val="clear" w:color="auto" w:fill="auto"/>
            <w:vAlign w:val="bottom"/>
          </w:tcPr>
          <w:p w14:paraId="22CFC8EF" w14:textId="77777777" w:rsidR="002661BA" w:rsidRDefault="002661BA">
            <w:pPr>
              <w:rPr>
                <w:rFonts w:ascii="宋体"/>
                <w:vanish/>
              </w:rPr>
            </w:pPr>
          </w:p>
        </w:tc>
      </w:tr>
      <w:tr w:rsidR="002661BA" w14:paraId="22CFC8FD" w14:textId="77777777">
        <w:tc>
          <w:tcPr>
            <w:tcW w:w="0" w:type="auto"/>
            <w:gridSpan w:val="3"/>
            <w:shd w:val="clear" w:color="auto" w:fill="E2E2E2"/>
            <w:tcMar>
              <w:top w:w="40" w:type="dxa"/>
              <w:left w:w="20" w:type="dxa"/>
              <w:bottom w:w="40" w:type="dxa"/>
              <w:right w:w="20" w:type="dxa"/>
            </w:tcMar>
            <w:vAlign w:val="bottom"/>
          </w:tcPr>
          <w:p w14:paraId="22CFC8F1" w14:textId="77777777" w:rsidR="002661BA" w:rsidRDefault="00D972BC">
            <w:pPr>
              <w:textAlignment w:val="bottom"/>
            </w:pPr>
            <w:r>
              <w:rPr>
                <w:rFonts w:ascii="Arial" w:eastAsia="宋体" w:hAnsi="Arial" w:cs="Arial"/>
                <w:color w:val="000000"/>
                <w:sz w:val="18"/>
                <w:szCs w:val="18"/>
              </w:rPr>
              <w:t>Derivatives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C8F2" w14:textId="77777777" w:rsidR="002661BA" w:rsidRDefault="00D972BC">
            <w:pPr>
              <w:jc w:val="right"/>
              <w:textAlignment w:val="bottom"/>
            </w:pPr>
            <w:r>
              <w:rPr>
                <w:rFonts w:ascii="Arial" w:eastAsia="宋体" w:hAnsi="Arial" w:cs="Arial"/>
                <w:color w:val="000000"/>
                <w:sz w:val="18"/>
                <w:szCs w:val="18"/>
              </w:rPr>
              <w:t>1,113 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8F3"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8F4"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C8F5"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8F6"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8F7"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C8F8" w14:textId="77777777" w:rsidR="002661BA" w:rsidRDefault="00D972BC">
            <w:pPr>
              <w:jc w:val="right"/>
              <w:textAlignment w:val="bottom"/>
            </w:pPr>
            <w:r>
              <w:rPr>
                <w:rFonts w:ascii="Arial" w:eastAsia="宋体" w:hAnsi="Arial" w:cs="Arial"/>
                <w:color w:val="000000"/>
                <w:sz w:val="18"/>
                <w:szCs w:val="18"/>
              </w:rPr>
              <w:t>62 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8F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8FA"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C8FB" w14:textId="77777777" w:rsidR="002661BA" w:rsidRDefault="00D972BC">
            <w:pPr>
              <w:jc w:val="right"/>
              <w:textAlignment w:val="bottom"/>
            </w:pPr>
            <w:r>
              <w:rPr>
                <w:rFonts w:ascii="Arial" w:eastAsia="宋体" w:hAnsi="Arial" w:cs="Arial"/>
                <w:color w:val="000000"/>
                <w:sz w:val="18"/>
                <w:szCs w:val="18"/>
              </w:rPr>
              <w:t>1,051 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8FC" w14:textId="77777777" w:rsidR="002661BA" w:rsidRDefault="002661BA">
            <w:pPr>
              <w:jc w:val="right"/>
              <w:rPr>
                <w:rFonts w:ascii="宋体"/>
              </w:rPr>
            </w:pPr>
          </w:p>
        </w:tc>
      </w:tr>
      <w:tr w:rsidR="002661BA" w14:paraId="22CFC906" w14:textId="77777777">
        <w:tc>
          <w:tcPr>
            <w:tcW w:w="0" w:type="auto"/>
            <w:gridSpan w:val="3"/>
            <w:shd w:val="clear" w:color="auto" w:fill="FFFFFF"/>
            <w:tcMar>
              <w:top w:w="40" w:type="dxa"/>
              <w:left w:w="20" w:type="dxa"/>
              <w:bottom w:w="40" w:type="dxa"/>
              <w:right w:w="20" w:type="dxa"/>
            </w:tcMar>
            <w:vAlign w:val="bottom"/>
          </w:tcPr>
          <w:p w14:paraId="22CFC8FE" w14:textId="77777777" w:rsidR="002661BA" w:rsidRDefault="00D972BC">
            <w:pPr>
              <w:textAlignment w:val="bottom"/>
            </w:pPr>
            <w:r>
              <w:rPr>
                <w:rFonts w:ascii="Arial" w:eastAsia="宋体" w:hAnsi="Arial" w:cs="Arial"/>
                <w:color w:val="000000"/>
                <w:sz w:val="18"/>
                <w:szCs w:val="18"/>
              </w:rPr>
              <w:t>Long-term investments: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C8FF"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900" w14:textId="77777777" w:rsidR="002661BA" w:rsidRDefault="002661B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C901"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902" w14:textId="77777777" w:rsidR="002661BA" w:rsidRDefault="002661B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C903"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904" w14:textId="77777777" w:rsidR="002661BA" w:rsidRDefault="002661B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C905" w14:textId="77777777" w:rsidR="002661BA" w:rsidRDefault="002661BA">
            <w:pPr>
              <w:rPr>
                <w:rFonts w:ascii="宋体"/>
              </w:rPr>
            </w:pPr>
          </w:p>
        </w:tc>
      </w:tr>
      <w:tr w:rsidR="002661BA" w14:paraId="22CFC913" w14:textId="77777777">
        <w:tc>
          <w:tcPr>
            <w:tcW w:w="0" w:type="auto"/>
            <w:gridSpan w:val="3"/>
            <w:shd w:val="clear" w:color="auto" w:fill="E2E2E2"/>
            <w:tcMar>
              <w:top w:w="40" w:type="dxa"/>
              <w:left w:w="395" w:type="dxa"/>
              <w:bottom w:w="40" w:type="dxa"/>
              <w:right w:w="20" w:type="dxa"/>
            </w:tcMar>
            <w:vAlign w:val="bottom"/>
          </w:tcPr>
          <w:p w14:paraId="22CFC907" w14:textId="77777777" w:rsidR="002661BA" w:rsidRDefault="00D972BC">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22CFC908" w14:textId="77777777" w:rsidR="002661BA" w:rsidRDefault="00D972BC">
            <w:pPr>
              <w:jc w:val="right"/>
              <w:textAlignment w:val="bottom"/>
            </w:pPr>
            <w:r>
              <w:rPr>
                <w:rFonts w:ascii="Arial" w:eastAsia="宋体" w:hAnsi="Arial" w:cs="Arial"/>
                <w:color w:val="000000"/>
                <w:sz w:val="18"/>
                <w:szCs w:val="18"/>
              </w:rPr>
              <w:t>286 </w:t>
            </w:r>
          </w:p>
        </w:tc>
        <w:tc>
          <w:tcPr>
            <w:tcW w:w="0" w:type="auto"/>
            <w:shd w:val="clear" w:color="auto" w:fill="E2E2E2"/>
            <w:tcMar>
              <w:top w:w="40" w:type="dxa"/>
              <w:left w:w="0" w:type="dxa"/>
              <w:bottom w:w="40" w:type="dxa"/>
              <w:right w:w="20" w:type="dxa"/>
            </w:tcMar>
            <w:vAlign w:val="bottom"/>
          </w:tcPr>
          <w:p w14:paraId="22CFC90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90A"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90B"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C90C"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90D"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90E" w14:textId="77777777" w:rsidR="002661BA" w:rsidRDefault="00D972BC">
            <w:pPr>
              <w:jc w:val="right"/>
              <w:textAlignment w:val="bottom"/>
            </w:pPr>
            <w:r>
              <w:rPr>
                <w:rFonts w:ascii="Arial" w:eastAsia="宋体" w:hAnsi="Arial" w:cs="Arial"/>
                <w:color w:val="000000"/>
                <w:sz w:val="18"/>
                <w:szCs w:val="18"/>
              </w:rPr>
              <w:t>286 </w:t>
            </w:r>
          </w:p>
        </w:tc>
        <w:tc>
          <w:tcPr>
            <w:tcW w:w="0" w:type="auto"/>
            <w:shd w:val="clear" w:color="auto" w:fill="E2E2E2"/>
            <w:tcMar>
              <w:top w:w="40" w:type="dxa"/>
              <w:left w:w="0" w:type="dxa"/>
              <w:bottom w:w="40" w:type="dxa"/>
              <w:right w:w="20" w:type="dxa"/>
            </w:tcMar>
            <w:vAlign w:val="bottom"/>
          </w:tcPr>
          <w:p w14:paraId="22CFC90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910"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911"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C912" w14:textId="77777777" w:rsidR="002661BA" w:rsidRDefault="002661BA">
            <w:pPr>
              <w:jc w:val="right"/>
              <w:rPr>
                <w:rFonts w:ascii="宋体"/>
              </w:rPr>
            </w:pPr>
          </w:p>
        </w:tc>
      </w:tr>
      <w:tr w:rsidR="002661BA" w14:paraId="22CFC91C" w14:textId="77777777">
        <w:trPr>
          <w:hidden/>
        </w:trPr>
        <w:tc>
          <w:tcPr>
            <w:tcW w:w="0" w:type="auto"/>
            <w:gridSpan w:val="3"/>
            <w:shd w:val="clear" w:color="auto" w:fill="auto"/>
            <w:vAlign w:val="bottom"/>
          </w:tcPr>
          <w:p w14:paraId="22CFC914" w14:textId="77777777" w:rsidR="002661BA" w:rsidRDefault="002661BA">
            <w:pPr>
              <w:rPr>
                <w:rFonts w:ascii="宋体"/>
                <w:vanish/>
              </w:rPr>
            </w:pPr>
          </w:p>
        </w:tc>
        <w:tc>
          <w:tcPr>
            <w:tcW w:w="0" w:type="auto"/>
            <w:gridSpan w:val="3"/>
            <w:shd w:val="clear" w:color="auto" w:fill="auto"/>
            <w:vAlign w:val="bottom"/>
          </w:tcPr>
          <w:p w14:paraId="22CFC915" w14:textId="77777777" w:rsidR="002661BA" w:rsidRDefault="002661BA">
            <w:pPr>
              <w:rPr>
                <w:rFonts w:ascii="宋体"/>
                <w:vanish/>
              </w:rPr>
            </w:pPr>
          </w:p>
        </w:tc>
        <w:tc>
          <w:tcPr>
            <w:tcW w:w="0" w:type="auto"/>
            <w:gridSpan w:val="3"/>
            <w:shd w:val="clear" w:color="auto" w:fill="auto"/>
            <w:vAlign w:val="bottom"/>
          </w:tcPr>
          <w:p w14:paraId="22CFC916" w14:textId="77777777" w:rsidR="002661BA" w:rsidRDefault="002661BA">
            <w:pPr>
              <w:rPr>
                <w:rFonts w:ascii="宋体"/>
                <w:vanish/>
              </w:rPr>
            </w:pPr>
          </w:p>
        </w:tc>
        <w:tc>
          <w:tcPr>
            <w:tcW w:w="0" w:type="auto"/>
            <w:gridSpan w:val="3"/>
            <w:shd w:val="clear" w:color="auto" w:fill="auto"/>
            <w:vAlign w:val="bottom"/>
          </w:tcPr>
          <w:p w14:paraId="22CFC917" w14:textId="77777777" w:rsidR="002661BA" w:rsidRDefault="002661BA">
            <w:pPr>
              <w:rPr>
                <w:rFonts w:ascii="宋体"/>
                <w:vanish/>
              </w:rPr>
            </w:pPr>
          </w:p>
        </w:tc>
        <w:tc>
          <w:tcPr>
            <w:tcW w:w="0" w:type="auto"/>
            <w:gridSpan w:val="3"/>
            <w:shd w:val="clear" w:color="auto" w:fill="auto"/>
            <w:vAlign w:val="bottom"/>
          </w:tcPr>
          <w:p w14:paraId="22CFC918" w14:textId="77777777" w:rsidR="002661BA" w:rsidRDefault="002661BA">
            <w:pPr>
              <w:rPr>
                <w:rFonts w:ascii="宋体"/>
                <w:vanish/>
              </w:rPr>
            </w:pPr>
          </w:p>
        </w:tc>
        <w:tc>
          <w:tcPr>
            <w:tcW w:w="0" w:type="auto"/>
            <w:gridSpan w:val="3"/>
            <w:shd w:val="clear" w:color="auto" w:fill="auto"/>
            <w:vAlign w:val="bottom"/>
          </w:tcPr>
          <w:p w14:paraId="22CFC919" w14:textId="77777777" w:rsidR="002661BA" w:rsidRDefault="002661BA">
            <w:pPr>
              <w:rPr>
                <w:rFonts w:ascii="宋体"/>
                <w:vanish/>
              </w:rPr>
            </w:pPr>
          </w:p>
        </w:tc>
        <w:tc>
          <w:tcPr>
            <w:tcW w:w="0" w:type="auto"/>
            <w:gridSpan w:val="3"/>
            <w:shd w:val="clear" w:color="auto" w:fill="auto"/>
            <w:vAlign w:val="bottom"/>
          </w:tcPr>
          <w:p w14:paraId="22CFC91A" w14:textId="77777777" w:rsidR="002661BA" w:rsidRDefault="002661BA">
            <w:pPr>
              <w:rPr>
                <w:rFonts w:ascii="宋体"/>
                <w:vanish/>
              </w:rPr>
            </w:pPr>
          </w:p>
        </w:tc>
        <w:tc>
          <w:tcPr>
            <w:tcW w:w="0" w:type="auto"/>
            <w:gridSpan w:val="3"/>
            <w:shd w:val="clear" w:color="auto" w:fill="auto"/>
            <w:vAlign w:val="bottom"/>
          </w:tcPr>
          <w:p w14:paraId="22CFC91B" w14:textId="77777777" w:rsidR="002661BA" w:rsidRDefault="002661BA">
            <w:pPr>
              <w:rPr>
                <w:rFonts w:ascii="宋体"/>
                <w:vanish/>
              </w:rPr>
            </w:pPr>
          </w:p>
        </w:tc>
      </w:tr>
      <w:tr w:rsidR="002661BA" w14:paraId="22CFC929" w14:textId="77777777">
        <w:tc>
          <w:tcPr>
            <w:tcW w:w="0" w:type="auto"/>
            <w:gridSpan w:val="3"/>
            <w:shd w:val="clear" w:color="auto" w:fill="FFFFFF"/>
            <w:tcMar>
              <w:top w:w="40" w:type="dxa"/>
              <w:left w:w="20" w:type="dxa"/>
              <w:bottom w:w="40" w:type="dxa"/>
              <w:right w:w="20" w:type="dxa"/>
            </w:tcMar>
            <w:vAlign w:val="bottom"/>
          </w:tcPr>
          <w:p w14:paraId="22CFC91D" w14:textId="77777777" w:rsidR="002661BA" w:rsidRDefault="00D972BC">
            <w:pPr>
              <w:textAlignment w:val="bottom"/>
            </w:pPr>
            <w:r>
              <w:rPr>
                <w:rFonts w:ascii="Arial" w:eastAsia="宋体" w:hAnsi="Arial" w:cs="Arial"/>
                <w:color w:val="000000"/>
                <w:sz w:val="18"/>
                <w:szCs w:val="18"/>
              </w:rPr>
              <w:t>Total long-term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91E" w14:textId="77777777" w:rsidR="002661BA" w:rsidRDefault="00D972BC">
            <w:pPr>
              <w:jc w:val="right"/>
              <w:textAlignment w:val="bottom"/>
            </w:pPr>
            <w:r>
              <w:rPr>
                <w:rFonts w:ascii="Arial" w:eastAsia="宋体" w:hAnsi="Arial" w:cs="Arial"/>
                <w:color w:val="000000"/>
                <w:sz w:val="18"/>
                <w:szCs w:val="18"/>
              </w:rPr>
              <w:t>286 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91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920"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921"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92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923"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924" w14:textId="77777777" w:rsidR="002661BA" w:rsidRDefault="00D972BC">
            <w:pPr>
              <w:jc w:val="right"/>
              <w:textAlignment w:val="bottom"/>
            </w:pPr>
            <w:r>
              <w:rPr>
                <w:rFonts w:ascii="Arial" w:eastAsia="宋体" w:hAnsi="Arial" w:cs="Arial"/>
                <w:color w:val="000000"/>
                <w:sz w:val="18"/>
                <w:szCs w:val="18"/>
              </w:rPr>
              <w:t>286 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92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926"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927"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928" w14:textId="77777777" w:rsidR="002661BA" w:rsidRDefault="002661BA">
            <w:pPr>
              <w:jc w:val="right"/>
              <w:rPr>
                <w:rFonts w:ascii="宋体"/>
              </w:rPr>
            </w:pPr>
          </w:p>
        </w:tc>
      </w:tr>
      <w:tr w:rsidR="002661BA" w14:paraId="22CFC93A" w14:textId="77777777">
        <w:tc>
          <w:tcPr>
            <w:tcW w:w="0" w:type="auto"/>
            <w:gridSpan w:val="3"/>
            <w:shd w:val="clear" w:color="auto" w:fill="E2E2E2"/>
            <w:tcMar>
              <w:top w:w="40" w:type="dxa"/>
              <w:left w:w="20" w:type="dxa"/>
              <w:bottom w:w="40" w:type="dxa"/>
              <w:right w:w="20" w:type="dxa"/>
            </w:tcMar>
            <w:vAlign w:val="bottom"/>
          </w:tcPr>
          <w:p w14:paraId="22CFC92A" w14:textId="77777777" w:rsidR="002661BA" w:rsidRDefault="00D972BC">
            <w:pPr>
              <w:textAlignment w:val="bottom"/>
            </w:pPr>
            <w:r>
              <w:rPr>
                <w:rFonts w:ascii="Arial" w:eastAsia="宋体" w:hAnsi="Arial" w:cs="Arial"/>
                <w:color w:val="000000"/>
                <w:sz w:val="18"/>
                <w:szCs w:val="18"/>
              </w:rPr>
              <w:t>Total financial assets</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C92B"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92C" w14:textId="77777777" w:rsidR="002661BA" w:rsidRDefault="00D972BC">
            <w:pPr>
              <w:jc w:val="right"/>
              <w:textAlignment w:val="bottom"/>
            </w:pPr>
            <w:r>
              <w:rPr>
                <w:rFonts w:ascii="Arial" w:eastAsia="宋体" w:hAnsi="Arial" w:cs="Arial"/>
                <w:color w:val="000000"/>
                <w:sz w:val="18"/>
                <w:szCs w:val="18"/>
              </w:rPr>
              <w:t>4,892 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92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92E"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92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930" w14:textId="77777777" w:rsidR="002661BA" w:rsidRDefault="00D972BC">
            <w:pPr>
              <w:jc w:val="right"/>
              <w:textAlignment w:val="bottom"/>
            </w:pPr>
            <w:r>
              <w:rPr>
                <w:rFonts w:ascii="Arial" w:eastAsia="宋体" w:hAnsi="Arial" w:cs="Arial"/>
                <w:color w:val="000000"/>
                <w:sz w:val="18"/>
                <w:szCs w:val="18"/>
              </w:rPr>
              <w:t>1,027 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931"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932"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93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934" w14:textId="77777777" w:rsidR="002661BA" w:rsidRDefault="00D972BC">
            <w:pPr>
              <w:jc w:val="right"/>
              <w:textAlignment w:val="bottom"/>
            </w:pPr>
            <w:r>
              <w:rPr>
                <w:rFonts w:ascii="Arial" w:eastAsia="宋体" w:hAnsi="Arial" w:cs="Arial"/>
                <w:color w:val="000000"/>
                <w:sz w:val="18"/>
                <w:szCs w:val="18"/>
              </w:rPr>
              <w:t>2,814 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93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936"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93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938" w14:textId="77777777" w:rsidR="002661BA" w:rsidRDefault="00D972BC">
            <w:pPr>
              <w:jc w:val="right"/>
              <w:textAlignment w:val="bottom"/>
            </w:pPr>
            <w:r>
              <w:rPr>
                <w:rFonts w:ascii="Arial" w:eastAsia="宋体" w:hAnsi="Arial" w:cs="Arial"/>
                <w:color w:val="000000"/>
                <w:sz w:val="18"/>
                <w:szCs w:val="18"/>
              </w:rPr>
              <w:t>1,051 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939" w14:textId="77777777" w:rsidR="002661BA" w:rsidRDefault="002661BA">
            <w:pPr>
              <w:jc w:val="right"/>
              <w:rPr>
                <w:rFonts w:ascii="宋体"/>
              </w:rPr>
            </w:pPr>
          </w:p>
        </w:tc>
      </w:tr>
      <w:tr w:rsidR="002661BA" w14:paraId="22CFC943" w14:textId="77777777">
        <w:trPr>
          <w:trHeight w:val="280"/>
        </w:trPr>
        <w:tc>
          <w:tcPr>
            <w:tcW w:w="0" w:type="auto"/>
            <w:gridSpan w:val="3"/>
            <w:shd w:val="clear" w:color="auto" w:fill="FFFFFF"/>
            <w:tcMar>
              <w:top w:w="0" w:type="dxa"/>
              <w:left w:w="20" w:type="dxa"/>
              <w:bottom w:w="0" w:type="dxa"/>
              <w:right w:w="20" w:type="dxa"/>
            </w:tcMar>
            <w:vAlign w:val="bottom"/>
          </w:tcPr>
          <w:p w14:paraId="22CFC93B" w14:textId="77777777" w:rsidR="002661BA" w:rsidRDefault="002661B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C93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93D" w14:textId="77777777" w:rsidR="002661BA" w:rsidRDefault="002661B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C93E"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93F" w14:textId="77777777" w:rsidR="002661BA" w:rsidRDefault="002661B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C940"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941" w14:textId="77777777" w:rsidR="002661BA" w:rsidRDefault="002661B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2CFC942" w14:textId="77777777" w:rsidR="002661BA" w:rsidRDefault="002661BA">
            <w:pPr>
              <w:rPr>
                <w:rFonts w:ascii="宋体"/>
              </w:rPr>
            </w:pPr>
          </w:p>
        </w:tc>
      </w:tr>
      <w:tr w:rsidR="002661BA" w14:paraId="22CFC94C" w14:textId="77777777">
        <w:tc>
          <w:tcPr>
            <w:tcW w:w="0" w:type="auto"/>
            <w:gridSpan w:val="3"/>
            <w:shd w:val="clear" w:color="auto" w:fill="E2E2E2"/>
            <w:tcMar>
              <w:top w:w="40" w:type="dxa"/>
              <w:left w:w="20" w:type="dxa"/>
              <w:bottom w:w="40" w:type="dxa"/>
              <w:right w:w="20" w:type="dxa"/>
            </w:tcMar>
            <w:vAlign w:val="bottom"/>
          </w:tcPr>
          <w:p w14:paraId="22CFC944" w14:textId="77777777" w:rsidR="002661BA" w:rsidRDefault="00D972BC">
            <w:pPr>
              <w:textAlignment w:val="bottom"/>
            </w:pPr>
            <w:r>
              <w:rPr>
                <w:rFonts w:ascii="Arial" w:eastAsia="宋体" w:hAnsi="Arial" w:cs="Arial"/>
                <w:b/>
                <w:bCs/>
                <w:i/>
                <w:iCs/>
                <w:color w:val="000000"/>
                <w:sz w:val="18"/>
                <w:szCs w:val="18"/>
              </w:rPr>
              <w:t>Liabilities:</w:t>
            </w:r>
          </w:p>
        </w:tc>
        <w:tc>
          <w:tcPr>
            <w:tcW w:w="0" w:type="auto"/>
            <w:gridSpan w:val="3"/>
            <w:shd w:val="clear" w:color="auto" w:fill="E2E2E2"/>
            <w:tcMar>
              <w:top w:w="0" w:type="dxa"/>
              <w:left w:w="20" w:type="dxa"/>
              <w:bottom w:w="0" w:type="dxa"/>
              <w:right w:w="20" w:type="dxa"/>
            </w:tcMar>
            <w:vAlign w:val="bottom"/>
          </w:tcPr>
          <w:p w14:paraId="22CFC945"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946"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947"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948"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949"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94A"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94B" w14:textId="77777777" w:rsidR="002661BA" w:rsidRDefault="002661BA">
            <w:pPr>
              <w:rPr>
                <w:rFonts w:ascii="宋体"/>
              </w:rPr>
            </w:pPr>
          </w:p>
        </w:tc>
      </w:tr>
      <w:tr w:rsidR="002661BA" w14:paraId="22CFC95D" w14:textId="77777777">
        <w:tc>
          <w:tcPr>
            <w:tcW w:w="0" w:type="auto"/>
            <w:gridSpan w:val="3"/>
            <w:shd w:val="clear" w:color="auto" w:fill="FFFFFF"/>
            <w:tcMar>
              <w:top w:w="40" w:type="dxa"/>
              <w:left w:w="20" w:type="dxa"/>
              <w:bottom w:w="40" w:type="dxa"/>
              <w:right w:w="20" w:type="dxa"/>
            </w:tcMar>
            <w:vAlign w:val="bottom"/>
          </w:tcPr>
          <w:p w14:paraId="22CFC94D" w14:textId="77777777" w:rsidR="002661BA" w:rsidRDefault="00D972BC">
            <w:pPr>
              <w:textAlignment w:val="bottom"/>
            </w:pPr>
            <w:r>
              <w:rPr>
                <w:rFonts w:ascii="Arial" w:eastAsia="宋体" w:hAnsi="Arial" w:cs="Arial"/>
                <w:color w:val="000000"/>
                <w:sz w:val="18"/>
                <w:szCs w:val="18"/>
              </w:rPr>
              <w:t>Derivatives</w:t>
            </w:r>
          </w:p>
        </w:tc>
        <w:tc>
          <w:tcPr>
            <w:tcW w:w="0" w:type="auto"/>
            <w:tcBorders>
              <w:bottom w:val="double" w:sz="6" w:space="0" w:color="000000"/>
            </w:tcBorders>
            <w:shd w:val="clear" w:color="auto" w:fill="FFFFFF"/>
            <w:tcMar>
              <w:top w:w="40" w:type="dxa"/>
              <w:left w:w="20" w:type="dxa"/>
              <w:bottom w:w="40" w:type="dxa"/>
              <w:right w:w="0" w:type="dxa"/>
            </w:tcMar>
            <w:vAlign w:val="bottom"/>
          </w:tcPr>
          <w:p w14:paraId="22CFC94E" w14:textId="77777777" w:rsidR="002661BA" w:rsidRDefault="00D972BC">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22CFC94F" w14:textId="77777777" w:rsidR="002661BA" w:rsidRDefault="00D972BC">
            <w:pPr>
              <w:jc w:val="right"/>
              <w:textAlignment w:val="bottom"/>
            </w:pPr>
            <w:r>
              <w:rPr>
                <w:rFonts w:ascii="Arial" w:eastAsia="宋体" w:hAnsi="Arial" w:cs="Arial"/>
                <w:color w:val="000000"/>
                <w:sz w:val="18"/>
                <w:szCs w:val="18"/>
              </w:rPr>
              <w:t>44 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22CFC950"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951" w14:textId="77777777" w:rsidR="002661BA" w:rsidRDefault="002661BA">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22CFC952" w14:textId="77777777" w:rsidR="002661BA" w:rsidRDefault="00D972BC">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22CFC953" w14:textId="77777777" w:rsidR="002661BA" w:rsidRDefault="00D972BC">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22CFC95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955" w14:textId="77777777" w:rsidR="002661BA" w:rsidRDefault="002661BA">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22CFC956" w14:textId="77777777" w:rsidR="002661BA" w:rsidRDefault="00D972BC">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22CFC957" w14:textId="77777777" w:rsidR="002661BA" w:rsidRDefault="00D972BC">
            <w:pPr>
              <w:jc w:val="right"/>
              <w:textAlignment w:val="bottom"/>
            </w:pPr>
            <w:r>
              <w:rPr>
                <w:rFonts w:ascii="Arial" w:eastAsia="宋体" w:hAnsi="Arial" w:cs="Arial"/>
                <w:color w:val="000000"/>
                <w:sz w:val="18"/>
                <w:szCs w:val="18"/>
              </w:rPr>
              <w:t>44 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22CFC95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959" w14:textId="77777777" w:rsidR="002661BA" w:rsidRDefault="002661BA">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22CFC95A" w14:textId="77777777" w:rsidR="002661BA" w:rsidRDefault="00D972BC">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22CFC95B" w14:textId="77777777" w:rsidR="002661BA" w:rsidRDefault="00D972BC">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22CFC95C" w14:textId="77777777" w:rsidR="002661BA" w:rsidRDefault="002661BA">
            <w:pPr>
              <w:jc w:val="right"/>
              <w:rPr>
                <w:rFonts w:ascii="宋体"/>
              </w:rPr>
            </w:pPr>
          </w:p>
        </w:tc>
      </w:tr>
    </w:tbl>
    <w:p w14:paraId="22CFC95E" w14:textId="77777777" w:rsidR="002661BA" w:rsidRDefault="002661BA">
      <w:pPr>
        <w:jc w:val="both"/>
      </w:pPr>
    </w:p>
    <w:p w14:paraId="22CFC95F" w14:textId="77777777" w:rsidR="002661BA" w:rsidRDefault="00D972BC">
      <w:pPr>
        <w:jc w:val="center"/>
      </w:pPr>
      <w:r>
        <w:rPr>
          <w:rFonts w:ascii="Arial" w:eastAsia="宋体" w:hAnsi="Arial" w:cs="Arial"/>
          <w:color w:val="000000"/>
          <w:sz w:val="18"/>
          <w:szCs w:val="18"/>
        </w:rPr>
        <w:t>91</w:t>
      </w:r>
    </w:p>
    <w:p w14:paraId="22CFC960" w14:textId="77777777" w:rsidR="002661BA" w:rsidRDefault="00D972BC">
      <w:r>
        <w:pict w14:anchorId="22CFE50C">
          <v:rect id="_x0000_i1115" style="width:415.3pt;height:1.5pt" o:hralign="center" o:hrstd="t" o:hr="t" fillcolor="#a0a0a0" stroked="f"/>
        </w:pict>
      </w:r>
    </w:p>
    <w:p w14:paraId="22CFC961" w14:textId="77777777" w:rsidR="002661BA" w:rsidRDefault="00D972BC">
      <w:hyperlink r:id="rId126" w:anchor="id0d7a71b05ce452ea9fdb54f3cb359c7_7" w:history="1">
        <w:r>
          <w:rPr>
            <w:rStyle w:val="a5"/>
            <w:rFonts w:ascii="Arial" w:eastAsia="宋体" w:hAnsi="Arial" w:cs="Arial"/>
            <w:sz w:val="18"/>
            <w:szCs w:val="18"/>
          </w:rPr>
          <w:t>Table of Contents</w:t>
        </w:r>
      </w:hyperlink>
    </w:p>
    <w:p w14:paraId="22CFC962" w14:textId="77777777" w:rsidR="002661BA" w:rsidRDefault="00D972BC">
      <w:pPr>
        <w:jc w:val="center"/>
      </w:pPr>
      <w:r>
        <w:rPr>
          <w:rFonts w:ascii="Arial" w:eastAsia="宋体" w:hAnsi="Arial" w:cs="Arial"/>
          <w:b/>
          <w:bCs/>
          <w:color w:val="000000"/>
          <w:sz w:val="20"/>
          <w:szCs w:val="20"/>
        </w:rPr>
        <w:t>eBay Inc.</w:t>
      </w:r>
    </w:p>
    <w:p w14:paraId="22CFC963"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964" w14:textId="77777777" w:rsidR="002661BA" w:rsidRDefault="00D972BC">
      <w:pPr>
        <w:ind w:firstLine="540"/>
        <w:jc w:val="both"/>
      </w:pPr>
      <w:r>
        <w:rPr>
          <w:rFonts w:ascii="Arial" w:eastAsia="宋体" w:hAnsi="Arial" w:cs="Arial"/>
          <w:color w:val="000000"/>
          <w:sz w:val="20"/>
          <w:szCs w:val="20"/>
        </w:rPr>
        <w:t xml:space="preserve">Our financial assets and liabilities are valued using market prices on both active markets (Level 1), less active markets (Level 2) and little or no </w:t>
      </w:r>
      <w:r>
        <w:rPr>
          <w:rFonts w:ascii="Arial" w:eastAsia="宋体" w:hAnsi="Arial" w:cs="Arial"/>
          <w:color w:val="000000"/>
          <w:sz w:val="20"/>
          <w:szCs w:val="20"/>
        </w:rPr>
        <w:t>market activity (Level 3). Level 1 instrument valuations are obtained from real-time quotes for transactions in active exchange markets involving identical assets. Level 2 instrument valuations are obtained from readily available pricing sources for compar</w:t>
      </w:r>
      <w:r>
        <w:rPr>
          <w:rFonts w:ascii="Arial" w:eastAsia="宋体" w:hAnsi="Arial" w:cs="Arial"/>
          <w:color w:val="000000"/>
          <w:sz w:val="20"/>
          <w:szCs w:val="20"/>
        </w:rPr>
        <w:t>able instruments, identical instruments in less active markets, or models using market observable inputs. Level 3 instrument valuations typically reflect management’s estimate of assumptions that market participants would use in pricing the asset or liabil</w:t>
      </w:r>
      <w:r>
        <w:rPr>
          <w:rFonts w:ascii="Arial" w:eastAsia="宋体" w:hAnsi="Arial" w:cs="Arial"/>
          <w:color w:val="000000"/>
          <w:sz w:val="20"/>
          <w:szCs w:val="20"/>
        </w:rPr>
        <w:t>ity. We did not have any transfers of financial instruments between valuation levels during 2021 or 2020.</w:t>
      </w:r>
    </w:p>
    <w:p w14:paraId="22CFC965" w14:textId="77777777" w:rsidR="002661BA" w:rsidRDefault="002661BA">
      <w:pPr>
        <w:jc w:val="both"/>
      </w:pPr>
    </w:p>
    <w:p w14:paraId="22CFC966" w14:textId="77777777" w:rsidR="002661BA" w:rsidRDefault="00D972BC">
      <w:pPr>
        <w:ind w:firstLine="540"/>
        <w:jc w:val="both"/>
      </w:pPr>
      <w:r>
        <w:rPr>
          <w:rFonts w:ascii="Arial" w:eastAsia="宋体" w:hAnsi="Arial" w:cs="Arial"/>
          <w:color w:val="000000"/>
          <w:sz w:val="20"/>
          <w:szCs w:val="20"/>
        </w:rPr>
        <w:t xml:space="preserve">Other financial instruments, including accounts receivable and accounts payable, are carried at cost, which approximates their fair value because of </w:t>
      </w:r>
      <w:r>
        <w:rPr>
          <w:rFonts w:ascii="Arial" w:eastAsia="宋体" w:hAnsi="Arial" w:cs="Arial"/>
          <w:color w:val="000000"/>
          <w:sz w:val="20"/>
          <w:szCs w:val="20"/>
        </w:rPr>
        <w:t>the short-term nature of these instruments.</w:t>
      </w:r>
    </w:p>
    <w:p w14:paraId="22CFC967" w14:textId="77777777" w:rsidR="002661BA" w:rsidRDefault="002661BA">
      <w:pPr>
        <w:ind w:firstLine="540"/>
        <w:jc w:val="both"/>
      </w:pPr>
    </w:p>
    <w:p w14:paraId="22CFC968" w14:textId="77777777" w:rsidR="002661BA" w:rsidRDefault="00D972BC">
      <w:pPr>
        <w:ind w:firstLine="540"/>
        <w:jc w:val="both"/>
      </w:pPr>
      <w:r>
        <w:rPr>
          <w:rFonts w:ascii="Arial" w:eastAsia="宋体" w:hAnsi="Arial" w:cs="Arial"/>
          <w:i/>
          <w:iCs/>
          <w:color w:val="000000"/>
          <w:sz w:val="20"/>
          <w:szCs w:val="20"/>
        </w:rPr>
        <w:t xml:space="preserve">Fair value measurement of derivative instruments </w:t>
      </w:r>
    </w:p>
    <w:p w14:paraId="22CFC969" w14:textId="77777777" w:rsidR="002661BA" w:rsidRDefault="002661BA">
      <w:pPr>
        <w:ind w:firstLine="540"/>
        <w:jc w:val="both"/>
      </w:pPr>
    </w:p>
    <w:p w14:paraId="22CFC96A" w14:textId="77777777" w:rsidR="002661BA" w:rsidRDefault="00D972BC">
      <w:pPr>
        <w:ind w:firstLine="540"/>
        <w:jc w:val="both"/>
      </w:pPr>
      <w:r>
        <w:rPr>
          <w:rFonts w:ascii="Arial" w:eastAsia="宋体" w:hAnsi="Arial" w:cs="Arial"/>
          <w:color w:val="000000"/>
          <w:sz w:val="20"/>
          <w:szCs w:val="20"/>
        </w:rPr>
        <w:t>The majority of our derivative instruments are valued using pricing models that take into account the contract terms as well as multiple inputs where applicable</w:t>
      </w:r>
      <w:r>
        <w:rPr>
          <w:rFonts w:ascii="Arial" w:eastAsia="宋体" w:hAnsi="Arial" w:cs="Arial"/>
          <w:color w:val="000000"/>
          <w:sz w:val="20"/>
          <w:szCs w:val="20"/>
        </w:rPr>
        <w:t>, such as equity prices, interest rate yield curves, option volatility and currency rates. Our warrant, which is accounted for as a derivative instrument, is valued using a Black-Scholes model. Key assumptions used in the valuation include risk-free intere</w:t>
      </w:r>
      <w:r>
        <w:rPr>
          <w:rFonts w:ascii="Arial" w:eastAsia="宋体" w:hAnsi="Arial" w:cs="Arial"/>
          <w:color w:val="000000"/>
          <w:sz w:val="20"/>
          <w:szCs w:val="20"/>
        </w:rPr>
        <w:t>st rates; Adyen’s common stock price, equity volatility and common stock outstanding; exercise price; and details specific to the warrant. The value is also probability adjusted for management’s assumptions with respect to vesting of the remaining three tr</w:t>
      </w:r>
      <w:r>
        <w:rPr>
          <w:rFonts w:ascii="Arial" w:eastAsia="宋体" w:hAnsi="Arial" w:cs="Arial"/>
          <w:color w:val="000000"/>
          <w:sz w:val="20"/>
          <w:szCs w:val="20"/>
        </w:rPr>
        <w:t>anches which are each subject to meeting processing volume milestone targets. These assumptions and the probability of meeting processing volume milestone targets may have a significant impact on the value of the warrant. Refer to “Note 7 — Derivative Inst</w:t>
      </w:r>
      <w:r>
        <w:rPr>
          <w:rFonts w:ascii="Arial" w:eastAsia="宋体" w:hAnsi="Arial" w:cs="Arial"/>
          <w:color w:val="000000"/>
          <w:sz w:val="20"/>
          <w:szCs w:val="20"/>
        </w:rPr>
        <w:t>ruments” for further details on our derivative instruments.</w:t>
      </w:r>
    </w:p>
    <w:p w14:paraId="22CFC96B" w14:textId="77777777" w:rsidR="002661BA" w:rsidRDefault="002661BA">
      <w:pPr>
        <w:ind w:firstLine="540"/>
        <w:jc w:val="both"/>
      </w:pPr>
    </w:p>
    <w:p w14:paraId="22CFC96C" w14:textId="77777777" w:rsidR="002661BA" w:rsidRDefault="00D972BC">
      <w:pPr>
        <w:spacing w:after="120"/>
        <w:ind w:firstLine="540"/>
        <w:jc w:val="both"/>
      </w:pPr>
      <w:r>
        <w:rPr>
          <w:rFonts w:ascii="Arial" w:eastAsia="宋体" w:hAnsi="Arial" w:cs="Arial"/>
          <w:color w:val="000000"/>
          <w:sz w:val="20"/>
          <w:szCs w:val="20"/>
        </w:rPr>
        <w:t>The following table presents a reconciliation of the opening to closing balance of the warrant measured using significant unobservable inputs (Level 3)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6011"/>
        <w:gridCol w:w="37"/>
        <w:gridCol w:w="121"/>
        <w:gridCol w:w="913"/>
        <w:gridCol w:w="36"/>
        <w:gridCol w:w="36"/>
        <w:gridCol w:w="36"/>
        <w:gridCol w:w="36"/>
        <w:gridCol w:w="121"/>
        <w:gridCol w:w="915"/>
        <w:gridCol w:w="36"/>
      </w:tblGrid>
      <w:tr w:rsidR="002661BA" w14:paraId="22CFC979" w14:textId="77777777">
        <w:tc>
          <w:tcPr>
            <w:tcW w:w="50" w:type="pct"/>
            <w:shd w:val="clear" w:color="auto" w:fill="auto"/>
            <w:vAlign w:val="bottom"/>
          </w:tcPr>
          <w:p w14:paraId="22CFC96D" w14:textId="77777777" w:rsidR="002661BA" w:rsidRDefault="002661BA">
            <w:pPr>
              <w:rPr>
                <w:rFonts w:ascii="宋体"/>
              </w:rPr>
            </w:pPr>
          </w:p>
        </w:tc>
        <w:tc>
          <w:tcPr>
            <w:tcW w:w="3643" w:type="pct"/>
            <w:shd w:val="clear" w:color="auto" w:fill="auto"/>
            <w:vAlign w:val="bottom"/>
          </w:tcPr>
          <w:p w14:paraId="22CFC96E" w14:textId="77777777" w:rsidR="002661BA" w:rsidRDefault="002661BA">
            <w:pPr>
              <w:rPr>
                <w:rFonts w:ascii="宋体"/>
              </w:rPr>
            </w:pPr>
          </w:p>
        </w:tc>
        <w:tc>
          <w:tcPr>
            <w:tcW w:w="5" w:type="pct"/>
            <w:shd w:val="clear" w:color="auto" w:fill="auto"/>
            <w:vAlign w:val="bottom"/>
          </w:tcPr>
          <w:p w14:paraId="22CFC96F" w14:textId="77777777" w:rsidR="002661BA" w:rsidRDefault="002661BA">
            <w:pPr>
              <w:rPr>
                <w:rFonts w:ascii="宋体"/>
              </w:rPr>
            </w:pPr>
          </w:p>
        </w:tc>
        <w:tc>
          <w:tcPr>
            <w:tcW w:w="50" w:type="pct"/>
            <w:shd w:val="clear" w:color="auto" w:fill="auto"/>
            <w:vAlign w:val="bottom"/>
          </w:tcPr>
          <w:p w14:paraId="22CFC970" w14:textId="77777777" w:rsidR="002661BA" w:rsidRDefault="002661BA">
            <w:pPr>
              <w:rPr>
                <w:rFonts w:ascii="宋体"/>
              </w:rPr>
            </w:pPr>
          </w:p>
        </w:tc>
        <w:tc>
          <w:tcPr>
            <w:tcW w:w="580" w:type="pct"/>
            <w:shd w:val="clear" w:color="auto" w:fill="auto"/>
            <w:vAlign w:val="bottom"/>
          </w:tcPr>
          <w:p w14:paraId="22CFC971" w14:textId="77777777" w:rsidR="002661BA" w:rsidRDefault="002661BA">
            <w:pPr>
              <w:rPr>
                <w:rFonts w:ascii="宋体"/>
              </w:rPr>
            </w:pPr>
          </w:p>
        </w:tc>
        <w:tc>
          <w:tcPr>
            <w:tcW w:w="5" w:type="pct"/>
            <w:shd w:val="clear" w:color="auto" w:fill="auto"/>
            <w:vAlign w:val="bottom"/>
          </w:tcPr>
          <w:p w14:paraId="22CFC972" w14:textId="77777777" w:rsidR="002661BA" w:rsidRDefault="002661BA">
            <w:pPr>
              <w:rPr>
                <w:rFonts w:ascii="宋体"/>
              </w:rPr>
            </w:pPr>
          </w:p>
        </w:tc>
        <w:tc>
          <w:tcPr>
            <w:tcW w:w="5" w:type="pct"/>
            <w:shd w:val="clear" w:color="auto" w:fill="auto"/>
            <w:vAlign w:val="bottom"/>
          </w:tcPr>
          <w:p w14:paraId="22CFC973" w14:textId="77777777" w:rsidR="002661BA" w:rsidRDefault="002661BA">
            <w:pPr>
              <w:rPr>
                <w:rFonts w:ascii="宋体"/>
              </w:rPr>
            </w:pPr>
          </w:p>
        </w:tc>
        <w:tc>
          <w:tcPr>
            <w:tcW w:w="19" w:type="pct"/>
            <w:shd w:val="clear" w:color="auto" w:fill="auto"/>
            <w:vAlign w:val="bottom"/>
          </w:tcPr>
          <w:p w14:paraId="22CFC974" w14:textId="77777777" w:rsidR="002661BA" w:rsidRDefault="002661BA">
            <w:pPr>
              <w:rPr>
                <w:rFonts w:ascii="宋体"/>
              </w:rPr>
            </w:pPr>
          </w:p>
        </w:tc>
        <w:tc>
          <w:tcPr>
            <w:tcW w:w="5" w:type="pct"/>
            <w:shd w:val="clear" w:color="auto" w:fill="auto"/>
            <w:vAlign w:val="bottom"/>
          </w:tcPr>
          <w:p w14:paraId="22CFC975" w14:textId="77777777" w:rsidR="002661BA" w:rsidRDefault="002661BA">
            <w:pPr>
              <w:rPr>
                <w:rFonts w:ascii="宋体"/>
              </w:rPr>
            </w:pPr>
          </w:p>
        </w:tc>
        <w:tc>
          <w:tcPr>
            <w:tcW w:w="50" w:type="pct"/>
            <w:shd w:val="clear" w:color="auto" w:fill="auto"/>
            <w:vAlign w:val="bottom"/>
          </w:tcPr>
          <w:p w14:paraId="22CFC976" w14:textId="77777777" w:rsidR="002661BA" w:rsidRDefault="002661BA">
            <w:pPr>
              <w:rPr>
                <w:rFonts w:ascii="宋体"/>
              </w:rPr>
            </w:pPr>
          </w:p>
        </w:tc>
        <w:tc>
          <w:tcPr>
            <w:tcW w:w="581" w:type="pct"/>
            <w:shd w:val="clear" w:color="auto" w:fill="auto"/>
            <w:vAlign w:val="bottom"/>
          </w:tcPr>
          <w:p w14:paraId="22CFC977" w14:textId="77777777" w:rsidR="002661BA" w:rsidRDefault="002661BA">
            <w:pPr>
              <w:rPr>
                <w:rFonts w:ascii="宋体"/>
              </w:rPr>
            </w:pPr>
          </w:p>
        </w:tc>
        <w:tc>
          <w:tcPr>
            <w:tcW w:w="5" w:type="pct"/>
            <w:shd w:val="clear" w:color="auto" w:fill="auto"/>
            <w:vAlign w:val="bottom"/>
          </w:tcPr>
          <w:p w14:paraId="22CFC978" w14:textId="77777777" w:rsidR="002661BA" w:rsidRDefault="002661BA">
            <w:pPr>
              <w:rPr>
                <w:rFonts w:ascii="宋体"/>
              </w:rPr>
            </w:pPr>
          </w:p>
        </w:tc>
      </w:tr>
      <w:tr w:rsidR="002661BA" w14:paraId="22CFC97C" w14:textId="77777777">
        <w:tc>
          <w:tcPr>
            <w:tcW w:w="0" w:type="auto"/>
            <w:gridSpan w:val="3"/>
            <w:shd w:val="clear" w:color="auto" w:fill="auto"/>
            <w:tcMar>
              <w:top w:w="0" w:type="dxa"/>
              <w:left w:w="20" w:type="dxa"/>
              <w:bottom w:w="0" w:type="dxa"/>
              <w:right w:w="20" w:type="dxa"/>
            </w:tcMar>
            <w:vAlign w:val="bottom"/>
          </w:tcPr>
          <w:p w14:paraId="22CFC97A"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C97B" w14:textId="77777777" w:rsidR="002661BA" w:rsidRDefault="00D972BC">
            <w:pPr>
              <w:jc w:val="center"/>
              <w:textAlignment w:val="bottom"/>
            </w:pPr>
            <w:r>
              <w:rPr>
                <w:rFonts w:ascii="Arial" w:eastAsia="宋体" w:hAnsi="Arial" w:cs="Arial"/>
                <w:b/>
                <w:bCs/>
                <w:color w:val="000000"/>
                <w:sz w:val="17"/>
                <w:szCs w:val="17"/>
              </w:rPr>
              <w:t>December 31,</w:t>
            </w:r>
          </w:p>
        </w:tc>
      </w:tr>
      <w:tr w:rsidR="002661BA" w14:paraId="22CFC981" w14:textId="77777777">
        <w:tc>
          <w:tcPr>
            <w:tcW w:w="0" w:type="auto"/>
            <w:gridSpan w:val="3"/>
            <w:shd w:val="clear" w:color="auto" w:fill="auto"/>
            <w:tcMar>
              <w:top w:w="0" w:type="dxa"/>
              <w:left w:w="20" w:type="dxa"/>
              <w:bottom w:w="0" w:type="dxa"/>
              <w:right w:w="20" w:type="dxa"/>
            </w:tcMar>
            <w:vAlign w:val="bottom"/>
          </w:tcPr>
          <w:p w14:paraId="22CFC97D"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97E"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97F"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980" w14:textId="77777777" w:rsidR="002661BA" w:rsidRDefault="00D972BC">
            <w:pPr>
              <w:jc w:val="center"/>
              <w:textAlignment w:val="bottom"/>
            </w:pPr>
            <w:r>
              <w:rPr>
                <w:rFonts w:ascii="Arial" w:eastAsia="宋体" w:hAnsi="Arial" w:cs="Arial"/>
                <w:b/>
                <w:bCs/>
                <w:color w:val="000000"/>
                <w:sz w:val="17"/>
                <w:szCs w:val="17"/>
              </w:rPr>
              <w:t>2020</w:t>
            </w:r>
          </w:p>
        </w:tc>
      </w:tr>
      <w:tr w:rsidR="002661BA" w14:paraId="22CFC98A" w14:textId="77777777">
        <w:tc>
          <w:tcPr>
            <w:tcW w:w="0" w:type="auto"/>
            <w:gridSpan w:val="3"/>
            <w:shd w:val="clear" w:color="auto" w:fill="E2E2E2"/>
            <w:tcMar>
              <w:top w:w="40" w:type="dxa"/>
              <w:left w:w="20" w:type="dxa"/>
              <w:bottom w:w="40" w:type="dxa"/>
              <w:right w:w="20" w:type="dxa"/>
            </w:tcMar>
            <w:vAlign w:val="bottom"/>
          </w:tcPr>
          <w:p w14:paraId="22CFC982" w14:textId="77777777" w:rsidR="002661BA" w:rsidRDefault="00D972BC">
            <w:pPr>
              <w:textAlignment w:val="bottom"/>
            </w:pPr>
            <w:r>
              <w:rPr>
                <w:rFonts w:ascii="Arial" w:eastAsia="宋体" w:hAnsi="Arial" w:cs="Arial"/>
                <w:color w:val="000000"/>
                <w:sz w:val="18"/>
                <w:szCs w:val="18"/>
              </w:rPr>
              <w:t>Opening balance at beginning of period</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C98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984" w14:textId="77777777" w:rsidR="002661BA" w:rsidRDefault="00D972BC">
            <w:pPr>
              <w:jc w:val="right"/>
              <w:textAlignment w:val="bottom"/>
            </w:pPr>
            <w:r>
              <w:rPr>
                <w:rFonts w:ascii="Arial" w:eastAsia="宋体" w:hAnsi="Arial" w:cs="Arial"/>
                <w:color w:val="000000"/>
                <w:sz w:val="18"/>
                <w:szCs w:val="18"/>
              </w:rPr>
              <w:t>1,051 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98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986"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98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988" w14:textId="77777777" w:rsidR="002661BA" w:rsidRDefault="00D972BC">
            <w:pPr>
              <w:jc w:val="right"/>
              <w:textAlignment w:val="bottom"/>
            </w:pPr>
            <w:r>
              <w:rPr>
                <w:rFonts w:ascii="Arial" w:eastAsia="宋体" w:hAnsi="Arial" w:cs="Arial"/>
                <w:color w:val="000000"/>
                <w:sz w:val="18"/>
                <w:szCs w:val="18"/>
              </w:rPr>
              <w:t>281 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989" w14:textId="77777777" w:rsidR="002661BA" w:rsidRDefault="002661BA">
            <w:pPr>
              <w:jc w:val="right"/>
              <w:rPr>
                <w:rFonts w:ascii="宋体"/>
              </w:rPr>
            </w:pPr>
          </w:p>
        </w:tc>
      </w:tr>
      <w:tr w:rsidR="002661BA" w14:paraId="22CFC98F" w14:textId="77777777">
        <w:trPr>
          <w:hidden/>
        </w:trPr>
        <w:tc>
          <w:tcPr>
            <w:tcW w:w="0" w:type="auto"/>
            <w:gridSpan w:val="3"/>
            <w:shd w:val="clear" w:color="auto" w:fill="auto"/>
            <w:vAlign w:val="bottom"/>
          </w:tcPr>
          <w:p w14:paraId="22CFC98B" w14:textId="77777777" w:rsidR="002661BA" w:rsidRDefault="002661BA">
            <w:pPr>
              <w:rPr>
                <w:rFonts w:ascii="宋体"/>
                <w:vanish/>
              </w:rPr>
            </w:pPr>
          </w:p>
        </w:tc>
        <w:tc>
          <w:tcPr>
            <w:tcW w:w="0" w:type="auto"/>
            <w:gridSpan w:val="3"/>
            <w:shd w:val="clear" w:color="auto" w:fill="auto"/>
            <w:vAlign w:val="bottom"/>
          </w:tcPr>
          <w:p w14:paraId="22CFC98C" w14:textId="77777777" w:rsidR="002661BA" w:rsidRDefault="002661BA">
            <w:pPr>
              <w:rPr>
                <w:rFonts w:ascii="宋体"/>
                <w:vanish/>
              </w:rPr>
            </w:pPr>
          </w:p>
        </w:tc>
        <w:tc>
          <w:tcPr>
            <w:tcW w:w="0" w:type="auto"/>
            <w:gridSpan w:val="3"/>
            <w:shd w:val="clear" w:color="auto" w:fill="auto"/>
            <w:vAlign w:val="bottom"/>
          </w:tcPr>
          <w:p w14:paraId="22CFC98D" w14:textId="77777777" w:rsidR="002661BA" w:rsidRDefault="002661BA">
            <w:pPr>
              <w:rPr>
                <w:rFonts w:ascii="宋体"/>
                <w:vanish/>
              </w:rPr>
            </w:pPr>
          </w:p>
        </w:tc>
        <w:tc>
          <w:tcPr>
            <w:tcW w:w="0" w:type="auto"/>
            <w:gridSpan w:val="3"/>
            <w:shd w:val="clear" w:color="auto" w:fill="auto"/>
            <w:vAlign w:val="bottom"/>
          </w:tcPr>
          <w:p w14:paraId="22CFC98E" w14:textId="77777777" w:rsidR="002661BA" w:rsidRDefault="002661BA">
            <w:pPr>
              <w:rPr>
                <w:rFonts w:ascii="宋体"/>
                <w:vanish/>
              </w:rPr>
            </w:pPr>
          </w:p>
        </w:tc>
      </w:tr>
      <w:tr w:rsidR="002661BA" w14:paraId="22CFC996" w14:textId="77777777">
        <w:tc>
          <w:tcPr>
            <w:tcW w:w="0" w:type="auto"/>
            <w:gridSpan w:val="3"/>
            <w:shd w:val="clear" w:color="auto" w:fill="FFFFFF"/>
            <w:tcMar>
              <w:top w:w="40" w:type="dxa"/>
              <w:left w:w="245" w:type="dxa"/>
              <w:bottom w:w="40" w:type="dxa"/>
              <w:right w:w="20" w:type="dxa"/>
            </w:tcMar>
            <w:vAlign w:val="bottom"/>
          </w:tcPr>
          <w:p w14:paraId="22CFC990" w14:textId="77777777" w:rsidR="002661BA" w:rsidRDefault="00D972BC">
            <w:pPr>
              <w:textAlignment w:val="bottom"/>
            </w:pPr>
            <w:r>
              <w:rPr>
                <w:rFonts w:ascii="Arial" w:eastAsia="宋体" w:hAnsi="Arial" w:cs="Arial"/>
                <w:color w:val="000000"/>
                <w:sz w:val="18"/>
                <w:szCs w:val="18"/>
              </w:rPr>
              <w:t>Exercise of options under warrant</w:t>
            </w:r>
          </w:p>
        </w:tc>
        <w:tc>
          <w:tcPr>
            <w:tcW w:w="0" w:type="auto"/>
            <w:gridSpan w:val="2"/>
            <w:shd w:val="clear" w:color="auto" w:fill="FFFFFF"/>
            <w:tcMar>
              <w:top w:w="40" w:type="dxa"/>
              <w:left w:w="20" w:type="dxa"/>
              <w:bottom w:w="40" w:type="dxa"/>
              <w:right w:w="0" w:type="dxa"/>
            </w:tcMar>
            <w:vAlign w:val="bottom"/>
          </w:tcPr>
          <w:p w14:paraId="22CFC991" w14:textId="77777777" w:rsidR="002661BA" w:rsidRDefault="00D972BC">
            <w:pPr>
              <w:jc w:val="right"/>
              <w:textAlignment w:val="bottom"/>
            </w:pPr>
            <w:r>
              <w:rPr>
                <w:rFonts w:ascii="Arial" w:eastAsia="宋体" w:hAnsi="Arial" w:cs="Arial"/>
                <w:color w:val="000000"/>
                <w:sz w:val="18"/>
                <w:szCs w:val="18"/>
              </w:rPr>
              <w:t>(961)</w:t>
            </w:r>
          </w:p>
        </w:tc>
        <w:tc>
          <w:tcPr>
            <w:tcW w:w="0" w:type="auto"/>
            <w:shd w:val="clear" w:color="auto" w:fill="FFFFFF"/>
            <w:tcMar>
              <w:top w:w="40" w:type="dxa"/>
              <w:left w:w="0" w:type="dxa"/>
              <w:bottom w:w="40" w:type="dxa"/>
              <w:right w:w="20" w:type="dxa"/>
            </w:tcMar>
            <w:vAlign w:val="bottom"/>
          </w:tcPr>
          <w:p w14:paraId="22CFC99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993"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994"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995" w14:textId="77777777" w:rsidR="002661BA" w:rsidRDefault="002661BA">
            <w:pPr>
              <w:jc w:val="right"/>
              <w:rPr>
                <w:rFonts w:ascii="宋体"/>
              </w:rPr>
            </w:pPr>
          </w:p>
        </w:tc>
      </w:tr>
      <w:tr w:rsidR="002661BA" w14:paraId="22CFC99D" w14:textId="77777777">
        <w:tc>
          <w:tcPr>
            <w:tcW w:w="0" w:type="auto"/>
            <w:gridSpan w:val="3"/>
            <w:shd w:val="clear" w:color="auto" w:fill="E2E2E2"/>
            <w:tcMar>
              <w:top w:w="40" w:type="dxa"/>
              <w:left w:w="245" w:type="dxa"/>
              <w:bottom w:w="40" w:type="dxa"/>
              <w:right w:w="20" w:type="dxa"/>
            </w:tcMar>
            <w:vAlign w:val="bottom"/>
          </w:tcPr>
          <w:p w14:paraId="22CFC997" w14:textId="77777777" w:rsidR="002661BA" w:rsidRDefault="00D972BC">
            <w:pPr>
              <w:textAlignment w:val="bottom"/>
            </w:pPr>
            <w:r>
              <w:rPr>
                <w:rFonts w:ascii="Arial" w:eastAsia="宋体" w:hAnsi="Arial" w:cs="Arial"/>
                <w:color w:val="000000"/>
                <w:sz w:val="18"/>
                <w:szCs w:val="18"/>
              </w:rPr>
              <w:t>Change in fair value</w:t>
            </w:r>
          </w:p>
        </w:tc>
        <w:tc>
          <w:tcPr>
            <w:tcW w:w="0" w:type="auto"/>
            <w:gridSpan w:val="2"/>
            <w:shd w:val="clear" w:color="auto" w:fill="E2E2E2"/>
            <w:tcMar>
              <w:top w:w="40" w:type="dxa"/>
              <w:left w:w="20" w:type="dxa"/>
              <w:bottom w:w="40" w:type="dxa"/>
              <w:right w:w="0" w:type="dxa"/>
            </w:tcMar>
            <w:vAlign w:val="bottom"/>
          </w:tcPr>
          <w:p w14:paraId="22CFC998" w14:textId="77777777" w:rsidR="002661BA" w:rsidRDefault="00D972BC">
            <w:pPr>
              <w:jc w:val="right"/>
              <w:textAlignment w:val="bottom"/>
            </w:pPr>
            <w:r>
              <w:rPr>
                <w:rFonts w:ascii="Arial" w:eastAsia="宋体" w:hAnsi="Arial" w:cs="Arial"/>
                <w:color w:val="000000"/>
                <w:sz w:val="18"/>
                <w:szCs w:val="18"/>
              </w:rPr>
              <w:t>354 </w:t>
            </w:r>
          </w:p>
        </w:tc>
        <w:tc>
          <w:tcPr>
            <w:tcW w:w="0" w:type="auto"/>
            <w:shd w:val="clear" w:color="auto" w:fill="E2E2E2"/>
            <w:tcMar>
              <w:top w:w="40" w:type="dxa"/>
              <w:left w:w="0" w:type="dxa"/>
              <w:bottom w:w="40" w:type="dxa"/>
              <w:right w:w="20" w:type="dxa"/>
            </w:tcMar>
            <w:vAlign w:val="bottom"/>
          </w:tcPr>
          <w:p w14:paraId="22CFC99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99A"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99B" w14:textId="77777777" w:rsidR="002661BA" w:rsidRDefault="00D972BC">
            <w:pPr>
              <w:jc w:val="right"/>
              <w:textAlignment w:val="bottom"/>
            </w:pPr>
            <w:r>
              <w:rPr>
                <w:rFonts w:ascii="Arial" w:eastAsia="宋体" w:hAnsi="Arial" w:cs="Arial"/>
                <w:color w:val="000000"/>
                <w:sz w:val="18"/>
                <w:szCs w:val="18"/>
              </w:rPr>
              <w:t>770 </w:t>
            </w:r>
          </w:p>
        </w:tc>
        <w:tc>
          <w:tcPr>
            <w:tcW w:w="0" w:type="auto"/>
            <w:shd w:val="clear" w:color="auto" w:fill="E2E2E2"/>
            <w:tcMar>
              <w:top w:w="40" w:type="dxa"/>
              <w:left w:w="0" w:type="dxa"/>
              <w:bottom w:w="40" w:type="dxa"/>
              <w:right w:w="20" w:type="dxa"/>
            </w:tcMar>
            <w:vAlign w:val="bottom"/>
          </w:tcPr>
          <w:p w14:paraId="22CFC99C" w14:textId="77777777" w:rsidR="002661BA" w:rsidRDefault="002661BA">
            <w:pPr>
              <w:jc w:val="right"/>
              <w:rPr>
                <w:rFonts w:ascii="宋体"/>
              </w:rPr>
            </w:pPr>
          </w:p>
        </w:tc>
      </w:tr>
      <w:tr w:rsidR="002661BA" w14:paraId="22CFC9A6" w14:textId="77777777">
        <w:tc>
          <w:tcPr>
            <w:tcW w:w="0" w:type="auto"/>
            <w:gridSpan w:val="3"/>
            <w:shd w:val="clear" w:color="auto" w:fill="FFFFFF"/>
            <w:tcMar>
              <w:top w:w="40" w:type="dxa"/>
              <w:left w:w="20" w:type="dxa"/>
              <w:bottom w:w="40" w:type="dxa"/>
              <w:right w:w="20" w:type="dxa"/>
            </w:tcMar>
            <w:vAlign w:val="bottom"/>
          </w:tcPr>
          <w:p w14:paraId="22CFC99E" w14:textId="77777777" w:rsidR="002661BA" w:rsidRDefault="00D972BC">
            <w:pPr>
              <w:textAlignment w:val="bottom"/>
            </w:pPr>
            <w:r>
              <w:rPr>
                <w:rFonts w:ascii="Arial" w:eastAsia="宋体" w:hAnsi="Arial" w:cs="Arial"/>
                <w:color w:val="000000"/>
                <w:sz w:val="18"/>
                <w:szCs w:val="18"/>
              </w:rPr>
              <w:t>Closing balance at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99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9A0" w14:textId="77777777" w:rsidR="002661BA" w:rsidRDefault="00D972BC">
            <w:pPr>
              <w:jc w:val="right"/>
              <w:textAlignment w:val="bottom"/>
            </w:pPr>
            <w:r>
              <w:rPr>
                <w:rFonts w:ascii="Arial" w:eastAsia="宋体" w:hAnsi="Arial" w:cs="Arial"/>
                <w:color w:val="000000"/>
                <w:sz w:val="18"/>
                <w:szCs w:val="18"/>
              </w:rPr>
              <w:t>444 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9A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9A2"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9A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9A4" w14:textId="77777777" w:rsidR="002661BA" w:rsidRDefault="00D972BC">
            <w:pPr>
              <w:jc w:val="right"/>
              <w:textAlignment w:val="bottom"/>
            </w:pPr>
            <w:r>
              <w:rPr>
                <w:rFonts w:ascii="Arial" w:eastAsia="宋体" w:hAnsi="Arial" w:cs="Arial"/>
                <w:color w:val="000000"/>
                <w:sz w:val="18"/>
                <w:szCs w:val="18"/>
              </w:rPr>
              <w:t>1,051 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9A5" w14:textId="77777777" w:rsidR="002661BA" w:rsidRDefault="002661BA">
            <w:pPr>
              <w:jc w:val="right"/>
              <w:rPr>
                <w:rFonts w:ascii="宋体"/>
              </w:rPr>
            </w:pPr>
          </w:p>
        </w:tc>
      </w:tr>
    </w:tbl>
    <w:p w14:paraId="22CFC9A7" w14:textId="77777777" w:rsidR="002661BA" w:rsidRDefault="002661BA">
      <w:pPr>
        <w:ind w:firstLine="540"/>
        <w:jc w:val="both"/>
      </w:pPr>
    </w:p>
    <w:p w14:paraId="22CFC9A8" w14:textId="77777777" w:rsidR="002661BA" w:rsidRDefault="00D972BC">
      <w:pPr>
        <w:spacing w:after="120"/>
        <w:ind w:firstLine="450"/>
        <w:jc w:val="both"/>
      </w:pPr>
      <w:r>
        <w:rPr>
          <w:rFonts w:ascii="Arial" w:eastAsia="宋体" w:hAnsi="Arial" w:cs="Arial"/>
          <w:color w:val="000000"/>
          <w:sz w:val="20"/>
          <w:szCs w:val="20"/>
        </w:rPr>
        <w:t xml:space="preserve">The </w:t>
      </w:r>
      <w:r>
        <w:rPr>
          <w:rFonts w:ascii="Arial" w:eastAsia="宋体" w:hAnsi="Arial" w:cs="Arial"/>
          <w:color w:val="000000"/>
          <w:sz w:val="20"/>
          <w:szCs w:val="20"/>
        </w:rPr>
        <w:t>following table presents quantitative information about Level 3 significant unobservable inputs used in the fair value measurement of the warrant as of December 31, 2021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7"/>
        <w:gridCol w:w="1665"/>
        <w:gridCol w:w="36"/>
        <w:gridCol w:w="36"/>
        <w:gridCol w:w="36"/>
        <w:gridCol w:w="36"/>
        <w:gridCol w:w="121"/>
        <w:gridCol w:w="1044"/>
        <w:gridCol w:w="36"/>
        <w:gridCol w:w="36"/>
        <w:gridCol w:w="36"/>
        <w:gridCol w:w="36"/>
        <w:gridCol w:w="66"/>
        <w:gridCol w:w="1332"/>
        <w:gridCol w:w="37"/>
        <w:gridCol w:w="36"/>
        <w:gridCol w:w="36"/>
        <w:gridCol w:w="36"/>
        <w:gridCol w:w="60"/>
        <w:gridCol w:w="1461"/>
        <w:gridCol w:w="36"/>
        <w:gridCol w:w="36"/>
        <w:gridCol w:w="36"/>
        <w:gridCol w:w="36"/>
        <w:gridCol w:w="38"/>
        <w:gridCol w:w="1899"/>
        <w:gridCol w:w="36"/>
      </w:tblGrid>
      <w:tr w:rsidR="002661BA" w14:paraId="22CFC9C4" w14:textId="77777777">
        <w:tc>
          <w:tcPr>
            <w:tcW w:w="50" w:type="pct"/>
            <w:shd w:val="clear" w:color="auto" w:fill="auto"/>
            <w:vAlign w:val="bottom"/>
          </w:tcPr>
          <w:p w14:paraId="22CFC9A9" w14:textId="77777777" w:rsidR="002661BA" w:rsidRDefault="002661BA">
            <w:pPr>
              <w:rPr>
                <w:rFonts w:ascii="宋体"/>
              </w:rPr>
            </w:pPr>
          </w:p>
        </w:tc>
        <w:tc>
          <w:tcPr>
            <w:tcW w:w="1026" w:type="pct"/>
            <w:shd w:val="clear" w:color="auto" w:fill="auto"/>
            <w:vAlign w:val="bottom"/>
          </w:tcPr>
          <w:p w14:paraId="22CFC9AA" w14:textId="77777777" w:rsidR="002661BA" w:rsidRDefault="002661BA">
            <w:pPr>
              <w:rPr>
                <w:rFonts w:ascii="宋体"/>
              </w:rPr>
            </w:pPr>
          </w:p>
        </w:tc>
        <w:tc>
          <w:tcPr>
            <w:tcW w:w="5" w:type="pct"/>
            <w:shd w:val="clear" w:color="auto" w:fill="auto"/>
            <w:vAlign w:val="bottom"/>
          </w:tcPr>
          <w:p w14:paraId="22CFC9AB" w14:textId="77777777" w:rsidR="002661BA" w:rsidRDefault="002661BA">
            <w:pPr>
              <w:rPr>
                <w:rFonts w:ascii="宋体"/>
              </w:rPr>
            </w:pPr>
          </w:p>
        </w:tc>
        <w:tc>
          <w:tcPr>
            <w:tcW w:w="5" w:type="pct"/>
            <w:shd w:val="clear" w:color="auto" w:fill="auto"/>
            <w:vAlign w:val="bottom"/>
          </w:tcPr>
          <w:p w14:paraId="22CFC9AC" w14:textId="77777777" w:rsidR="002661BA" w:rsidRDefault="002661BA">
            <w:pPr>
              <w:rPr>
                <w:rFonts w:ascii="宋体"/>
              </w:rPr>
            </w:pPr>
          </w:p>
        </w:tc>
        <w:tc>
          <w:tcPr>
            <w:tcW w:w="19" w:type="pct"/>
            <w:shd w:val="clear" w:color="auto" w:fill="auto"/>
            <w:vAlign w:val="bottom"/>
          </w:tcPr>
          <w:p w14:paraId="22CFC9AD" w14:textId="77777777" w:rsidR="002661BA" w:rsidRDefault="002661BA">
            <w:pPr>
              <w:rPr>
                <w:rFonts w:ascii="宋体"/>
              </w:rPr>
            </w:pPr>
          </w:p>
        </w:tc>
        <w:tc>
          <w:tcPr>
            <w:tcW w:w="5" w:type="pct"/>
            <w:shd w:val="clear" w:color="auto" w:fill="auto"/>
            <w:vAlign w:val="bottom"/>
          </w:tcPr>
          <w:p w14:paraId="22CFC9AE" w14:textId="77777777" w:rsidR="002661BA" w:rsidRDefault="002661BA">
            <w:pPr>
              <w:rPr>
                <w:rFonts w:ascii="宋体"/>
              </w:rPr>
            </w:pPr>
          </w:p>
        </w:tc>
        <w:tc>
          <w:tcPr>
            <w:tcW w:w="50" w:type="pct"/>
            <w:shd w:val="clear" w:color="auto" w:fill="auto"/>
            <w:vAlign w:val="bottom"/>
          </w:tcPr>
          <w:p w14:paraId="22CFC9AF" w14:textId="77777777" w:rsidR="002661BA" w:rsidRDefault="002661BA">
            <w:pPr>
              <w:rPr>
                <w:rFonts w:ascii="宋体"/>
              </w:rPr>
            </w:pPr>
          </w:p>
        </w:tc>
        <w:tc>
          <w:tcPr>
            <w:tcW w:w="654" w:type="pct"/>
            <w:shd w:val="clear" w:color="auto" w:fill="auto"/>
            <w:vAlign w:val="bottom"/>
          </w:tcPr>
          <w:p w14:paraId="22CFC9B0" w14:textId="77777777" w:rsidR="002661BA" w:rsidRDefault="002661BA">
            <w:pPr>
              <w:rPr>
                <w:rFonts w:ascii="宋体"/>
              </w:rPr>
            </w:pPr>
          </w:p>
        </w:tc>
        <w:tc>
          <w:tcPr>
            <w:tcW w:w="5" w:type="pct"/>
            <w:shd w:val="clear" w:color="auto" w:fill="auto"/>
            <w:vAlign w:val="bottom"/>
          </w:tcPr>
          <w:p w14:paraId="22CFC9B1" w14:textId="77777777" w:rsidR="002661BA" w:rsidRDefault="002661BA">
            <w:pPr>
              <w:rPr>
                <w:rFonts w:ascii="宋体"/>
              </w:rPr>
            </w:pPr>
          </w:p>
        </w:tc>
        <w:tc>
          <w:tcPr>
            <w:tcW w:w="5" w:type="pct"/>
            <w:shd w:val="clear" w:color="auto" w:fill="auto"/>
            <w:vAlign w:val="bottom"/>
          </w:tcPr>
          <w:p w14:paraId="22CFC9B2" w14:textId="77777777" w:rsidR="002661BA" w:rsidRDefault="002661BA">
            <w:pPr>
              <w:rPr>
                <w:rFonts w:ascii="宋体"/>
              </w:rPr>
            </w:pPr>
          </w:p>
        </w:tc>
        <w:tc>
          <w:tcPr>
            <w:tcW w:w="19" w:type="pct"/>
            <w:shd w:val="clear" w:color="auto" w:fill="auto"/>
            <w:vAlign w:val="bottom"/>
          </w:tcPr>
          <w:p w14:paraId="22CFC9B3" w14:textId="77777777" w:rsidR="002661BA" w:rsidRDefault="002661BA">
            <w:pPr>
              <w:rPr>
                <w:rFonts w:ascii="宋体"/>
              </w:rPr>
            </w:pPr>
          </w:p>
        </w:tc>
        <w:tc>
          <w:tcPr>
            <w:tcW w:w="5" w:type="pct"/>
            <w:shd w:val="clear" w:color="auto" w:fill="auto"/>
            <w:vAlign w:val="bottom"/>
          </w:tcPr>
          <w:p w14:paraId="22CFC9B4" w14:textId="77777777" w:rsidR="002661BA" w:rsidRDefault="002661BA">
            <w:pPr>
              <w:rPr>
                <w:rFonts w:ascii="宋体"/>
              </w:rPr>
            </w:pPr>
          </w:p>
        </w:tc>
        <w:tc>
          <w:tcPr>
            <w:tcW w:w="50" w:type="pct"/>
            <w:shd w:val="clear" w:color="auto" w:fill="auto"/>
            <w:vAlign w:val="bottom"/>
          </w:tcPr>
          <w:p w14:paraId="22CFC9B5" w14:textId="77777777" w:rsidR="002661BA" w:rsidRDefault="002661BA">
            <w:pPr>
              <w:rPr>
                <w:rFonts w:ascii="宋体"/>
              </w:rPr>
            </w:pPr>
          </w:p>
        </w:tc>
        <w:tc>
          <w:tcPr>
            <w:tcW w:w="844" w:type="pct"/>
            <w:shd w:val="clear" w:color="auto" w:fill="auto"/>
            <w:vAlign w:val="bottom"/>
          </w:tcPr>
          <w:p w14:paraId="22CFC9B6" w14:textId="77777777" w:rsidR="002661BA" w:rsidRDefault="002661BA">
            <w:pPr>
              <w:rPr>
                <w:rFonts w:ascii="宋体"/>
              </w:rPr>
            </w:pPr>
          </w:p>
        </w:tc>
        <w:tc>
          <w:tcPr>
            <w:tcW w:w="5" w:type="pct"/>
            <w:shd w:val="clear" w:color="auto" w:fill="auto"/>
            <w:vAlign w:val="bottom"/>
          </w:tcPr>
          <w:p w14:paraId="22CFC9B7" w14:textId="77777777" w:rsidR="002661BA" w:rsidRDefault="002661BA">
            <w:pPr>
              <w:rPr>
                <w:rFonts w:ascii="宋体"/>
              </w:rPr>
            </w:pPr>
          </w:p>
        </w:tc>
        <w:tc>
          <w:tcPr>
            <w:tcW w:w="5" w:type="pct"/>
            <w:shd w:val="clear" w:color="auto" w:fill="auto"/>
            <w:vAlign w:val="bottom"/>
          </w:tcPr>
          <w:p w14:paraId="22CFC9B8" w14:textId="77777777" w:rsidR="002661BA" w:rsidRDefault="002661BA">
            <w:pPr>
              <w:rPr>
                <w:rFonts w:ascii="宋体"/>
              </w:rPr>
            </w:pPr>
          </w:p>
        </w:tc>
        <w:tc>
          <w:tcPr>
            <w:tcW w:w="19" w:type="pct"/>
            <w:shd w:val="clear" w:color="auto" w:fill="auto"/>
            <w:vAlign w:val="bottom"/>
          </w:tcPr>
          <w:p w14:paraId="22CFC9B9" w14:textId="77777777" w:rsidR="002661BA" w:rsidRDefault="002661BA">
            <w:pPr>
              <w:rPr>
                <w:rFonts w:ascii="宋体"/>
              </w:rPr>
            </w:pPr>
          </w:p>
        </w:tc>
        <w:tc>
          <w:tcPr>
            <w:tcW w:w="5" w:type="pct"/>
            <w:shd w:val="clear" w:color="auto" w:fill="auto"/>
            <w:vAlign w:val="bottom"/>
          </w:tcPr>
          <w:p w14:paraId="22CFC9BA" w14:textId="77777777" w:rsidR="002661BA" w:rsidRDefault="002661BA">
            <w:pPr>
              <w:rPr>
                <w:rFonts w:ascii="宋体"/>
              </w:rPr>
            </w:pPr>
          </w:p>
        </w:tc>
        <w:tc>
          <w:tcPr>
            <w:tcW w:w="50" w:type="pct"/>
            <w:shd w:val="clear" w:color="auto" w:fill="auto"/>
            <w:vAlign w:val="bottom"/>
          </w:tcPr>
          <w:p w14:paraId="22CFC9BB" w14:textId="77777777" w:rsidR="002661BA" w:rsidRDefault="002661BA">
            <w:pPr>
              <w:rPr>
                <w:rFonts w:ascii="宋体"/>
              </w:rPr>
            </w:pPr>
          </w:p>
        </w:tc>
        <w:tc>
          <w:tcPr>
            <w:tcW w:w="917" w:type="pct"/>
            <w:shd w:val="clear" w:color="auto" w:fill="auto"/>
            <w:vAlign w:val="bottom"/>
          </w:tcPr>
          <w:p w14:paraId="22CFC9BC" w14:textId="77777777" w:rsidR="002661BA" w:rsidRDefault="002661BA">
            <w:pPr>
              <w:rPr>
                <w:rFonts w:ascii="宋体"/>
              </w:rPr>
            </w:pPr>
          </w:p>
        </w:tc>
        <w:tc>
          <w:tcPr>
            <w:tcW w:w="5" w:type="pct"/>
            <w:shd w:val="clear" w:color="auto" w:fill="auto"/>
            <w:vAlign w:val="bottom"/>
          </w:tcPr>
          <w:p w14:paraId="22CFC9BD" w14:textId="77777777" w:rsidR="002661BA" w:rsidRDefault="002661BA">
            <w:pPr>
              <w:rPr>
                <w:rFonts w:ascii="宋体"/>
              </w:rPr>
            </w:pPr>
          </w:p>
        </w:tc>
        <w:tc>
          <w:tcPr>
            <w:tcW w:w="5" w:type="pct"/>
            <w:shd w:val="clear" w:color="auto" w:fill="auto"/>
            <w:vAlign w:val="bottom"/>
          </w:tcPr>
          <w:p w14:paraId="22CFC9BE" w14:textId="77777777" w:rsidR="002661BA" w:rsidRDefault="002661BA">
            <w:pPr>
              <w:rPr>
                <w:rFonts w:ascii="宋体"/>
              </w:rPr>
            </w:pPr>
          </w:p>
        </w:tc>
        <w:tc>
          <w:tcPr>
            <w:tcW w:w="19" w:type="pct"/>
            <w:shd w:val="clear" w:color="auto" w:fill="auto"/>
            <w:vAlign w:val="bottom"/>
          </w:tcPr>
          <w:p w14:paraId="22CFC9BF" w14:textId="77777777" w:rsidR="002661BA" w:rsidRDefault="002661BA">
            <w:pPr>
              <w:rPr>
                <w:rFonts w:ascii="宋体"/>
              </w:rPr>
            </w:pPr>
          </w:p>
        </w:tc>
        <w:tc>
          <w:tcPr>
            <w:tcW w:w="5" w:type="pct"/>
            <w:shd w:val="clear" w:color="auto" w:fill="auto"/>
            <w:vAlign w:val="bottom"/>
          </w:tcPr>
          <w:p w14:paraId="22CFC9C0" w14:textId="77777777" w:rsidR="002661BA" w:rsidRDefault="002661BA">
            <w:pPr>
              <w:rPr>
                <w:rFonts w:ascii="宋体"/>
              </w:rPr>
            </w:pPr>
          </w:p>
        </w:tc>
        <w:tc>
          <w:tcPr>
            <w:tcW w:w="50" w:type="pct"/>
            <w:shd w:val="clear" w:color="auto" w:fill="auto"/>
            <w:vAlign w:val="bottom"/>
          </w:tcPr>
          <w:p w14:paraId="22CFC9C1" w14:textId="77777777" w:rsidR="002661BA" w:rsidRDefault="002661BA">
            <w:pPr>
              <w:rPr>
                <w:rFonts w:ascii="宋体"/>
              </w:rPr>
            </w:pPr>
          </w:p>
        </w:tc>
        <w:tc>
          <w:tcPr>
            <w:tcW w:w="1166" w:type="pct"/>
            <w:shd w:val="clear" w:color="auto" w:fill="auto"/>
            <w:vAlign w:val="bottom"/>
          </w:tcPr>
          <w:p w14:paraId="22CFC9C2" w14:textId="77777777" w:rsidR="002661BA" w:rsidRDefault="002661BA">
            <w:pPr>
              <w:rPr>
                <w:rFonts w:ascii="宋体"/>
              </w:rPr>
            </w:pPr>
          </w:p>
        </w:tc>
        <w:tc>
          <w:tcPr>
            <w:tcW w:w="5" w:type="pct"/>
            <w:shd w:val="clear" w:color="auto" w:fill="auto"/>
            <w:vAlign w:val="bottom"/>
          </w:tcPr>
          <w:p w14:paraId="22CFC9C3" w14:textId="77777777" w:rsidR="002661BA" w:rsidRDefault="002661BA">
            <w:pPr>
              <w:rPr>
                <w:rFonts w:ascii="宋体"/>
              </w:rPr>
            </w:pPr>
          </w:p>
        </w:tc>
      </w:tr>
      <w:tr w:rsidR="002661BA" w14:paraId="22CFC9CE" w14:textId="77777777">
        <w:tc>
          <w:tcPr>
            <w:tcW w:w="0" w:type="auto"/>
            <w:gridSpan w:val="3"/>
            <w:shd w:val="clear" w:color="auto" w:fill="auto"/>
            <w:tcMar>
              <w:top w:w="0" w:type="dxa"/>
              <w:left w:w="20" w:type="dxa"/>
              <w:bottom w:w="0" w:type="dxa"/>
              <w:right w:w="20" w:type="dxa"/>
            </w:tcMar>
            <w:vAlign w:val="bottom"/>
          </w:tcPr>
          <w:p w14:paraId="22CFC9C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C9C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9C7" w14:textId="77777777" w:rsidR="002661BA" w:rsidRDefault="00D972BC">
            <w:pPr>
              <w:jc w:val="center"/>
              <w:textAlignment w:val="bottom"/>
            </w:pPr>
            <w:r>
              <w:rPr>
                <w:rFonts w:ascii="Arial" w:eastAsia="宋体" w:hAnsi="Arial" w:cs="Arial"/>
                <w:b/>
                <w:bCs/>
                <w:color w:val="000000"/>
                <w:sz w:val="17"/>
                <w:szCs w:val="17"/>
              </w:rPr>
              <w:t xml:space="preserve">Fair value </w:t>
            </w:r>
          </w:p>
        </w:tc>
        <w:tc>
          <w:tcPr>
            <w:tcW w:w="0" w:type="auto"/>
            <w:gridSpan w:val="3"/>
            <w:shd w:val="clear" w:color="auto" w:fill="auto"/>
            <w:tcMar>
              <w:top w:w="0" w:type="dxa"/>
              <w:left w:w="20" w:type="dxa"/>
              <w:bottom w:w="0" w:type="dxa"/>
              <w:right w:w="20" w:type="dxa"/>
            </w:tcMar>
            <w:vAlign w:val="bottom"/>
          </w:tcPr>
          <w:p w14:paraId="22CFC9C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9C9" w14:textId="77777777" w:rsidR="002661BA" w:rsidRDefault="00D972BC">
            <w:pPr>
              <w:jc w:val="center"/>
              <w:textAlignment w:val="bottom"/>
            </w:pPr>
            <w:r>
              <w:rPr>
                <w:rFonts w:ascii="Arial" w:eastAsia="宋体" w:hAnsi="Arial" w:cs="Arial"/>
                <w:b/>
                <w:bCs/>
                <w:color w:val="000000"/>
                <w:sz w:val="17"/>
                <w:szCs w:val="17"/>
              </w:rPr>
              <w:t>Valuation technique</w:t>
            </w:r>
          </w:p>
        </w:tc>
        <w:tc>
          <w:tcPr>
            <w:tcW w:w="0" w:type="auto"/>
            <w:gridSpan w:val="3"/>
            <w:shd w:val="clear" w:color="auto" w:fill="auto"/>
            <w:tcMar>
              <w:top w:w="0" w:type="dxa"/>
              <w:left w:w="20" w:type="dxa"/>
              <w:bottom w:w="0" w:type="dxa"/>
              <w:right w:w="20" w:type="dxa"/>
            </w:tcMar>
            <w:vAlign w:val="bottom"/>
          </w:tcPr>
          <w:p w14:paraId="22CFC9C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9CB" w14:textId="77777777" w:rsidR="002661BA" w:rsidRDefault="00D972BC">
            <w:pPr>
              <w:jc w:val="center"/>
              <w:textAlignment w:val="bottom"/>
            </w:pPr>
            <w:r>
              <w:rPr>
                <w:rFonts w:ascii="Arial" w:eastAsia="宋体" w:hAnsi="Arial" w:cs="Arial"/>
                <w:b/>
                <w:bCs/>
                <w:color w:val="000000"/>
                <w:sz w:val="17"/>
                <w:szCs w:val="17"/>
              </w:rPr>
              <w:t>Unobservable Input</w:t>
            </w:r>
          </w:p>
        </w:tc>
        <w:tc>
          <w:tcPr>
            <w:tcW w:w="0" w:type="auto"/>
            <w:gridSpan w:val="3"/>
            <w:shd w:val="clear" w:color="auto" w:fill="auto"/>
            <w:tcMar>
              <w:top w:w="0" w:type="dxa"/>
              <w:left w:w="20" w:type="dxa"/>
              <w:bottom w:w="0" w:type="dxa"/>
              <w:right w:w="20" w:type="dxa"/>
            </w:tcMar>
            <w:vAlign w:val="bottom"/>
          </w:tcPr>
          <w:p w14:paraId="22CFC9C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9CD" w14:textId="77777777" w:rsidR="002661BA" w:rsidRDefault="00D972BC">
            <w:pPr>
              <w:jc w:val="center"/>
              <w:textAlignment w:val="bottom"/>
            </w:pPr>
            <w:r>
              <w:rPr>
                <w:rFonts w:ascii="Arial" w:eastAsia="宋体" w:hAnsi="Arial" w:cs="Arial"/>
                <w:b/>
                <w:bCs/>
                <w:color w:val="000000"/>
                <w:sz w:val="17"/>
                <w:szCs w:val="17"/>
              </w:rPr>
              <w:t>Range (weighted average)</w:t>
            </w:r>
            <w:r>
              <w:rPr>
                <w:rFonts w:ascii="Arial" w:eastAsia="宋体" w:hAnsi="Arial" w:cs="Arial"/>
                <w:b/>
                <w:bCs/>
                <w:color w:val="000000"/>
                <w:sz w:val="11"/>
                <w:szCs w:val="11"/>
              </w:rPr>
              <w:t>(1)</w:t>
            </w:r>
          </w:p>
        </w:tc>
      </w:tr>
      <w:tr w:rsidR="002661BA" w14:paraId="22CFC9DA" w14:textId="77777777">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22CFC9CF" w14:textId="77777777" w:rsidR="002661BA" w:rsidRDefault="00D972BC">
            <w:pPr>
              <w:textAlignment w:val="bottom"/>
            </w:pPr>
            <w:r>
              <w:rPr>
                <w:rFonts w:ascii="Arial" w:eastAsia="宋体" w:hAnsi="Arial" w:cs="Arial"/>
                <w:color w:val="000000"/>
                <w:sz w:val="18"/>
                <w:szCs w:val="18"/>
              </w:rPr>
              <w:t>Warrant</w:t>
            </w:r>
          </w:p>
        </w:tc>
        <w:tc>
          <w:tcPr>
            <w:tcW w:w="0" w:type="auto"/>
            <w:gridSpan w:val="3"/>
            <w:shd w:val="clear" w:color="auto" w:fill="E2E2E2"/>
            <w:tcMar>
              <w:top w:w="0" w:type="dxa"/>
              <w:left w:w="20" w:type="dxa"/>
              <w:bottom w:w="0" w:type="dxa"/>
              <w:right w:w="20" w:type="dxa"/>
            </w:tcMar>
            <w:vAlign w:val="bottom"/>
          </w:tcPr>
          <w:p w14:paraId="22CFC9D0"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9D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9D2" w14:textId="77777777" w:rsidR="002661BA" w:rsidRDefault="00D972BC">
            <w:pPr>
              <w:jc w:val="right"/>
              <w:textAlignment w:val="bottom"/>
            </w:pPr>
            <w:r>
              <w:rPr>
                <w:rFonts w:ascii="Arial" w:eastAsia="宋体" w:hAnsi="Arial" w:cs="Arial"/>
                <w:color w:val="000000"/>
                <w:sz w:val="18"/>
                <w:szCs w:val="18"/>
              </w:rPr>
              <w:t>444 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9D3"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9D4" w14:textId="77777777" w:rsidR="002661BA" w:rsidRDefault="002661B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22CFC9D5" w14:textId="77777777" w:rsidR="002661BA" w:rsidRDefault="00D972BC">
            <w:pPr>
              <w:jc w:val="center"/>
              <w:textAlignment w:val="bottom"/>
            </w:pPr>
            <w:r>
              <w:rPr>
                <w:rFonts w:ascii="Arial" w:eastAsia="宋体" w:hAnsi="Arial" w:cs="Arial"/>
                <w:color w:val="000000"/>
                <w:sz w:val="18"/>
                <w:szCs w:val="18"/>
              </w:rPr>
              <w:t>Black-Scholes and Monte Carlo</w:t>
            </w:r>
          </w:p>
        </w:tc>
        <w:tc>
          <w:tcPr>
            <w:tcW w:w="0" w:type="auto"/>
            <w:gridSpan w:val="3"/>
            <w:shd w:val="clear" w:color="auto" w:fill="E2E2E2"/>
            <w:tcMar>
              <w:top w:w="0" w:type="dxa"/>
              <w:left w:w="20" w:type="dxa"/>
              <w:bottom w:w="0" w:type="dxa"/>
              <w:right w:w="20" w:type="dxa"/>
            </w:tcMar>
            <w:vAlign w:val="bottom"/>
          </w:tcPr>
          <w:p w14:paraId="22CFC9D6" w14:textId="77777777" w:rsidR="002661BA" w:rsidRDefault="002661B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22CFC9D7" w14:textId="77777777" w:rsidR="002661BA" w:rsidRDefault="00D972BC">
            <w:pPr>
              <w:jc w:val="center"/>
              <w:textAlignment w:val="bottom"/>
            </w:pPr>
            <w:r>
              <w:rPr>
                <w:rFonts w:ascii="Arial" w:eastAsia="宋体" w:hAnsi="Arial" w:cs="Arial"/>
                <w:color w:val="000000"/>
                <w:sz w:val="18"/>
                <w:szCs w:val="18"/>
              </w:rPr>
              <w:t>Probability of vesting</w:t>
            </w:r>
          </w:p>
        </w:tc>
        <w:tc>
          <w:tcPr>
            <w:tcW w:w="0" w:type="auto"/>
            <w:gridSpan w:val="3"/>
            <w:shd w:val="clear" w:color="auto" w:fill="E2E2E2"/>
            <w:tcMar>
              <w:top w:w="0" w:type="dxa"/>
              <w:left w:w="20" w:type="dxa"/>
              <w:bottom w:w="0" w:type="dxa"/>
              <w:right w:w="20" w:type="dxa"/>
            </w:tcMar>
            <w:vAlign w:val="bottom"/>
          </w:tcPr>
          <w:p w14:paraId="22CFC9D8" w14:textId="77777777" w:rsidR="002661BA" w:rsidRDefault="002661B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22CFC9D9" w14:textId="77777777" w:rsidR="002661BA" w:rsidRDefault="00D972BC">
            <w:pPr>
              <w:jc w:val="center"/>
              <w:textAlignment w:val="bottom"/>
            </w:pPr>
            <w:r>
              <w:rPr>
                <w:rFonts w:ascii="Arial" w:eastAsia="宋体" w:hAnsi="Arial" w:cs="Arial"/>
                <w:color w:val="000000"/>
                <w:sz w:val="18"/>
                <w:szCs w:val="18"/>
              </w:rPr>
              <w:t>0.0% - 55.0% (50.0%)</w:t>
            </w:r>
          </w:p>
        </w:tc>
      </w:tr>
      <w:tr w:rsidR="002661BA" w14:paraId="22CFC9E4" w14:textId="77777777">
        <w:tc>
          <w:tcPr>
            <w:tcW w:w="0" w:type="auto"/>
            <w:gridSpan w:val="3"/>
            <w:shd w:val="clear" w:color="auto" w:fill="FFFFFF"/>
            <w:tcMar>
              <w:top w:w="0" w:type="dxa"/>
              <w:left w:w="20" w:type="dxa"/>
              <w:bottom w:w="0" w:type="dxa"/>
              <w:right w:w="20" w:type="dxa"/>
            </w:tcMar>
            <w:vAlign w:val="bottom"/>
          </w:tcPr>
          <w:p w14:paraId="22CFC9DB"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9D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9DD"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9DE"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9DF"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9E0"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C9E1" w14:textId="77777777" w:rsidR="002661BA" w:rsidRDefault="00D972BC">
            <w:pPr>
              <w:jc w:val="center"/>
              <w:textAlignment w:val="bottom"/>
            </w:pPr>
            <w:r>
              <w:rPr>
                <w:rFonts w:ascii="Arial" w:eastAsia="宋体" w:hAnsi="Arial" w:cs="Arial"/>
                <w:color w:val="000000"/>
                <w:sz w:val="18"/>
                <w:szCs w:val="18"/>
              </w:rPr>
              <w:t>Equity volatility</w:t>
            </w:r>
          </w:p>
        </w:tc>
        <w:tc>
          <w:tcPr>
            <w:tcW w:w="0" w:type="auto"/>
            <w:gridSpan w:val="3"/>
            <w:shd w:val="clear" w:color="auto" w:fill="FFFFFF"/>
            <w:tcMar>
              <w:top w:w="0" w:type="dxa"/>
              <w:left w:w="20" w:type="dxa"/>
              <w:bottom w:w="0" w:type="dxa"/>
              <w:right w:w="20" w:type="dxa"/>
            </w:tcMar>
            <w:vAlign w:val="bottom"/>
          </w:tcPr>
          <w:p w14:paraId="22CFC9E2"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C9E3" w14:textId="77777777" w:rsidR="002661BA" w:rsidRDefault="00D972BC">
            <w:pPr>
              <w:jc w:val="center"/>
              <w:textAlignment w:val="bottom"/>
            </w:pPr>
            <w:r>
              <w:rPr>
                <w:rFonts w:ascii="Arial" w:eastAsia="宋体" w:hAnsi="Arial" w:cs="Arial"/>
                <w:color w:val="000000"/>
                <w:sz w:val="18"/>
                <w:szCs w:val="18"/>
              </w:rPr>
              <w:t>(39%)</w:t>
            </w:r>
          </w:p>
        </w:tc>
      </w:tr>
    </w:tbl>
    <w:p w14:paraId="22CFC9E5" w14:textId="77777777" w:rsidR="002661BA" w:rsidRDefault="00D972BC">
      <w:pPr>
        <w:spacing w:after="180"/>
        <w:ind w:hanging="360"/>
      </w:pPr>
      <w:r>
        <w:rPr>
          <w:rFonts w:ascii="Arial" w:eastAsia="宋体" w:hAnsi="Arial" w:cs="Arial"/>
          <w:color w:val="000000"/>
          <w:sz w:val="16"/>
          <w:szCs w:val="16"/>
        </w:rPr>
        <w:t xml:space="preserve">(1)Probability of vesting were weighted by the unadjusted value of the tranches. For volatility, the average represents the arithmetic average of the points within the range and is not weighted by the </w:t>
      </w:r>
      <w:r>
        <w:rPr>
          <w:rFonts w:ascii="Arial" w:eastAsia="宋体" w:hAnsi="Arial" w:cs="Arial"/>
          <w:color w:val="000000"/>
          <w:sz w:val="16"/>
          <w:szCs w:val="16"/>
        </w:rPr>
        <w:t>relative fair value or notional amount.</w:t>
      </w:r>
    </w:p>
    <w:p w14:paraId="22CFC9E6" w14:textId="77777777" w:rsidR="002661BA" w:rsidRDefault="00D972BC">
      <w:pPr>
        <w:ind w:firstLine="540"/>
      </w:pPr>
      <w:r>
        <w:rPr>
          <w:rFonts w:ascii="Arial" w:eastAsia="宋体" w:hAnsi="Arial" w:cs="Arial"/>
          <w:i/>
          <w:iCs/>
          <w:color w:val="000000"/>
          <w:sz w:val="20"/>
          <w:szCs w:val="20"/>
        </w:rPr>
        <w:t>Fair value measurement of equity investments</w:t>
      </w:r>
    </w:p>
    <w:p w14:paraId="22CFC9E7" w14:textId="77777777" w:rsidR="002661BA" w:rsidRDefault="002661BA">
      <w:pPr>
        <w:ind w:firstLine="720"/>
      </w:pPr>
    </w:p>
    <w:p w14:paraId="22CFC9E8" w14:textId="77777777" w:rsidR="002661BA" w:rsidRDefault="00D972BC">
      <w:pPr>
        <w:ind w:firstLine="540"/>
        <w:jc w:val="both"/>
      </w:pPr>
      <w:r>
        <w:rPr>
          <w:rFonts w:ascii="Arial" w:eastAsia="宋体" w:hAnsi="Arial" w:cs="Arial"/>
          <w:color w:val="000000"/>
          <w:sz w:val="20"/>
          <w:szCs w:val="20"/>
        </w:rPr>
        <w:t xml:space="preserve">Certain of our equity investments are measured at fair value on a recurring basis, including our equity investment in Adevinta, equity investments with readily determinable fair values and equity investment under the fair value option. </w:t>
      </w:r>
    </w:p>
    <w:p w14:paraId="22CFC9E9" w14:textId="77777777" w:rsidR="002661BA" w:rsidRDefault="002661BA">
      <w:pPr>
        <w:ind w:firstLine="540"/>
        <w:jc w:val="both"/>
      </w:pPr>
    </w:p>
    <w:p w14:paraId="22CFC9EA" w14:textId="77777777" w:rsidR="002661BA" w:rsidRDefault="00D972BC">
      <w:pPr>
        <w:ind w:firstLine="540"/>
        <w:jc w:val="both"/>
      </w:pPr>
      <w:r>
        <w:rPr>
          <w:rFonts w:ascii="Arial" w:eastAsia="宋体" w:hAnsi="Arial" w:cs="Arial"/>
          <w:color w:val="000000"/>
          <w:sz w:val="20"/>
          <w:szCs w:val="20"/>
        </w:rPr>
        <w:t>Our equity investm</w:t>
      </w:r>
      <w:r>
        <w:rPr>
          <w:rFonts w:ascii="Arial" w:eastAsia="宋体" w:hAnsi="Arial" w:cs="Arial"/>
          <w:color w:val="000000"/>
          <w:sz w:val="20"/>
          <w:szCs w:val="20"/>
        </w:rPr>
        <w:t>ent in Adevinta is accounted for under the fair value option and classified within Level 1 in the fair value hierarchy as the fair value is measured based on Adevinta’s closing stock price and prevailing foreign exchange rate at each balance sheet date. Ou</w:t>
      </w:r>
      <w:r>
        <w:rPr>
          <w:rFonts w:ascii="Arial" w:eastAsia="宋体" w:hAnsi="Arial" w:cs="Arial"/>
          <w:color w:val="000000"/>
          <w:sz w:val="20"/>
          <w:szCs w:val="20"/>
        </w:rPr>
        <w:t xml:space="preserve">r equity investments with readily determinable fair values are also classified within Level 1 in the fair value hierarchy as the valuation can be obtained from real time quotes in active markets. </w:t>
      </w:r>
    </w:p>
    <w:p w14:paraId="22CFC9EB" w14:textId="77777777" w:rsidR="002661BA" w:rsidRDefault="002661BA">
      <w:pPr>
        <w:jc w:val="both"/>
      </w:pPr>
    </w:p>
    <w:p w14:paraId="22CFC9EC" w14:textId="77777777" w:rsidR="002661BA" w:rsidRDefault="00D972BC">
      <w:pPr>
        <w:jc w:val="center"/>
      </w:pPr>
      <w:r>
        <w:rPr>
          <w:rFonts w:ascii="Arial" w:eastAsia="宋体" w:hAnsi="Arial" w:cs="Arial"/>
          <w:color w:val="000000"/>
          <w:sz w:val="18"/>
          <w:szCs w:val="18"/>
        </w:rPr>
        <w:t>92</w:t>
      </w:r>
    </w:p>
    <w:p w14:paraId="22CFC9ED" w14:textId="77777777" w:rsidR="002661BA" w:rsidRDefault="00D972BC">
      <w:r>
        <w:pict w14:anchorId="22CFE50D">
          <v:rect id="_x0000_i1116" style="width:415.3pt;height:1.5pt" o:hralign="center" o:hrstd="t" o:hr="t" fillcolor="#a0a0a0" stroked="f"/>
        </w:pict>
      </w:r>
    </w:p>
    <w:p w14:paraId="22CFC9EE" w14:textId="77777777" w:rsidR="002661BA" w:rsidRDefault="00D972BC">
      <w:hyperlink r:id="rId127" w:anchor="id0d7a71b05ce452ea9fdb54f3cb359c7_7" w:history="1">
        <w:r>
          <w:rPr>
            <w:rStyle w:val="a5"/>
            <w:rFonts w:ascii="Arial" w:eastAsia="宋体" w:hAnsi="Arial" w:cs="Arial"/>
            <w:sz w:val="18"/>
            <w:szCs w:val="18"/>
          </w:rPr>
          <w:t>Table of Contents</w:t>
        </w:r>
      </w:hyperlink>
    </w:p>
    <w:p w14:paraId="22CFC9EF" w14:textId="77777777" w:rsidR="002661BA" w:rsidRDefault="00D972BC">
      <w:pPr>
        <w:jc w:val="center"/>
      </w:pPr>
      <w:r>
        <w:rPr>
          <w:rFonts w:ascii="Arial" w:eastAsia="宋体" w:hAnsi="Arial" w:cs="Arial"/>
          <w:b/>
          <w:bCs/>
          <w:color w:val="000000"/>
          <w:sz w:val="20"/>
          <w:szCs w:val="20"/>
        </w:rPr>
        <w:t>eBay Inc.</w:t>
      </w:r>
    </w:p>
    <w:p w14:paraId="22CFC9F0"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9F1" w14:textId="77777777" w:rsidR="002661BA" w:rsidRDefault="00D972BC">
      <w:pPr>
        <w:ind w:firstLine="540"/>
        <w:jc w:val="both"/>
      </w:pPr>
      <w:r>
        <w:rPr>
          <w:rFonts w:ascii="Arial" w:eastAsia="宋体" w:hAnsi="Arial" w:cs="Arial"/>
          <w:color w:val="000000"/>
          <w:sz w:val="20"/>
          <w:szCs w:val="20"/>
        </w:rPr>
        <w:t>Our equity investmen</w:t>
      </w:r>
      <w:r>
        <w:rPr>
          <w:rFonts w:ascii="Arial" w:eastAsia="宋体" w:hAnsi="Arial" w:cs="Arial"/>
          <w:color w:val="000000"/>
          <w:sz w:val="20"/>
          <w:szCs w:val="20"/>
        </w:rPr>
        <w:t>t in Gmarket was initially recognized on November 14, 2021 in connection with the sale of 80.01% of the outstanding equity interests of eBay Korea to Emart. This equity investment is accounted for under the fair value option and its initial valuation of $7</w:t>
      </w:r>
      <w:r>
        <w:rPr>
          <w:rFonts w:ascii="Arial" w:eastAsia="宋体" w:hAnsi="Arial" w:cs="Arial"/>
          <w:color w:val="000000"/>
          <w:sz w:val="20"/>
          <w:szCs w:val="20"/>
        </w:rPr>
        <w:t>28 million was based on the sale price of eBay Korea. There were no indicators of a potential material change in fair value of the investment between the date of recognition and December 31, 2021. The fair value of the investment was $725 million as of Dec</w:t>
      </w:r>
      <w:r>
        <w:rPr>
          <w:rFonts w:ascii="Arial" w:eastAsia="宋体" w:hAnsi="Arial" w:cs="Arial"/>
          <w:color w:val="000000"/>
          <w:sz w:val="20"/>
          <w:szCs w:val="20"/>
        </w:rPr>
        <w:t>ember 31, 2021 due to foreign currency adjustments. This investment is classified within Level 3 in the fair value hierarchy as valuation of the investment going forward will reflect management’s estimate of assumptions that market participants would use i</w:t>
      </w:r>
      <w:r>
        <w:rPr>
          <w:rFonts w:ascii="Arial" w:eastAsia="宋体" w:hAnsi="Arial" w:cs="Arial"/>
          <w:color w:val="000000"/>
          <w:sz w:val="20"/>
          <w:szCs w:val="20"/>
        </w:rPr>
        <w:t>n pricing the asset.</w:t>
      </w:r>
    </w:p>
    <w:p w14:paraId="22CFC9F2" w14:textId="77777777" w:rsidR="002661BA" w:rsidRDefault="002661BA">
      <w:pPr>
        <w:ind w:firstLine="540"/>
        <w:jc w:val="both"/>
      </w:pPr>
    </w:p>
    <w:p w14:paraId="22CFC9F3" w14:textId="77777777" w:rsidR="002661BA" w:rsidRDefault="00D972BC">
      <w:pPr>
        <w:ind w:firstLine="540"/>
        <w:jc w:val="both"/>
      </w:pPr>
      <w:r>
        <w:rPr>
          <w:rFonts w:ascii="Arial" w:eastAsia="宋体" w:hAnsi="Arial" w:cs="Arial"/>
          <w:color w:val="000000"/>
          <w:sz w:val="20"/>
          <w:szCs w:val="20"/>
        </w:rPr>
        <w:t>Refer to “Note 6 — Investments” for further details about our equity investments.</w:t>
      </w:r>
    </w:p>
    <w:p w14:paraId="22CFC9F4" w14:textId="77777777" w:rsidR="002661BA" w:rsidRDefault="00D972BC">
      <w:pPr>
        <w:jc w:val="center"/>
      </w:pPr>
      <w:r>
        <w:rPr>
          <w:rFonts w:ascii="Arial" w:eastAsia="宋体" w:hAnsi="Arial" w:cs="Arial"/>
          <w:color w:val="000000"/>
          <w:sz w:val="18"/>
          <w:szCs w:val="18"/>
        </w:rPr>
        <w:t>93</w:t>
      </w:r>
    </w:p>
    <w:p w14:paraId="22CFC9F5" w14:textId="77777777" w:rsidR="002661BA" w:rsidRDefault="00D972BC">
      <w:r>
        <w:pict w14:anchorId="22CFE50E">
          <v:rect id="_x0000_i1117" style="width:415.3pt;height:1.5pt" o:hralign="center" o:hrstd="t" o:hr="t" fillcolor="#a0a0a0" stroked="f"/>
        </w:pict>
      </w:r>
    </w:p>
    <w:p w14:paraId="22CFC9F6" w14:textId="77777777" w:rsidR="002661BA" w:rsidRDefault="00D972BC">
      <w:hyperlink r:id="rId128" w:anchor="id0d7a71b05ce452ea9fdb54f3cb359c7_7" w:history="1">
        <w:r>
          <w:rPr>
            <w:rStyle w:val="a5"/>
            <w:rFonts w:ascii="Arial" w:eastAsia="宋体" w:hAnsi="Arial" w:cs="Arial"/>
            <w:sz w:val="18"/>
            <w:szCs w:val="18"/>
          </w:rPr>
          <w:t>Table of Contents</w:t>
        </w:r>
      </w:hyperlink>
    </w:p>
    <w:p w14:paraId="22CFC9F7" w14:textId="77777777" w:rsidR="002661BA" w:rsidRDefault="00D972BC">
      <w:pPr>
        <w:jc w:val="center"/>
      </w:pPr>
      <w:r>
        <w:rPr>
          <w:rFonts w:ascii="Arial" w:eastAsia="宋体" w:hAnsi="Arial" w:cs="Arial"/>
          <w:b/>
          <w:bCs/>
          <w:color w:val="000000"/>
          <w:sz w:val="20"/>
          <w:szCs w:val="20"/>
        </w:rPr>
        <w:t>eBay Inc.</w:t>
      </w:r>
    </w:p>
    <w:p w14:paraId="22CFC9F8"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9F9" w14:textId="77777777" w:rsidR="002661BA" w:rsidRDefault="00D972BC">
      <w:pPr>
        <w:jc w:val="both"/>
      </w:pPr>
      <w:r>
        <w:rPr>
          <w:rFonts w:ascii="Arial" w:eastAsia="宋体" w:hAnsi="Arial" w:cs="Arial"/>
          <w:b/>
          <w:bCs/>
          <w:color w:val="000000"/>
          <w:sz w:val="20"/>
          <w:szCs w:val="20"/>
        </w:rPr>
        <w:t>Note 9 — Balance Sheet Components</w:t>
      </w:r>
    </w:p>
    <w:p w14:paraId="22CFC9FA" w14:textId="77777777" w:rsidR="002661BA" w:rsidRDefault="002661BA">
      <w:pPr>
        <w:jc w:val="both"/>
      </w:pPr>
    </w:p>
    <w:p w14:paraId="22CFC9FB" w14:textId="77777777" w:rsidR="002661BA" w:rsidRDefault="00D972BC">
      <w:pPr>
        <w:ind w:firstLine="270"/>
        <w:jc w:val="both"/>
      </w:pPr>
      <w:r>
        <w:rPr>
          <w:rFonts w:ascii="Arial" w:eastAsia="宋体" w:hAnsi="Arial" w:cs="Arial"/>
          <w:b/>
          <w:bCs/>
          <w:i/>
          <w:iCs/>
          <w:color w:val="000000"/>
          <w:sz w:val="20"/>
          <w:szCs w:val="20"/>
        </w:rPr>
        <w:t>Contract Balances</w:t>
      </w:r>
    </w:p>
    <w:p w14:paraId="22CFC9FC" w14:textId="77777777" w:rsidR="002661BA" w:rsidRDefault="002661BA">
      <w:pPr>
        <w:ind w:firstLine="720"/>
        <w:jc w:val="both"/>
      </w:pPr>
    </w:p>
    <w:p w14:paraId="22CFC9FD" w14:textId="77777777" w:rsidR="002661BA" w:rsidRDefault="00D972BC">
      <w:pPr>
        <w:ind w:firstLine="540"/>
        <w:jc w:val="both"/>
      </w:pPr>
      <w:r>
        <w:rPr>
          <w:rFonts w:ascii="Arial" w:eastAsia="宋体" w:hAnsi="Arial" w:cs="Arial"/>
          <w:color w:val="000000"/>
          <w:sz w:val="20"/>
          <w:szCs w:val="20"/>
        </w:rPr>
        <w:t xml:space="preserve">Timing of revenue recognition may differ from the timing of invoicing to customers. Accounts receivable </w:t>
      </w:r>
      <w:r>
        <w:rPr>
          <w:rFonts w:ascii="Arial" w:eastAsia="宋体" w:hAnsi="Arial" w:cs="Arial"/>
          <w:color w:val="000000"/>
          <w:sz w:val="20"/>
          <w:szCs w:val="20"/>
        </w:rPr>
        <w:t>represents amounts invoiced and revenue recognized prior to invoicing when we have satisfied our performance obligation and have the unconditional right to payment. The allowance for doubtful accounts and authorized credits is estimated based upon our asse</w:t>
      </w:r>
      <w:r>
        <w:rPr>
          <w:rFonts w:ascii="Arial" w:eastAsia="宋体" w:hAnsi="Arial" w:cs="Arial"/>
          <w:color w:val="000000"/>
          <w:sz w:val="20"/>
          <w:szCs w:val="20"/>
        </w:rPr>
        <w:t>ssment of various factors including historical experience, the age of the accounts receivable balances, current economic conditions</w:t>
      </w:r>
      <w:r>
        <w:rPr>
          <w:rFonts w:ascii="Arial" w:eastAsia="宋体" w:hAnsi="Arial" w:cs="Arial"/>
          <w:color w:val="222222"/>
          <w:sz w:val="20"/>
          <w:szCs w:val="20"/>
        </w:rPr>
        <w:t xml:space="preserve"> reasonable and supportable forecasts</w:t>
      </w:r>
      <w:r>
        <w:rPr>
          <w:rFonts w:ascii="Arial" w:eastAsia="宋体" w:hAnsi="Arial" w:cs="Arial"/>
          <w:color w:val="000000"/>
          <w:sz w:val="20"/>
          <w:szCs w:val="20"/>
        </w:rPr>
        <w:t xml:space="preserve"> and other factors that may affect our customers’ ability to pay. The allowance for doub</w:t>
      </w:r>
      <w:r>
        <w:rPr>
          <w:rFonts w:ascii="Arial" w:eastAsia="宋体" w:hAnsi="Arial" w:cs="Arial"/>
          <w:color w:val="000000"/>
          <w:sz w:val="20"/>
          <w:szCs w:val="20"/>
        </w:rPr>
        <w:t>tful accounts and authorized credits was $74 million and $136 million as of December 31, 2021 and December 31, 2020, respectively. As of December 31, 2021, we reported allowances for doubtful accounts of $42 million reflecting a decrease of $55 million, ne</w:t>
      </w:r>
      <w:r>
        <w:rPr>
          <w:rFonts w:ascii="Arial" w:eastAsia="宋体" w:hAnsi="Arial" w:cs="Arial"/>
          <w:color w:val="000000"/>
          <w:sz w:val="20"/>
          <w:szCs w:val="20"/>
        </w:rPr>
        <w:t>t of write-offs of $134 million for the year ended December 31, 2021.</w:t>
      </w:r>
    </w:p>
    <w:p w14:paraId="22CFC9FE" w14:textId="77777777" w:rsidR="002661BA" w:rsidRDefault="002661BA">
      <w:pPr>
        <w:ind w:firstLine="540"/>
        <w:jc w:val="both"/>
      </w:pPr>
    </w:p>
    <w:p w14:paraId="22CFC9FF" w14:textId="77777777" w:rsidR="002661BA" w:rsidRDefault="00D972BC">
      <w:pPr>
        <w:ind w:firstLine="540"/>
        <w:jc w:val="both"/>
      </w:pPr>
      <w:r>
        <w:rPr>
          <w:rFonts w:ascii="Arial" w:eastAsia="宋体" w:hAnsi="Arial" w:cs="Arial"/>
          <w:color w:val="000000"/>
          <w:sz w:val="20"/>
          <w:szCs w:val="20"/>
        </w:rPr>
        <w:t>Deferred revenue consists of fees received related to unsatisfied performance obligations at the end of the period. Due to the generally short-term duration of contracts, the majority o</w:t>
      </w:r>
      <w:r>
        <w:rPr>
          <w:rFonts w:ascii="Arial" w:eastAsia="宋体" w:hAnsi="Arial" w:cs="Arial"/>
          <w:color w:val="000000"/>
          <w:sz w:val="20"/>
          <w:szCs w:val="20"/>
        </w:rPr>
        <w:t>f the performance obligations are satisfied in the following reporting period. The amount of revenue recognized during the year ended December 31, 2021 that was included in the deferred revenue balance at the beginning of the period was $47 million. The am</w:t>
      </w:r>
      <w:r>
        <w:rPr>
          <w:rFonts w:ascii="Arial" w:eastAsia="宋体" w:hAnsi="Arial" w:cs="Arial"/>
          <w:color w:val="000000"/>
          <w:sz w:val="20"/>
          <w:szCs w:val="20"/>
        </w:rPr>
        <w:t>ount of revenue recognized during the year ended December 31, 2020 that was included in the deferred revenue balance at the beginning of the period was $64 million.</w:t>
      </w:r>
    </w:p>
    <w:p w14:paraId="22CFCA00" w14:textId="77777777" w:rsidR="002661BA" w:rsidRDefault="002661BA"/>
    <w:p w14:paraId="22CFCA01" w14:textId="77777777" w:rsidR="002661BA" w:rsidRDefault="00D972BC">
      <w:pPr>
        <w:ind w:firstLine="270"/>
        <w:jc w:val="both"/>
      </w:pPr>
      <w:r>
        <w:rPr>
          <w:rFonts w:ascii="Arial" w:eastAsia="宋体" w:hAnsi="Arial" w:cs="Arial"/>
          <w:b/>
          <w:bCs/>
          <w:i/>
          <w:iCs/>
          <w:color w:val="000000"/>
          <w:sz w:val="20"/>
          <w:szCs w:val="20"/>
        </w:rPr>
        <w:t>Cash, cash equivalents and restricted cash</w:t>
      </w:r>
    </w:p>
    <w:tbl>
      <w:tblPr>
        <w:tblW w:w="5000" w:type="pct"/>
        <w:tblCellMar>
          <w:top w:w="15" w:type="dxa"/>
          <w:left w:w="15" w:type="dxa"/>
          <w:bottom w:w="15" w:type="dxa"/>
          <w:right w:w="15" w:type="dxa"/>
        </w:tblCellMar>
        <w:tblLook w:val="04A0" w:firstRow="1" w:lastRow="0" w:firstColumn="1" w:lastColumn="0" w:noHBand="0" w:noVBand="1"/>
      </w:tblPr>
      <w:tblGrid>
        <w:gridCol w:w="38"/>
        <w:gridCol w:w="6011"/>
        <w:gridCol w:w="37"/>
        <w:gridCol w:w="121"/>
        <w:gridCol w:w="913"/>
        <w:gridCol w:w="36"/>
        <w:gridCol w:w="36"/>
        <w:gridCol w:w="36"/>
        <w:gridCol w:w="36"/>
        <w:gridCol w:w="121"/>
        <w:gridCol w:w="915"/>
        <w:gridCol w:w="36"/>
      </w:tblGrid>
      <w:tr w:rsidR="002661BA" w14:paraId="22CFCA0E" w14:textId="77777777">
        <w:tc>
          <w:tcPr>
            <w:tcW w:w="50" w:type="pct"/>
            <w:shd w:val="clear" w:color="auto" w:fill="auto"/>
            <w:vAlign w:val="bottom"/>
          </w:tcPr>
          <w:p w14:paraId="22CFCA02" w14:textId="77777777" w:rsidR="002661BA" w:rsidRDefault="002661BA">
            <w:pPr>
              <w:rPr>
                <w:rFonts w:ascii="宋体"/>
              </w:rPr>
            </w:pPr>
          </w:p>
        </w:tc>
        <w:tc>
          <w:tcPr>
            <w:tcW w:w="3643" w:type="pct"/>
            <w:shd w:val="clear" w:color="auto" w:fill="auto"/>
            <w:vAlign w:val="bottom"/>
          </w:tcPr>
          <w:p w14:paraId="22CFCA03" w14:textId="77777777" w:rsidR="002661BA" w:rsidRDefault="002661BA">
            <w:pPr>
              <w:rPr>
                <w:rFonts w:ascii="宋体"/>
              </w:rPr>
            </w:pPr>
          </w:p>
        </w:tc>
        <w:tc>
          <w:tcPr>
            <w:tcW w:w="5" w:type="pct"/>
            <w:shd w:val="clear" w:color="auto" w:fill="auto"/>
            <w:vAlign w:val="bottom"/>
          </w:tcPr>
          <w:p w14:paraId="22CFCA04" w14:textId="77777777" w:rsidR="002661BA" w:rsidRDefault="002661BA">
            <w:pPr>
              <w:rPr>
                <w:rFonts w:ascii="宋体"/>
              </w:rPr>
            </w:pPr>
          </w:p>
        </w:tc>
        <w:tc>
          <w:tcPr>
            <w:tcW w:w="50" w:type="pct"/>
            <w:shd w:val="clear" w:color="auto" w:fill="auto"/>
            <w:vAlign w:val="bottom"/>
          </w:tcPr>
          <w:p w14:paraId="22CFCA05" w14:textId="77777777" w:rsidR="002661BA" w:rsidRDefault="002661BA">
            <w:pPr>
              <w:rPr>
                <w:rFonts w:ascii="宋体"/>
              </w:rPr>
            </w:pPr>
          </w:p>
        </w:tc>
        <w:tc>
          <w:tcPr>
            <w:tcW w:w="580" w:type="pct"/>
            <w:shd w:val="clear" w:color="auto" w:fill="auto"/>
            <w:vAlign w:val="bottom"/>
          </w:tcPr>
          <w:p w14:paraId="22CFCA06" w14:textId="77777777" w:rsidR="002661BA" w:rsidRDefault="002661BA">
            <w:pPr>
              <w:rPr>
                <w:rFonts w:ascii="宋体"/>
              </w:rPr>
            </w:pPr>
          </w:p>
        </w:tc>
        <w:tc>
          <w:tcPr>
            <w:tcW w:w="5" w:type="pct"/>
            <w:shd w:val="clear" w:color="auto" w:fill="auto"/>
            <w:vAlign w:val="bottom"/>
          </w:tcPr>
          <w:p w14:paraId="22CFCA07" w14:textId="77777777" w:rsidR="002661BA" w:rsidRDefault="002661BA">
            <w:pPr>
              <w:rPr>
                <w:rFonts w:ascii="宋体"/>
              </w:rPr>
            </w:pPr>
          </w:p>
        </w:tc>
        <w:tc>
          <w:tcPr>
            <w:tcW w:w="5" w:type="pct"/>
            <w:shd w:val="clear" w:color="auto" w:fill="auto"/>
            <w:vAlign w:val="bottom"/>
          </w:tcPr>
          <w:p w14:paraId="22CFCA08" w14:textId="77777777" w:rsidR="002661BA" w:rsidRDefault="002661BA">
            <w:pPr>
              <w:rPr>
                <w:rFonts w:ascii="宋体"/>
              </w:rPr>
            </w:pPr>
          </w:p>
        </w:tc>
        <w:tc>
          <w:tcPr>
            <w:tcW w:w="19" w:type="pct"/>
            <w:shd w:val="clear" w:color="auto" w:fill="auto"/>
            <w:vAlign w:val="bottom"/>
          </w:tcPr>
          <w:p w14:paraId="22CFCA09" w14:textId="77777777" w:rsidR="002661BA" w:rsidRDefault="002661BA">
            <w:pPr>
              <w:rPr>
                <w:rFonts w:ascii="宋体"/>
              </w:rPr>
            </w:pPr>
          </w:p>
        </w:tc>
        <w:tc>
          <w:tcPr>
            <w:tcW w:w="5" w:type="pct"/>
            <w:shd w:val="clear" w:color="auto" w:fill="auto"/>
            <w:vAlign w:val="bottom"/>
          </w:tcPr>
          <w:p w14:paraId="22CFCA0A" w14:textId="77777777" w:rsidR="002661BA" w:rsidRDefault="002661BA">
            <w:pPr>
              <w:rPr>
                <w:rFonts w:ascii="宋体"/>
              </w:rPr>
            </w:pPr>
          </w:p>
        </w:tc>
        <w:tc>
          <w:tcPr>
            <w:tcW w:w="50" w:type="pct"/>
            <w:shd w:val="clear" w:color="auto" w:fill="auto"/>
            <w:vAlign w:val="bottom"/>
          </w:tcPr>
          <w:p w14:paraId="22CFCA0B" w14:textId="77777777" w:rsidR="002661BA" w:rsidRDefault="002661BA">
            <w:pPr>
              <w:rPr>
                <w:rFonts w:ascii="宋体"/>
              </w:rPr>
            </w:pPr>
          </w:p>
        </w:tc>
        <w:tc>
          <w:tcPr>
            <w:tcW w:w="581" w:type="pct"/>
            <w:shd w:val="clear" w:color="auto" w:fill="auto"/>
            <w:vAlign w:val="bottom"/>
          </w:tcPr>
          <w:p w14:paraId="22CFCA0C" w14:textId="77777777" w:rsidR="002661BA" w:rsidRDefault="002661BA">
            <w:pPr>
              <w:rPr>
                <w:rFonts w:ascii="宋体"/>
              </w:rPr>
            </w:pPr>
          </w:p>
        </w:tc>
        <w:tc>
          <w:tcPr>
            <w:tcW w:w="5" w:type="pct"/>
            <w:shd w:val="clear" w:color="auto" w:fill="auto"/>
            <w:vAlign w:val="bottom"/>
          </w:tcPr>
          <w:p w14:paraId="22CFCA0D" w14:textId="77777777" w:rsidR="002661BA" w:rsidRDefault="002661BA">
            <w:pPr>
              <w:rPr>
                <w:rFonts w:ascii="宋体"/>
              </w:rPr>
            </w:pPr>
          </w:p>
        </w:tc>
      </w:tr>
      <w:tr w:rsidR="002661BA" w14:paraId="22CFCA11" w14:textId="77777777">
        <w:trPr>
          <w:trHeight w:val="240"/>
        </w:trPr>
        <w:tc>
          <w:tcPr>
            <w:tcW w:w="0" w:type="auto"/>
            <w:gridSpan w:val="3"/>
            <w:vMerge w:val="restart"/>
            <w:shd w:val="clear" w:color="auto" w:fill="auto"/>
            <w:tcMar>
              <w:top w:w="40" w:type="dxa"/>
              <w:left w:w="20" w:type="dxa"/>
              <w:bottom w:w="40" w:type="dxa"/>
              <w:right w:w="20" w:type="dxa"/>
            </w:tcMar>
            <w:vAlign w:val="bottom"/>
          </w:tcPr>
          <w:p w14:paraId="22CFCA0F" w14:textId="77777777" w:rsidR="002661BA" w:rsidRDefault="00D972BC">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22CFCA10" w14:textId="77777777" w:rsidR="002661BA" w:rsidRDefault="00D972BC">
            <w:pPr>
              <w:jc w:val="center"/>
              <w:textAlignment w:val="bottom"/>
            </w:pPr>
            <w:r>
              <w:rPr>
                <w:rFonts w:ascii="Arial" w:eastAsia="宋体" w:hAnsi="Arial" w:cs="Arial"/>
                <w:b/>
                <w:bCs/>
                <w:color w:val="000000"/>
                <w:sz w:val="17"/>
                <w:szCs w:val="17"/>
              </w:rPr>
              <w:t>December 31,</w:t>
            </w:r>
          </w:p>
        </w:tc>
      </w:tr>
      <w:tr w:rsidR="002661BA" w14:paraId="22CFCA16" w14:textId="77777777">
        <w:trPr>
          <w:trHeight w:val="240"/>
        </w:trPr>
        <w:tc>
          <w:tcPr>
            <w:tcW w:w="0" w:type="auto"/>
            <w:gridSpan w:val="3"/>
            <w:vMerge/>
            <w:shd w:val="clear" w:color="auto" w:fill="auto"/>
            <w:tcMar>
              <w:top w:w="40" w:type="dxa"/>
              <w:left w:w="20" w:type="dxa"/>
              <w:bottom w:w="40" w:type="dxa"/>
              <w:right w:w="20" w:type="dxa"/>
            </w:tcMar>
            <w:vAlign w:val="bottom"/>
          </w:tcPr>
          <w:p w14:paraId="22CFCA12"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A13"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A14"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CA15" w14:textId="77777777" w:rsidR="002661BA" w:rsidRDefault="00D972BC">
            <w:pPr>
              <w:jc w:val="center"/>
              <w:textAlignment w:val="bottom"/>
            </w:pPr>
            <w:r>
              <w:rPr>
                <w:rFonts w:ascii="Arial" w:eastAsia="宋体" w:hAnsi="Arial" w:cs="Arial"/>
                <w:b/>
                <w:bCs/>
                <w:color w:val="000000"/>
                <w:sz w:val="17"/>
                <w:szCs w:val="17"/>
              </w:rPr>
              <w:t>2020</w:t>
            </w:r>
          </w:p>
        </w:tc>
      </w:tr>
      <w:tr w:rsidR="002661BA" w14:paraId="22CFCA19" w14:textId="77777777">
        <w:trPr>
          <w:trHeight w:val="240"/>
        </w:trPr>
        <w:tc>
          <w:tcPr>
            <w:tcW w:w="0" w:type="auto"/>
            <w:gridSpan w:val="3"/>
            <w:vMerge/>
            <w:shd w:val="clear" w:color="auto" w:fill="auto"/>
            <w:tcMar>
              <w:top w:w="40" w:type="dxa"/>
              <w:left w:w="20" w:type="dxa"/>
              <w:bottom w:w="40" w:type="dxa"/>
              <w:right w:w="20" w:type="dxa"/>
            </w:tcMar>
            <w:vAlign w:val="bottom"/>
          </w:tcPr>
          <w:p w14:paraId="22CFCA17" w14:textId="77777777" w:rsidR="002661BA" w:rsidRDefault="002661B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2CFCA18" w14:textId="77777777" w:rsidR="002661BA" w:rsidRDefault="00D972BC">
            <w:pPr>
              <w:jc w:val="center"/>
              <w:textAlignment w:val="bottom"/>
            </w:pPr>
            <w:r>
              <w:rPr>
                <w:rFonts w:ascii="Arial" w:eastAsia="宋体" w:hAnsi="Arial" w:cs="Arial"/>
                <w:b/>
                <w:bCs/>
                <w:color w:val="000000"/>
                <w:sz w:val="17"/>
                <w:szCs w:val="17"/>
              </w:rPr>
              <w:t>(In millions)</w:t>
            </w:r>
          </w:p>
        </w:tc>
      </w:tr>
      <w:tr w:rsidR="002661BA" w14:paraId="22CFCA22" w14:textId="77777777">
        <w:tc>
          <w:tcPr>
            <w:tcW w:w="0" w:type="auto"/>
            <w:gridSpan w:val="3"/>
            <w:shd w:val="clear" w:color="auto" w:fill="E2E2E2"/>
            <w:tcMar>
              <w:top w:w="40" w:type="dxa"/>
              <w:left w:w="20" w:type="dxa"/>
              <w:bottom w:w="40" w:type="dxa"/>
              <w:right w:w="20" w:type="dxa"/>
            </w:tcMar>
            <w:vAlign w:val="bottom"/>
          </w:tcPr>
          <w:p w14:paraId="22CFCA1A" w14:textId="77777777" w:rsidR="002661BA" w:rsidRDefault="00D972BC">
            <w:pPr>
              <w:textAlignment w:val="bottom"/>
            </w:pPr>
            <w:r>
              <w:rPr>
                <w:rFonts w:ascii="Arial" w:eastAsia="宋体" w:hAnsi="Arial" w:cs="Arial"/>
                <w:color w:val="000000"/>
                <w:sz w:val="18"/>
                <w:szCs w:val="18"/>
              </w:rPr>
              <w:t>Cash and cash equivalents</w:t>
            </w:r>
          </w:p>
        </w:tc>
        <w:tc>
          <w:tcPr>
            <w:tcW w:w="0" w:type="auto"/>
            <w:shd w:val="clear" w:color="auto" w:fill="E2E2E2"/>
            <w:tcMar>
              <w:top w:w="40" w:type="dxa"/>
              <w:left w:w="20" w:type="dxa"/>
              <w:bottom w:w="40" w:type="dxa"/>
              <w:right w:w="0" w:type="dxa"/>
            </w:tcMar>
            <w:vAlign w:val="bottom"/>
          </w:tcPr>
          <w:p w14:paraId="22CFCA1B"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CA1C" w14:textId="77777777" w:rsidR="002661BA" w:rsidRDefault="00D972BC">
            <w:pPr>
              <w:jc w:val="right"/>
              <w:textAlignment w:val="bottom"/>
            </w:pPr>
            <w:r>
              <w:rPr>
                <w:rFonts w:ascii="Arial" w:eastAsia="宋体" w:hAnsi="Arial" w:cs="Arial"/>
                <w:color w:val="000000"/>
                <w:sz w:val="18"/>
                <w:szCs w:val="18"/>
              </w:rPr>
              <w:t>1,379 </w:t>
            </w:r>
          </w:p>
        </w:tc>
        <w:tc>
          <w:tcPr>
            <w:tcW w:w="0" w:type="auto"/>
            <w:shd w:val="clear" w:color="auto" w:fill="E2E2E2"/>
            <w:tcMar>
              <w:top w:w="40" w:type="dxa"/>
              <w:left w:w="0" w:type="dxa"/>
              <w:bottom w:w="40" w:type="dxa"/>
              <w:right w:w="20" w:type="dxa"/>
            </w:tcMar>
            <w:vAlign w:val="bottom"/>
          </w:tcPr>
          <w:p w14:paraId="22CFCA1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A1E"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CA1F"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CA20" w14:textId="77777777" w:rsidR="002661BA" w:rsidRDefault="00D972BC">
            <w:pPr>
              <w:jc w:val="right"/>
              <w:textAlignment w:val="bottom"/>
            </w:pPr>
            <w:r>
              <w:rPr>
                <w:rFonts w:ascii="Arial" w:eastAsia="宋体" w:hAnsi="Arial" w:cs="Arial"/>
                <w:color w:val="000000"/>
                <w:sz w:val="18"/>
                <w:szCs w:val="18"/>
              </w:rPr>
              <w:t>1,101 </w:t>
            </w:r>
          </w:p>
        </w:tc>
        <w:tc>
          <w:tcPr>
            <w:tcW w:w="0" w:type="auto"/>
            <w:shd w:val="clear" w:color="auto" w:fill="E2E2E2"/>
            <w:tcMar>
              <w:top w:w="40" w:type="dxa"/>
              <w:left w:w="0" w:type="dxa"/>
              <w:bottom w:w="40" w:type="dxa"/>
              <w:right w:w="20" w:type="dxa"/>
            </w:tcMar>
            <w:vAlign w:val="bottom"/>
          </w:tcPr>
          <w:p w14:paraId="22CFCA21" w14:textId="77777777" w:rsidR="002661BA" w:rsidRDefault="002661BA">
            <w:pPr>
              <w:jc w:val="right"/>
              <w:rPr>
                <w:rFonts w:ascii="宋体"/>
              </w:rPr>
            </w:pPr>
          </w:p>
        </w:tc>
      </w:tr>
      <w:tr w:rsidR="002661BA" w14:paraId="22CFCA29" w14:textId="77777777">
        <w:tc>
          <w:tcPr>
            <w:tcW w:w="0" w:type="auto"/>
            <w:gridSpan w:val="3"/>
            <w:shd w:val="clear" w:color="auto" w:fill="FFFFFF"/>
            <w:tcMar>
              <w:top w:w="40" w:type="dxa"/>
              <w:left w:w="20" w:type="dxa"/>
              <w:bottom w:w="40" w:type="dxa"/>
              <w:right w:w="20" w:type="dxa"/>
            </w:tcMar>
            <w:vAlign w:val="bottom"/>
          </w:tcPr>
          <w:p w14:paraId="22CFCA23" w14:textId="77777777" w:rsidR="002661BA" w:rsidRDefault="00D972BC">
            <w:pPr>
              <w:textAlignment w:val="bottom"/>
            </w:pPr>
            <w:r>
              <w:rPr>
                <w:rFonts w:ascii="Arial" w:eastAsia="宋体" w:hAnsi="Arial" w:cs="Arial"/>
                <w:color w:val="000000"/>
                <w:sz w:val="18"/>
                <w:szCs w:val="18"/>
              </w:rPr>
              <w:t>Customer accounts</w:t>
            </w:r>
          </w:p>
        </w:tc>
        <w:tc>
          <w:tcPr>
            <w:tcW w:w="0" w:type="auto"/>
            <w:gridSpan w:val="2"/>
            <w:shd w:val="clear" w:color="auto" w:fill="FFFFFF"/>
            <w:tcMar>
              <w:top w:w="40" w:type="dxa"/>
              <w:left w:w="20" w:type="dxa"/>
              <w:bottom w:w="40" w:type="dxa"/>
              <w:right w:w="0" w:type="dxa"/>
            </w:tcMar>
            <w:vAlign w:val="bottom"/>
          </w:tcPr>
          <w:p w14:paraId="22CFCA24" w14:textId="77777777" w:rsidR="002661BA" w:rsidRDefault="00D972BC">
            <w:pPr>
              <w:jc w:val="right"/>
              <w:textAlignment w:val="bottom"/>
            </w:pPr>
            <w:r>
              <w:rPr>
                <w:rFonts w:ascii="Arial" w:eastAsia="宋体"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22CFCA2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A26"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A27"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CA28" w14:textId="77777777" w:rsidR="002661BA" w:rsidRDefault="002661BA">
            <w:pPr>
              <w:jc w:val="right"/>
              <w:rPr>
                <w:rFonts w:ascii="宋体"/>
              </w:rPr>
            </w:pPr>
          </w:p>
        </w:tc>
      </w:tr>
      <w:tr w:rsidR="002661BA" w14:paraId="22CFCA30" w14:textId="77777777">
        <w:tc>
          <w:tcPr>
            <w:tcW w:w="0" w:type="auto"/>
            <w:gridSpan w:val="3"/>
            <w:shd w:val="clear" w:color="auto" w:fill="E2E2E2"/>
            <w:tcMar>
              <w:top w:w="40" w:type="dxa"/>
              <w:left w:w="20" w:type="dxa"/>
              <w:bottom w:w="40" w:type="dxa"/>
              <w:right w:w="20" w:type="dxa"/>
            </w:tcMar>
            <w:vAlign w:val="bottom"/>
          </w:tcPr>
          <w:p w14:paraId="22CFCA2A" w14:textId="77777777" w:rsidR="002661BA" w:rsidRDefault="00D972BC">
            <w:pPr>
              <w:textAlignment w:val="bottom"/>
            </w:pPr>
            <w:r>
              <w:rPr>
                <w:rFonts w:ascii="Arial" w:eastAsia="宋体" w:hAnsi="Arial" w:cs="Arial"/>
                <w:color w:val="000000"/>
                <w:sz w:val="18"/>
                <w:szCs w:val="18"/>
              </w:rPr>
              <w:t>Restricted cash included in short-term investments</w:t>
            </w:r>
          </w:p>
        </w:tc>
        <w:tc>
          <w:tcPr>
            <w:tcW w:w="0" w:type="auto"/>
            <w:gridSpan w:val="2"/>
            <w:shd w:val="clear" w:color="auto" w:fill="E2E2E2"/>
            <w:tcMar>
              <w:top w:w="40" w:type="dxa"/>
              <w:left w:w="20" w:type="dxa"/>
              <w:bottom w:w="40" w:type="dxa"/>
              <w:right w:w="0" w:type="dxa"/>
            </w:tcMar>
            <w:vAlign w:val="bottom"/>
          </w:tcPr>
          <w:p w14:paraId="22CFCA2B" w14:textId="77777777" w:rsidR="002661BA" w:rsidRDefault="00D972BC">
            <w:pPr>
              <w:jc w:val="right"/>
              <w:textAlignment w:val="bottom"/>
            </w:pPr>
            <w:r>
              <w:rPr>
                <w:rFonts w:ascii="Arial" w:eastAsia="宋体" w:hAnsi="Arial" w:cs="Arial"/>
                <w:color w:val="000000"/>
                <w:sz w:val="18"/>
                <w:szCs w:val="18"/>
              </w:rPr>
              <w:t>22 </w:t>
            </w:r>
          </w:p>
        </w:tc>
        <w:tc>
          <w:tcPr>
            <w:tcW w:w="0" w:type="auto"/>
            <w:shd w:val="clear" w:color="auto" w:fill="E2E2E2"/>
            <w:tcMar>
              <w:top w:w="40" w:type="dxa"/>
              <w:left w:w="0" w:type="dxa"/>
              <w:bottom w:w="40" w:type="dxa"/>
              <w:right w:w="20" w:type="dxa"/>
            </w:tcMar>
            <w:vAlign w:val="bottom"/>
          </w:tcPr>
          <w:p w14:paraId="22CFCA2C"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A2D"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A2E" w14:textId="77777777" w:rsidR="002661BA" w:rsidRDefault="00D972BC">
            <w:pPr>
              <w:jc w:val="right"/>
              <w:textAlignment w:val="bottom"/>
            </w:pPr>
            <w:r>
              <w:rPr>
                <w:rFonts w:ascii="Arial" w:eastAsia="宋体" w:hAnsi="Arial" w:cs="Arial"/>
                <w:color w:val="000000"/>
                <w:sz w:val="18"/>
                <w:szCs w:val="18"/>
              </w:rPr>
              <w:t>137 </w:t>
            </w:r>
          </w:p>
        </w:tc>
        <w:tc>
          <w:tcPr>
            <w:tcW w:w="0" w:type="auto"/>
            <w:shd w:val="clear" w:color="auto" w:fill="E2E2E2"/>
            <w:tcMar>
              <w:top w:w="40" w:type="dxa"/>
              <w:left w:w="0" w:type="dxa"/>
              <w:bottom w:w="40" w:type="dxa"/>
              <w:right w:w="20" w:type="dxa"/>
            </w:tcMar>
            <w:vAlign w:val="bottom"/>
          </w:tcPr>
          <w:p w14:paraId="22CFCA2F" w14:textId="77777777" w:rsidR="002661BA" w:rsidRDefault="002661BA">
            <w:pPr>
              <w:jc w:val="right"/>
              <w:rPr>
                <w:rFonts w:ascii="宋体"/>
              </w:rPr>
            </w:pPr>
          </w:p>
        </w:tc>
      </w:tr>
      <w:tr w:rsidR="002661BA" w14:paraId="22CFCA39" w14:textId="77777777">
        <w:tc>
          <w:tcPr>
            <w:tcW w:w="0" w:type="auto"/>
            <w:gridSpan w:val="3"/>
            <w:shd w:val="clear" w:color="auto" w:fill="FFFFFF"/>
            <w:tcMar>
              <w:top w:w="40" w:type="dxa"/>
              <w:left w:w="245" w:type="dxa"/>
              <w:bottom w:w="40" w:type="dxa"/>
              <w:right w:w="20" w:type="dxa"/>
            </w:tcMar>
            <w:vAlign w:val="bottom"/>
          </w:tcPr>
          <w:p w14:paraId="22CFCA31" w14:textId="77777777" w:rsidR="002661BA" w:rsidRDefault="00D972BC">
            <w:pPr>
              <w:textAlignment w:val="bottom"/>
            </w:pPr>
            <w:r>
              <w:rPr>
                <w:rFonts w:ascii="Arial" w:eastAsia="宋体" w:hAnsi="Arial" w:cs="Arial"/>
                <w:color w:val="000000"/>
                <w:sz w:val="18"/>
                <w:szCs w:val="18"/>
              </w:rPr>
              <w:t>Cash, cash equivalents and restricted cash</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A32"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A33" w14:textId="77777777" w:rsidR="002661BA" w:rsidRDefault="00D972BC">
            <w:pPr>
              <w:jc w:val="right"/>
              <w:textAlignment w:val="bottom"/>
            </w:pPr>
            <w:r>
              <w:rPr>
                <w:rFonts w:ascii="Arial" w:eastAsia="宋体" w:hAnsi="Arial" w:cs="Arial"/>
                <w:color w:val="000000"/>
                <w:sz w:val="18"/>
                <w:szCs w:val="18"/>
              </w:rPr>
              <w:t>1,406 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A3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A35"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A36"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A37" w14:textId="77777777" w:rsidR="002661BA" w:rsidRDefault="00D972BC">
            <w:pPr>
              <w:jc w:val="right"/>
              <w:textAlignment w:val="bottom"/>
            </w:pPr>
            <w:r>
              <w:rPr>
                <w:rFonts w:ascii="Arial" w:eastAsia="宋体" w:hAnsi="Arial" w:cs="Arial"/>
                <w:color w:val="000000"/>
                <w:sz w:val="18"/>
                <w:szCs w:val="18"/>
              </w:rPr>
              <w:t>1,238 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A38" w14:textId="77777777" w:rsidR="002661BA" w:rsidRDefault="002661BA">
            <w:pPr>
              <w:jc w:val="right"/>
              <w:rPr>
                <w:rFonts w:ascii="宋体"/>
              </w:rPr>
            </w:pPr>
          </w:p>
        </w:tc>
      </w:tr>
    </w:tbl>
    <w:p w14:paraId="22CFCA3A" w14:textId="77777777" w:rsidR="002661BA" w:rsidRDefault="002661BA">
      <w:pPr>
        <w:ind w:firstLine="540"/>
        <w:jc w:val="both"/>
      </w:pPr>
    </w:p>
    <w:p w14:paraId="22CFCA3B" w14:textId="77777777" w:rsidR="002661BA" w:rsidRDefault="00D972BC">
      <w:pPr>
        <w:ind w:firstLine="270"/>
        <w:jc w:val="both"/>
      </w:pPr>
      <w:r>
        <w:rPr>
          <w:rFonts w:ascii="Arial" w:eastAsia="宋体" w:hAnsi="Arial" w:cs="Arial"/>
          <w:b/>
          <w:bCs/>
          <w:i/>
          <w:iCs/>
          <w:color w:val="000000"/>
          <w:sz w:val="20"/>
          <w:szCs w:val="20"/>
        </w:rPr>
        <w:t xml:space="preserve">Customer accounts and funds </w:t>
      </w:r>
      <w:r>
        <w:rPr>
          <w:rFonts w:ascii="Arial" w:eastAsia="宋体" w:hAnsi="Arial" w:cs="Arial"/>
          <w:b/>
          <w:bCs/>
          <w:i/>
          <w:iCs/>
          <w:color w:val="000000"/>
          <w:sz w:val="20"/>
          <w:szCs w:val="20"/>
        </w:rPr>
        <w:t>receivable</w:t>
      </w:r>
    </w:p>
    <w:tbl>
      <w:tblPr>
        <w:tblW w:w="5000" w:type="pct"/>
        <w:tblCellMar>
          <w:top w:w="15" w:type="dxa"/>
          <w:left w:w="15" w:type="dxa"/>
          <w:bottom w:w="15" w:type="dxa"/>
          <w:right w:w="15" w:type="dxa"/>
        </w:tblCellMar>
        <w:tblLook w:val="04A0" w:firstRow="1" w:lastRow="0" w:firstColumn="1" w:lastColumn="0" w:noHBand="0" w:noVBand="1"/>
      </w:tblPr>
      <w:tblGrid>
        <w:gridCol w:w="37"/>
        <w:gridCol w:w="6013"/>
        <w:gridCol w:w="36"/>
        <w:gridCol w:w="121"/>
        <w:gridCol w:w="913"/>
        <w:gridCol w:w="36"/>
        <w:gridCol w:w="36"/>
        <w:gridCol w:w="36"/>
        <w:gridCol w:w="36"/>
        <w:gridCol w:w="121"/>
        <w:gridCol w:w="915"/>
        <w:gridCol w:w="36"/>
      </w:tblGrid>
      <w:tr w:rsidR="002661BA" w14:paraId="22CFCA48" w14:textId="77777777">
        <w:tc>
          <w:tcPr>
            <w:tcW w:w="50" w:type="pct"/>
            <w:shd w:val="clear" w:color="auto" w:fill="auto"/>
            <w:vAlign w:val="bottom"/>
          </w:tcPr>
          <w:p w14:paraId="22CFCA3C" w14:textId="77777777" w:rsidR="002661BA" w:rsidRDefault="002661BA">
            <w:pPr>
              <w:rPr>
                <w:rFonts w:ascii="宋体"/>
              </w:rPr>
            </w:pPr>
          </w:p>
        </w:tc>
        <w:tc>
          <w:tcPr>
            <w:tcW w:w="3643" w:type="pct"/>
            <w:shd w:val="clear" w:color="auto" w:fill="auto"/>
            <w:vAlign w:val="bottom"/>
          </w:tcPr>
          <w:p w14:paraId="22CFCA3D" w14:textId="77777777" w:rsidR="002661BA" w:rsidRDefault="002661BA">
            <w:pPr>
              <w:rPr>
                <w:rFonts w:ascii="宋体"/>
              </w:rPr>
            </w:pPr>
          </w:p>
        </w:tc>
        <w:tc>
          <w:tcPr>
            <w:tcW w:w="5" w:type="pct"/>
            <w:shd w:val="clear" w:color="auto" w:fill="auto"/>
            <w:vAlign w:val="bottom"/>
          </w:tcPr>
          <w:p w14:paraId="22CFCA3E" w14:textId="77777777" w:rsidR="002661BA" w:rsidRDefault="002661BA">
            <w:pPr>
              <w:rPr>
                <w:rFonts w:ascii="宋体"/>
              </w:rPr>
            </w:pPr>
          </w:p>
        </w:tc>
        <w:tc>
          <w:tcPr>
            <w:tcW w:w="50" w:type="pct"/>
            <w:shd w:val="clear" w:color="auto" w:fill="auto"/>
            <w:vAlign w:val="bottom"/>
          </w:tcPr>
          <w:p w14:paraId="22CFCA3F" w14:textId="77777777" w:rsidR="002661BA" w:rsidRDefault="002661BA">
            <w:pPr>
              <w:rPr>
                <w:rFonts w:ascii="宋体"/>
              </w:rPr>
            </w:pPr>
          </w:p>
        </w:tc>
        <w:tc>
          <w:tcPr>
            <w:tcW w:w="580" w:type="pct"/>
            <w:shd w:val="clear" w:color="auto" w:fill="auto"/>
            <w:vAlign w:val="bottom"/>
          </w:tcPr>
          <w:p w14:paraId="22CFCA40" w14:textId="77777777" w:rsidR="002661BA" w:rsidRDefault="002661BA">
            <w:pPr>
              <w:rPr>
                <w:rFonts w:ascii="宋体"/>
              </w:rPr>
            </w:pPr>
          </w:p>
        </w:tc>
        <w:tc>
          <w:tcPr>
            <w:tcW w:w="5" w:type="pct"/>
            <w:shd w:val="clear" w:color="auto" w:fill="auto"/>
            <w:vAlign w:val="bottom"/>
          </w:tcPr>
          <w:p w14:paraId="22CFCA41" w14:textId="77777777" w:rsidR="002661BA" w:rsidRDefault="002661BA">
            <w:pPr>
              <w:rPr>
                <w:rFonts w:ascii="宋体"/>
              </w:rPr>
            </w:pPr>
          </w:p>
        </w:tc>
        <w:tc>
          <w:tcPr>
            <w:tcW w:w="5" w:type="pct"/>
            <w:shd w:val="clear" w:color="auto" w:fill="auto"/>
            <w:vAlign w:val="bottom"/>
          </w:tcPr>
          <w:p w14:paraId="22CFCA42" w14:textId="77777777" w:rsidR="002661BA" w:rsidRDefault="002661BA">
            <w:pPr>
              <w:rPr>
                <w:rFonts w:ascii="宋体"/>
              </w:rPr>
            </w:pPr>
          </w:p>
        </w:tc>
        <w:tc>
          <w:tcPr>
            <w:tcW w:w="19" w:type="pct"/>
            <w:shd w:val="clear" w:color="auto" w:fill="auto"/>
            <w:vAlign w:val="bottom"/>
          </w:tcPr>
          <w:p w14:paraId="22CFCA43" w14:textId="77777777" w:rsidR="002661BA" w:rsidRDefault="002661BA">
            <w:pPr>
              <w:rPr>
                <w:rFonts w:ascii="宋体"/>
              </w:rPr>
            </w:pPr>
          </w:p>
        </w:tc>
        <w:tc>
          <w:tcPr>
            <w:tcW w:w="5" w:type="pct"/>
            <w:shd w:val="clear" w:color="auto" w:fill="auto"/>
            <w:vAlign w:val="bottom"/>
          </w:tcPr>
          <w:p w14:paraId="22CFCA44" w14:textId="77777777" w:rsidR="002661BA" w:rsidRDefault="002661BA">
            <w:pPr>
              <w:rPr>
                <w:rFonts w:ascii="宋体"/>
              </w:rPr>
            </w:pPr>
          </w:p>
        </w:tc>
        <w:tc>
          <w:tcPr>
            <w:tcW w:w="50" w:type="pct"/>
            <w:shd w:val="clear" w:color="auto" w:fill="auto"/>
            <w:vAlign w:val="bottom"/>
          </w:tcPr>
          <w:p w14:paraId="22CFCA45" w14:textId="77777777" w:rsidR="002661BA" w:rsidRDefault="002661BA">
            <w:pPr>
              <w:rPr>
                <w:rFonts w:ascii="宋体"/>
              </w:rPr>
            </w:pPr>
          </w:p>
        </w:tc>
        <w:tc>
          <w:tcPr>
            <w:tcW w:w="581" w:type="pct"/>
            <w:shd w:val="clear" w:color="auto" w:fill="auto"/>
            <w:vAlign w:val="bottom"/>
          </w:tcPr>
          <w:p w14:paraId="22CFCA46" w14:textId="77777777" w:rsidR="002661BA" w:rsidRDefault="002661BA">
            <w:pPr>
              <w:rPr>
                <w:rFonts w:ascii="宋体"/>
              </w:rPr>
            </w:pPr>
          </w:p>
        </w:tc>
        <w:tc>
          <w:tcPr>
            <w:tcW w:w="5" w:type="pct"/>
            <w:shd w:val="clear" w:color="auto" w:fill="auto"/>
            <w:vAlign w:val="bottom"/>
          </w:tcPr>
          <w:p w14:paraId="22CFCA47" w14:textId="77777777" w:rsidR="002661BA" w:rsidRDefault="002661BA">
            <w:pPr>
              <w:rPr>
                <w:rFonts w:ascii="宋体"/>
              </w:rPr>
            </w:pPr>
          </w:p>
        </w:tc>
      </w:tr>
      <w:tr w:rsidR="002661BA" w14:paraId="22CFCA4B" w14:textId="77777777">
        <w:tc>
          <w:tcPr>
            <w:tcW w:w="0" w:type="auto"/>
            <w:gridSpan w:val="3"/>
            <w:shd w:val="clear" w:color="auto" w:fill="auto"/>
            <w:tcMar>
              <w:top w:w="0" w:type="dxa"/>
              <w:left w:w="20" w:type="dxa"/>
              <w:bottom w:w="0" w:type="dxa"/>
              <w:right w:w="20" w:type="dxa"/>
            </w:tcMar>
            <w:vAlign w:val="bottom"/>
          </w:tcPr>
          <w:p w14:paraId="22CFCA49"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CA4A" w14:textId="77777777" w:rsidR="002661BA" w:rsidRDefault="00D972BC">
            <w:pPr>
              <w:jc w:val="center"/>
              <w:textAlignment w:val="bottom"/>
            </w:pPr>
            <w:r>
              <w:rPr>
                <w:rFonts w:ascii="Arial" w:eastAsia="宋体" w:hAnsi="Arial" w:cs="Arial"/>
                <w:b/>
                <w:bCs/>
                <w:color w:val="000000"/>
                <w:sz w:val="17"/>
                <w:szCs w:val="17"/>
              </w:rPr>
              <w:t>December 31,</w:t>
            </w:r>
          </w:p>
        </w:tc>
      </w:tr>
      <w:tr w:rsidR="002661BA" w14:paraId="22CFCA50" w14:textId="77777777">
        <w:tc>
          <w:tcPr>
            <w:tcW w:w="0" w:type="auto"/>
            <w:gridSpan w:val="3"/>
            <w:shd w:val="clear" w:color="auto" w:fill="auto"/>
            <w:tcMar>
              <w:top w:w="0" w:type="dxa"/>
              <w:left w:w="20" w:type="dxa"/>
              <w:bottom w:w="0" w:type="dxa"/>
              <w:right w:w="20" w:type="dxa"/>
            </w:tcMar>
            <w:vAlign w:val="bottom"/>
          </w:tcPr>
          <w:p w14:paraId="22CFCA4C"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A4D"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A4E" w14:textId="77777777" w:rsidR="002661BA" w:rsidRDefault="002661B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CA4F" w14:textId="77777777" w:rsidR="002661BA" w:rsidRDefault="00D972BC">
            <w:pPr>
              <w:jc w:val="center"/>
              <w:textAlignment w:val="bottom"/>
            </w:pPr>
            <w:r>
              <w:rPr>
                <w:rFonts w:ascii="Arial" w:eastAsia="宋体" w:hAnsi="Arial" w:cs="Arial"/>
                <w:b/>
                <w:bCs/>
                <w:color w:val="000000"/>
                <w:sz w:val="17"/>
                <w:szCs w:val="17"/>
              </w:rPr>
              <w:t>2020</w:t>
            </w:r>
          </w:p>
        </w:tc>
      </w:tr>
      <w:tr w:rsidR="002661BA" w14:paraId="22CFCA53" w14:textId="77777777">
        <w:tc>
          <w:tcPr>
            <w:tcW w:w="0" w:type="auto"/>
            <w:gridSpan w:val="3"/>
            <w:shd w:val="clear" w:color="auto" w:fill="auto"/>
            <w:tcMar>
              <w:top w:w="0" w:type="dxa"/>
              <w:left w:w="20" w:type="dxa"/>
              <w:bottom w:w="0" w:type="dxa"/>
              <w:right w:w="20" w:type="dxa"/>
            </w:tcMar>
            <w:vAlign w:val="bottom"/>
          </w:tcPr>
          <w:p w14:paraId="22CFCA51" w14:textId="77777777" w:rsidR="002661BA" w:rsidRDefault="002661B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2CFCA52" w14:textId="77777777" w:rsidR="002661BA" w:rsidRDefault="00D972BC">
            <w:pPr>
              <w:jc w:val="center"/>
              <w:textAlignment w:val="bottom"/>
            </w:pPr>
            <w:r>
              <w:rPr>
                <w:rFonts w:ascii="Arial" w:eastAsia="宋体" w:hAnsi="Arial" w:cs="Arial"/>
                <w:b/>
                <w:bCs/>
                <w:color w:val="000000"/>
                <w:sz w:val="17"/>
                <w:szCs w:val="17"/>
              </w:rPr>
              <w:t>(In millions)</w:t>
            </w:r>
          </w:p>
        </w:tc>
      </w:tr>
      <w:tr w:rsidR="002661BA" w14:paraId="22CFCA5C" w14:textId="77777777">
        <w:tc>
          <w:tcPr>
            <w:tcW w:w="0" w:type="auto"/>
            <w:gridSpan w:val="3"/>
            <w:shd w:val="clear" w:color="auto" w:fill="DBDBDB"/>
            <w:tcMar>
              <w:top w:w="40" w:type="dxa"/>
              <w:left w:w="20" w:type="dxa"/>
              <w:bottom w:w="40" w:type="dxa"/>
              <w:right w:w="20" w:type="dxa"/>
            </w:tcMar>
            <w:vAlign w:val="bottom"/>
          </w:tcPr>
          <w:p w14:paraId="22CFCA54" w14:textId="77777777" w:rsidR="002661BA" w:rsidRDefault="00D972BC">
            <w:pPr>
              <w:textAlignment w:val="bottom"/>
            </w:pPr>
            <w:r>
              <w:rPr>
                <w:rFonts w:ascii="Arial" w:eastAsia="宋体" w:hAnsi="Arial" w:cs="Arial"/>
                <w:color w:val="000000"/>
                <w:sz w:val="18"/>
                <w:szCs w:val="18"/>
              </w:rPr>
              <w:t>Cash and cash equivalents</w:t>
            </w:r>
          </w:p>
        </w:tc>
        <w:tc>
          <w:tcPr>
            <w:tcW w:w="0" w:type="auto"/>
            <w:shd w:val="clear" w:color="auto" w:fill="DBDBDB"/>
            <w:tcMar>
              <w:top w:w="40" w:type="dxa"/>
              <w:left w:w="20" w:type="dxa"/>
              <w:bottom w:w="40" w:type="dxa"/>
              <w:right w:w="0" w:type="dxa"/>
            </w:tcMar>
            <w:vAlign w:val="bottom"/>
          </w:tcPr>
          <w:p w14:paraId="22CFCA55"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A56" w14:textId="77777777" w:rsidR="002661BA" w:rsidRDefault="00D972BC">
            <w:pPr>
              <w:jc w:val="right"/>
              <w:textAlignment w:val="bottom"/>
            </w:pPr>
            <w:r>
              <w:rPr>
                <w:rFonts w:ascii="Arial" w:eastAsia="宋体" w:hAnsi="Arial" w:cs="Arial"/>
                <w:color w:val="000000"/>
                <w:sz w:val="18"/>
                <w:szCs w:val="18"/>
              </w:rPr>
              <w:t>5 </w:t>
            </w:r>
          </w:p>
        </w:tc>
        <w:tc>
          <w:tcPr>
            <w:tcW w:w="0" w:type="auto"/>
            <w:shd w:val="clear" w:color="auto" w:fill="DBDBDB"/>
            <w:tcMar>
              <w:top w:w="40" w:type="dxa"/>
              <w:left w:w="0" w:type="dxa"/>
              <w:bottom w:w="40" w:type="dxa"/>
              <w:right w:w="20" w:type="dxa"/>
            </w:tcMar>
            <w:vAlign w:val="bottom"/>
          </w:tcPr>
          <w:p w14:paraId="22CFCA57"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A58"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CA5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A5A"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CA5B" w14:textId="77777777" w:rsidR="002661BA" w:rsidRDefault="002661BA">
            <w:pPr>
              <w:jc w:val="right"/>
              <w:rPr>
                <w:rFonts w:ascii="宋体"/>
              </w:rPr>
            </w:pPr>
          </w:p>
        </w:tc>
      </w:tr>
      <w:tr w:rsidR="002661BA" w14:paraId="22CFCA63" w14:textId="77777777">
        <w:tc>
          <w:tcPr>
            <w:tcW w:w="0" w:type="auto"/>
            <w:gridSpan w:val="3"/>
            <w:shd w:val="clear" w:color="auto" w:fill="FFFFFF"/>
            <w:tcMar>
              <w:top w:w="40" w:type="dxa"/>
              <w:left w:w="20" w:type="dxa"/>
              <w:bottom w:w="40" w:type="dxa"/>
              <w:right w:w="20" w:type="dxa"/>
            </w:tcMar>
            <w:vAlign w:val="bottom"/>
          </w:tcPr>
          <w:p w14:paraId="22CFCA5D" w14:textId="77777777" w:rsidR="002661BA" w:rsidRDefault="00D972BC">
            <w:pPr>
              <w:textAlignment w:val="bottom"/>
            </w:pPr>
            <w:r>
              <w:rPr>
                <w:rFonts w:ascii="Arial" w:eastAsia="宋体" w:hAnsi="Arial" w:cs="Arial"/>
                <w:color w:val="000000"/>
                <w:sz w:val="18"/>
                <w:szCs w:val="18"/>
              </w:rPr>
              <w:t>Funds receivable</w:t>
            </w:r>
          </w:p>
        </w:tc>
        <w:tc>
          <w:tcPr>
            <w:tcW w:w="0" w:type="auto"/>
            <w:gridSpan w:val="2"/>
            <w:shd w:val="clear" w:color="auto" w:fill="FFFFFF"/>
            <w:tcMar>
              <w:top w:w="40" w:type="dxa"/>
              <w:left w:w="20" w:type="dxa"/>
              <w:bottom w:w="40" w:type="dxa"/>
              <w:right w:w="0" w:type="dxa"/>
            </w:tcMar>
            <w:vAlign w:val="bottom"/>
          </w:tcPr>
          <w:p w14:paraId="22CFCA5E" w14:textId="77777777" w:rsidR="002661BA" w:rsidRDefault="00D972BC">
            <w:pPr>
              <w:jc w:val="right"/>
              <w:textAlignment w:val="bottom"/>
            </w:pPr>
            <w:r>
              <w:rPr>
                <w:rFonts w:ascii="Arial" w:eastAsia="宋体" w:hAnsi="Arial" w:cs="Arial"/>
                <w:color w:val="000000"/>
                <w:sz w:val="18"/>
                <w:szCs w:val="18"/>
              </w:rPr>
              <w:t>676 </w:t>
            </w:r>
          </w:p>
        </w:tc>
        <w:tc>
          <w:tcPr>
            <w:tcW w:w="0" w:type="auto"/>
            <w:shd w:val="clear" w:color="auto" w:fill="FFFFFF"/>
            <w:tcMar>
              <w:top w:w="40" w:type="dxa"/>
              <w:left w:w="0" w:type="dxa"/>
              <w:bottom w:w="40" w:type="dxa"/>
              <w:right w:w="20" w:type="dxa"/>
            </w:tcMar>
            <w:vAlign w:val="bottom"/>
          </w:tcPr>
          <w:p w14:paraId="22CFCA5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A6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A61" w14:textId="77777777" w:rsidR="002661BA" w:rsidRDefault="00D972BC">
            <w:pPr>
              <w:jc w:val="right"/>
              <w:textAlignment w:val="bottom"/>
            </w:pPr>
            <w:r>
              <w:rPr>
                <w:rFonts w:ascii="Arial" w:eastAsia="宋体" w:hAnsi="Arial" w:cs="Arial"/>
                <w:color w:val="000000"/>
                <w:sz w:val="18"/>
                <w:szCs w:val="18"/>
              </w:rPr>
              <w:t>290 </w:t>
            </w:r>
          </w:p>
        </w:tc>
        <w:tc>
          <w:tcPr>
            <w:tcW w:w="0" w:type="auto"/>
            <w:shd w:val="clear" w:color="auto" w:fill="FFFFFF"/>
            <w:tcMar>
              <w:top w:w="40" w:type="dxa"/>
              <w:left w:w="0" w:type="dxa"/>
              <w:bottom w:w="40" w:type="dxa"/>
              <w:right w:w="20" w:type="dxa"/>
            </w:tcMar>
            <w:vAlign w:val="bottom"/>
          </w:tcPr>
          <w:p w14:paraId="22CFCA62" w14:textId="77777777" w:rsidR="002661BA" w:rsidRDefault="002661BA">
            <w:pPr>
              <w:jc w:val="right"/>
              <w:rPr>
                <w:rFonts w:ascii="宋体"/>
              </w:rPr>
            </w:pPr>
          </w:p>
        </w:tc>
      </w:tr>
      <w:tr w:rsidR="002661BA" w14:paraId="22CFCA6C" w14:textId="77777777">
        <w:tc>
          <w:tcPr>
            <w:tcW w:w="0" w:type="auto"/>
            <w:gridSpan w:val="3"/>
            <w:shd w:val="clear" w:color="auto" w:fill="DBDBDB"/>
            <w:tcMar>
              <w:top w:w="40" w:type="dxa"/>
              <w:left w:w="140" w:type="dxa"/>
              <w:bottom w:w="40" w:type="dxa"/>
              <w:right w:w="20" w:type="dxa"/>
            </w:tcMar>
            <w:vAlign w:val="bottom"/>
          </w:tcPr>
          <w:p w14:paraId="22CFCA64" w14:textId="77777777" w:rsidR="002661BA" w:rsidRDefault="00D972BC">
            <w:pPr>
              <w:textAlignment w:val="bottom"/>
            </w:pPr>
            <w:r>
              <w:rPr>
                <w:rFonts w:ascii="Arial" w:eastAsia="宋体" w:hAnsi="Arial" w:cs="Arial"/>
                <w:color w:val="000000"/>
                <w:sz w:val="18"/>
                <w:szCs w:val="18"/>
              </w:rPr>
              <w:t>Customer accounts and funds receivable</w:t>
            </w: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22CFCA6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22CFCA66" w14:textId="77777777" w:rsidR="002661BA" w:rsidRDefault="00D972BC">
            <w:pPr>
              <w:jc w:val="right"/>
              <w:textAlignment w:val="bottom"/>
            </w:pPr>
            <w:r>
              <w:rPr>
                <w:rFonts w:ascii="Arial" w:eastAsia="宋体" w:hAnsi="Arial" w:cs="Arial"/>
                <w:color w:val="000000"/>
                <w:sz w:val="18"/>
                <w:szCs w:val="18"/>
              </w:rPr>
              <w:t>681 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22CFCA67"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A68" w14:textId="77777777" w:rsidR="002661BA" w:rsidRDefault="002661BA">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22CFCA6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22CFCA6A" w14:textId="77777777" w:rsidR="002661BA" w:rsidRDefault="00D972BC">
            <w:pPr>
              <w:jc w:val="right"/>
              <w:textAlignment w:val="bottom"/>
            </w:pPr>
            <w:r>
              <w:rPr>
                <w:rFonts w:ascii="Arial" w:eastAsia="宋体" w:hAnsi="Arial" w:cs="Arial"/>
                <w:color w:val="000000"/>
                <w:sz w:val="18"/>
                <w:szCs w:val="18"/>
              </w:rPr>
              <w:t>290 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22CFCA6B" w14:textId="77777777" w:rsidR="002661BA" w:rsidRDefault="002661BA">
            <w:pPr>
              <w:jc w:val="right"/>
              <w:rPr>
                <w:rFonts w:ascii="宋体"/>
              </w:rPr>
            </w:pPr>
          </w:p>
        </w:tc>
      </w:tr>
    </w:tbl>
    <w:p w14:paraId="22CFCA6D" w14:textId="77777777" w:rsidR="002661BA" w:rsidRDefault="002661BA">
      <w:pPr>
        <w:jc w:val="both"/>
      </w:pPr>
    </w:p>
    <w:p w14:paraId="22CFCA6E" w14:textId="77777777" w:rsidR="002661BA" w:rsidRDefault="00D972BC">
      <w:pPr>
        <w:ind w:firstLine="270"/>
        <w:jc w:val="both"/>
      </w:pPr>
      <w:r>
        <w:rPr>
          <w:rFonts w:ascii="Arial" w:eastAsia="宋体" w:hAnsi="Arial" w:cs="Arial"/>
          <w:b/>
          <w:bCs/>
          <w:i/>
          <w:iCs/>
          <w:color w:val="000000"/>
          <w:sz w:val="20"/>
          <w:szCs w:val="20"/>
        </w:rPr>
        <w:t>Other Current Assets</w:t>
      </w:r>
    </w:p>
    <w:tbl>
      <w:tblPr>
        <w:tblW w:w="5000" w:type="pct"/>
        <w:tblCellMar>
          <w:top w:w="15" w:type="dxa"/>
          <w:left w:w="15" w:type="dxa"/>
          <w:bottom w:w="15" w:type="dxa"/>
          <w:right w:w="15" w:type="dxa"/>
        </w:tblCellMar>
        <w:tblLook w:val="04A0" w:firstRow="1" w:lastRow="0" w:firstColumn="1" w:lastColumn="0" w:noHBand="0" w:noVBand="1"/>
      </w:tblPr>
      <w:tblGrid>
        <w:gridCol w:w="37"/>
        <w:gridCol w:w="6013"/>
        <w:gridCol w:w="36"/>
        <w:gridCol w:w="121"/>
        <w:gridCol w:w="913"/>
        <w:gridCol w:w="36"/>
        <w:gridCol w:w="36"/>
        <w:gridCol w:w="36"/>
        <w:gridCol w:w="36"/>
        <w:gridCol w:w="121"/>
        <w:gridCol w:w="915"/>
        <w:gridCol w:w="36"/>
      </w:tblGrid>
      <w:tr w:rsidR="002661BA" w14:paraId="22CFCA7B" w14:textId="77777777">
        <w:tc>
          <w:tcPr>
            <w:tcW w:w="50" w:type="pct"/>
            <w:shd w:val="clear" w:color="auto" w:fill="auto"/>
            <w:vAlign w:val="bottom"/>
          </w:tcPr>
          <w:p w14:paraId="22CFCA6F" w14:textId="77777777" w:rsidR="002661BA" w:rsidRDefault="002661BA">
            <w:pPr>
              <w:rPr>
                <w:rFonts w:ascii="宋体"/>
              </w:rPr>
            </w:pPr>
          </w:p>
        </w:tc>
        <w:tc>
          <w:tcPr>
            <w:tcW w:w="3643" w:type="pct"/>
            <w:shd w:val="clear" w:color="auto" w:fill="auto"/>
            <w:vAlign w:val="bottom"/>
          </w:tcPr>
          <w:p w14:paraId="22CFCA70" w14:textId="77777777" w:rsidR="002661BA" w:rsidRDefault="002661BA">
            <w:pPr>
              <w:rPr>
                <w:rFonts w:ascii="宋体"/>
              </w:rPr>
            </w:pPr>
          </w:p>
        </w:tc>
        <w:tc>
          <w:tcPr>
            <w:tcW w:w="5" w:type="pct"/>
            <w:shd w:val="clear" w:color="auto" w:fill="auto"/>
            <w:vAlign w:val="bottom"/>
          </w:tcPr>
          <w:p w14:paraId="22CFCA71" w14:textId="77777777" w:rsidR="002661BA" w:rsidRDefault="002661BA">
            <w:pPr>
              <w:rPr>
                <w:rFonts w:ascii="宋体"/>
              </w:rPr>
            </w:pPr>
          </w:p>
        </w:tc>
        <w:tc>
          <w:tcPr>
            <w:tcW w:w="50" w:type="pct"/>
            <w:shd w:val="clear" w:color="auto" w:fill="auto"/>
            <w:vAlign w:val="bottom"/>
          </w:tcPr>
          <w:p w14:paraId="22CFCA72" w14:textId="77777777" w:rsidR="002661BA" w:rsidRDefault="002661BA">
            <w:pPr>
              <w:rPr>
                <w:rFonts w:ascii="宋体"/>
              </w:rPr>
            </w:pPr>
          </w:p>
        </w:tc>
        <w:tc>
          <w:tcPr>
            <w:tcW w:w="580" w:type="pct"/>
            <w:shd w:val="clear" w:color="auto" w:fill="auto"/>
            <w:vAlign w:val="bottom"/>
          </w:tcPr>
          <w:p w14:paraId="22CFCA73" w14:textId="77777777" w:rsidR="002661BA" w:rsidRDefault="002661BA">
            <w:pPr>
              <w:rPr>
                <w:rFonts w:ascii="宋体"/>
              </w:rPr>
            </w:pPr>
          </w:p>
        </w:tc>
        <w:tc>
          <w:tcPr>
            <w:tcW w:w="5" w:type="pct"/>
            <w:shd w:val="clear" w:color="auto" w:fill="auto"/>
            <w:vAlign w:val="bottom"/>
          </w:tcPr>
          <w:p w14:paraId="22CFCA74" w14:textId="77777777" w:rsidR="002661BA" w:rsidRDefault="002661BA">
            <w:pPr>
              <w:rPr>
                <w:rFonts w:ascii="宋体"/>
              </w:rPr>
            </w:pPr>
          </w:p>
        </w:tc>
        <w:tc>
          <w:tcPr>
            <w:tcW w:w="5" w:type="pct"/>
            <w:shd w:val="clear" w:color="auto" w:fill="auto"/>
            <w:vAlign w:val="bottom"/>
          </w:tcPr>
          <w:p w14:paraId="22CFCA75" w14:textId="77777777" w:rsidR="002661BA" w:rsidRDefault="002661BA">
            <w:pPr>
              <w:rPr>
                <w:rFonts w:ascii="宋体"/>
              </w:rPr>
            </w:pPr>
          </w:p>
        </w:tc>
        <w:tc>
          <w:tcPr>
            <w:tcW w:w="19" w:type="pct"/>
            <w:shd w:val="clear" w:color="auto" w:fill="auto"/>
            <w:vAlign w:val="bottom"/>
          </w:tcPr>
          <w:p w14:paraId="22CFCA76" w14:textId="77777777" w:rsidR="002661BA" w:rsidRDefault="002661BA">
            <w:pPr>
              <w:rPr>
                <w:rFonts w:ascii="宋体"/>
              </w:rPr>
            </w:pPr>
          </w:p>
        </w:tc>
        <w:tc>
          <w:tcPr>
            <w:tcW w:w="5" w:type="pct"/>
            <w:shd w:val="clear" w:color="auto" w:fill="auto"/>
            <w:vAlign w:val="bottom"/>
          </w:tcPr>
          <w:p w14:paraId="22CFCA77" w14:textId="77777777" w:rsidR="002661BA" w:rsidRDefault="002661BA">
            <w:pPr>
              <w:rPr>
                <w:rFonts w:ascii="宋体"/>
              </w:rPr>
            </w:pPr>
          </w:p>
        </w:tc>
        <w:tc>
          <w:tcPr>
            <w:tcW w:w="50" w:type="pct"/>
            <w:shd w:val="clear" w:color="auto" w:fill="auto"/>
            <w:vAlign w:val="bottom"/>
          </w:tcPr>
          <w:p w14:paraId="22CFCA78" w14:textId="77777777" w:rsidR="002661BA" w:rsidRDefault="002661BA">
            <w:pPr>
              <w:rPr>
                <w:rFonts w:ascii="宋体"/>
              </w:rPr>
            </w:pPr>
          </w:p>
        </w:tc>
        <w:tc>
          <w:tcPr>
            <w:tcW w:w="581" w:type="pct"/>
            <w:shd w:val="clear" w:color="auto" w:fill="auto"/>
            <w:vAlign w:val="bottom"/>
          </w:tcPr>
          <w:p w14:paraId="22CFCA79" w14:textId="77777777" w:rsidR="002661BA" w:rsidRDefault="002661BA">
            <w:pPr>
              <w:rPr>
                <w:rFonts w:ascii="宋体"/>
              </w:rPr>
            </w:pPr>
          </w:p>
        </w:tc>
        <w:tc>
          <w:tcPr>
            <w:tcW w:w="5" w:type="pct"/>
            <w:shd w:val="clear" w:color="auto" w:fill="auto"/>
            <w:vAlign w:val="bottom"/>
          </w:tcPr>
          <w:p w14:paraId="22CFCA7A" w14:textId="77777777" w:rsidR="002661BA" w:rsidRDefault="002661BA">
            <w:pPr>
              <w:rPr>
                <w:rFonts w:ascii="宋体"/>
              </w:rPr>
            </w:pPr>
          </w:p>
        </w:tc>
      </w:tr>
      <w:tr w:rsidR="002661BA" w14:paraId="22CFCA7E" w14:textId="77777777">
        <w:trPr>
          <w:trHeight w:val="240"/>
        </w:trPr>
        <w:tc>
          <w:tcPr>
            <w:tcW w:w="0" w:type="auto"/>
            <w:gridSpan w:val="3"/>
            <w:vMerge w:val="restart"/>
            <w:shd w:val="clear" w:color="auto" w:fill="auto"/>
            <w:tcMar>
              <w:top w:w="40" w:type="dxa"/>
              <w:left w:w="20" w:type="dxa"/>
              <w:bottom w:w="40" w:type="dxa"/>
              <w:right w:w="20" w:type="dxa"/>
            </w:tcMar>
            <w:vAlign w:val="bottom"/>
          </w:tcPr>
          <w:p w14:paraId="22CFCA7C" w14:textId="77777777" w:rsidR="002661BA" w:rsidRDefault="00D972BC">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22CFCA7D" w14:textId="77777777" w:rsidR="002661BA" w:rsidRDefault="00D972BC">
            <w:pPr>
              <w:jc w:val="center"/>
              <w:textAlignment w:val="bottom"/>
            </w:pPr>
            <w:r>
              <w:rPr>
                <w:rFonts w:ascii="Arial" w:eastAsia="宋体" w:hAnsi="Arial" w:cs="Arial"/>
                <w:b/>
                <w:bCs/>
                <w:color w:val="000000"/>
                <w:sz w:val="17"/>
                <w:szCs w:val="17"/>
              </w:rPr>
              <w:t>December 31,</w:t>
            </w:r>
          </w:p>
        </w:tc>
      </w:tr>
      <w:tr w:rsidR="002661BA" w14:paraId="22CFCA83" w14:textId="77777777">
        <w:trPr>
          <w:trHeight w:val="240"/>
        </w:trPr>
        <w:tc>
          <w:tcPr>
            <w:tcW w:w="0" w:type="auto"/>
            <w:gridSpan w:val="3"/>
            <w:vMerge/>
            <w:shd w:val="clear" w:color="auto" w:fill="auto"/>
            <w:tcMar>
              <w:top w:w="40" w:type="dxa"/>
              <w:left w:w="20" w:type="dxa"/>
              <w:bottom w:w="40" w:type="dxa"/>
              <w:right w:w="20" w:type="dxa"/>
            </w:tcMar>
            <w:vAlign w:val="bottom"/>
          </w:tcPr>
          <w:p w14:paraId="22CFCA7F"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A80"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A81"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CA82" w14:textId="77777777" w:rsidR="002661BA" w:rsidRDefault="00D972BC">
            <w:pPr>
              <w:jc w:val="center"/>
              <w:textAlignment w:val="bottom"/>
            </w:pPr>
            <w:r>
              <w:rPr>
                <w:rFonts w:ascii="Arial" w:eastAsia="宋体" w:hAnsi="Arial" w:cs="Arial"/>
                <w:b/>
                <w:bCs/>
                <w:color w:val="000000"/>
                <w:sz w:val="17"/>
                <w:szCs w:val="17"/>
              </w:rPr>
              <w:t>2020</w:t>
            </w:r>
          </w:p>
        </w:tc>
      </w:tr>
      <w:tr w:rsidR="002661BA" w14:paraId="22CFCA86" w14:textId="77777777">
        <w:trPr>
          <w:trHeight w:val="240"/>
        </w:trPr>
        <w:tc>
          <w:tcPr>
            <w:tcW w:w="0" w:type="auto"/>
            <w:gridSpan w:val="3"/>
            <w:vMerge/>
            <w:shd w:val="clear" w:color="auto" w:fill="auto"/>
            <w:tcMar>
              <w:top w:w="40" w:type="dxa"/>
              <w:left w:w="20" w:type="dxa"/>
              <w:bottom w:w="40" w:type="dxa"/>
              <w:right w:w="20" w:type="dxa"/>
            </w:tcMar>
            <w:vAlign w:val="bottom"/>
          </w:tcPr>
          <w:p w14:paraId="22CFCA84" w14:textId="77777777" w:rsidR="002661BA" w:rsidRDefault="002661B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2CFCA85" w14:textId="77777777" w:rsidR="002661BA" w:rsidRDefault="00D972BC">
            <w:pPr>
              <w:jc w:val="center"/>
              <w:textAlignment w:val="bottom"/>
            </w:pPr>
            <w:r>
              <w:rPr>
                <w:rFonts w:ascii="Arial" w:eastAsia="宋体" w:hAnsi="Arial" w:cs="Arial"/>
                <w:b/>
                <w:bCs/>
                <w:color w:val="000000"/>
                <w:sz w:val="17"/>
                <w:szCs w:val="17"/>
              </w:rPr>
              <w:t>(In millions)</w:t>
            </w:r>
          </w:p>
        </w:tc>
      </w:tr>
      <w:tr w:rsidR="002661BA" w14:paraId="22CFCA8F" w14:textId="77777777">
        <w:tc>
          <w:tcPr>
            <w:tcW w:w="0" w:type="auto"/>
            <w:gridSpan w:val="3"/>
            <w:shd w:val="clear" w:color="auto" w:fill="E2E2E2"/>
            <w:tcMar>
              <w:top w:w="40" w:type="dxa"/>
              <w:left w:w="20" w:type="dxa"/>
              <w:bottom w:w="40" w:type="dxa"/>
              <w:right w:w="20" w:type="dxa"/>
            </w:tcMar>
            <w:vAlign w:val="bottom"/>
          </w:tcPr>
          <w:p w14:paraId="22CFCA87" w14:textId="77777777" w:rsidR="002661BA" w:rsidRDefault="00D972BC">
            <w:pPr>
              <w:textAlignment w:val="bottom"/>
            </w:pPr>
            <w:r>
              <w:rPr>
                <w:rFonts w:ascii="Arial" w:eastAsia="宋体" w:hAnsi="Arial" w:cs="Arial"/>
                <w:color w:val="000000"/>
                <w:sz w:val="18"/>
                <w:szCs w:val="18"/>
              </w:rPr>
              <w:t>Payment processor advances</w:t>
            </w:r>
          </w:p>
        </w:tc>
        <w:tc>
          <w:tcPr>
            <w:tcW w:w="0" w:type="auto"/>
            <w:shd w:val="clear" w:color="auto" w:fill="E2E2E2"/>
            <w:tcMar>
              <w:top w:w="40" w:type="dxa"/>
              <w:left w:w="20" w:type="dxa"/>
              <w:bottom w:w="40" w:type="dxa"/>
              <w:right w:w="0" w:type="dxa"/>
            </w:tcMar>
            <w:vAlign w:val="bottom"/>
          </w:tcPr>
          <w:p w14:paraId="22CFCA88"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CA89" w14:textId="77777777" w:rsidR="002661BA" w:rsidRDefault="00D972BC">
            <w:pPr>
              <w:jc w:val="right"/>
              <w:textAlignment w:val="bottom"/>
            </w:pPr>
            <w:r>
              <w:rPr>
                <w:rFonts w:ascii="Arial" w:eastAsia="宋体" w:hAnsi="Arial" w:cs="Arial"/>
                <w:color w:val="000000"/>
                <w:sz w:val="18"/>
                <w:szCs w:val="18"/>
              </w:rPr>
              <w:t>453 </w:t>
            </w:r>
          </w:p>
        </w:tc>
        <w:tc>
          <w:tcPr>
            <w:tcW w:w="0" w:type="auto"/>
            <w:shd w:val="clear" w:color="auto" w:fill="E2E2E2"/>
            <w:tcMar>
              <w:top w:w="40" w:type="dxa"/>
              <w:left w:w="0" w:type="dxa"/>
              <w:bottom w:w="40" w:type="dxa"/>
              <w:right w:w="20" w:type="dxa"/>
            </w:tcMar>
            <w:vAlign w:val="bottom"/>
          </w:tcPr>
          <w:p w14:paraId="22CFCA8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A8B"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CA8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CA8D" w14:textId="77777777" w:rsidR="002661BA" w:rsidRDefault="00D972BC">
            <w:pPr>
              <w:jc w:val="right"/>
              <w:textAlignment w:val="bottom"/>
            </w:pPr>
            <w:r>
              <w:rPr>
                <w:rFonts w:ascii="Arial" w:eastAsia="宋体" w:hAnsi="Arial" w:cs="Arial"/>
                <w:color w:val="000000"/>
                <w:sz w:val="18"/>
                <w:szCs w:val="18"/>
              </w:rPr>
              <w:t>363 </w:t>
            </w:r>
          </w:p>
        </w:tc>
        <w:tc>
          <w:tcPr>
            <w:tcW w:w="0" w:type="auto"/>
            <w:shd w:val="clear" w:color="auto" w:fill="E2E2E2"/>
            <w:tcMar>
              <w:top w:w="40" w:type="dxa"/>
              <w:left w:w="0" w:type="dxa"/>
              <w:bottom w:w="40" w:type="dxa"/>
              <w:right w:w="20" w:type="dxa"/>
            </w:tcMar>
            <w:vAlign w:val="bottom"/>
          </w:tcPr>
          <w:p w14:paraId="22CFCA8E" w14:textId="77777777" w:rsidR="002661BA" w:rsidRDefault="002661BA">
            <w:pPr>
              <w:jc w:val="right"/>
              <w:rPr>
                <w:rFonts w:ascii="宋体"/>
              </w:rPr>
            </w:pPr>
          </w:p>
        </w:tc>
      </w:tr>
      <w:tr w:rsidR="002661BA" w14:paraId="22CFCA96" w14:textId="77777777">
        <w:tc>
          <w:tcPr>
            <w:tcW w:w="0" w:type="auto"/>
            <w:gridSpan w:val="3"/>
            <w:shd w:val="clear" w:color="auto" w:fill="FFFFFF"/>
            <w:tcMar>
              <w:top w:w="40" w:type="dxa"/>
              <w:left w:w="20" w:type="dxa"/>
              <w:bottom w:w="40" w:type="dxa"/>
              <w:right w:w="20" w:type="dxa"/>
            </w:tcMar>
            <w:vAlign w:val="bottom"/>
          </w:tcPr>
          <w:p w14:paraId="22CFCA90" w14:textId="77777777" w:rsidR="002661BA" w:rsidRDefault="00D972BC">
            <w:pPr>
              <w:textAlignment w:val="bottom"/>
            </w:pPr>
            <w:r>
              <w:rPr>
                <w:rFonts w:ascii="Arial" w:eastAsia="宋体" w:hAnsi="Arial" w:cs="Arial"/>
                <w:color w:val="000000"/>
                <w:sz w:val="18"/>
                <w:szCs w:val="18"/>
              </w:rPr>
              <w:t>Prepaid expenses</w:t>
            </w:r>
          </w:p>
        </w:tc>
        <w:tc>
          <w:tcPr>
            <w:tcW w:w="0" w:type="auto"/>
            <w:gridSpan w:val="2"/>
            <w:shd w:val="clear" w:color="auto" w:fill="FFFFFF"/>
            <w:tcMar>
              <w:top w:w="40" w:type="dxa"/>
              <w:left w:w="20" w:type="dxa"/>
              <w:bottom w:w="40" w:type="dxa"/>
              <w:right w:w="0" w:type="dxa"/>
            </w:tcMar>
            <w:vAlign w:val="bottom"/>
          </w:tcPr>
          <w:p w14:paraId="22CFCA91" w14:textId="77777777" w:rsidR="002661BA" w:rsidRDefault="00D972BC">
            <w:pPr>
              <w:jc w:val="right"/>
              <w:textAlignment w:val="bottom"/>
            </w:pPr>
            <w:r>
              <w:rPr>
                <w:rFonts w:ascii="Arial" w:eastAsia="宋体" w:hAnsi="Arial" w:cs="Arial"/>
                <w:color w:val="000000"/>
                <w:sz w:val="18"/>
                <w:szCs w:val="18"/>
              </w:rPr>
              <w:t>114 </w:t>
            </w:r>
          </w:p>
        </w:tc>
        <w:tc>
          <w:tcPr>
            <w:tcW w:w="0" w:type="auto"/>
            <w:shd w:val="clear" w:color="auto" w:fill="FFFFFF"/>
            <w:tcMar>
              <w:top w:w="40" w:type="dxa"/>
              <w:left w:w="0" w:type="dxa"/>
              <w:bottom w:w="40" w:type="dxa"/>
              <w:right w:w="20" w:type="dxa"/>
            </w:tcMar>
            <w:vAlign w:val="bottom"/>
          </w:tcPr>
          <w:p w14:paraId="22CFCA9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A93"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A94" w14:textId="77777777" w:rsidR="002661BA" w:rsidRDefault="00D972BC">
            <w:pPr>
              <w:jc w:val="right"/>
              <w:textAlignment w:val="bottom"/>
            </w:pPr>
            <w:r>
              <w:rPr>
                <w:rFonts w:ascii="Arial" w:eastAsia="宋体" w:hAnsi="Arial" w:cs="Arial"/>
                <w:color w:val="000000"/>
                <w:sz w:val="18"/>
                <w:szCs w:val="18"/>
              </w:rPr>
              <w:t>109 </w:t>
            </w:r>
          </w:p>
        </w:tc>
        <w:tc>
          <w:tcPr>
            <w:tcW w:w="0" w:type="auto"/>
            <w:shd w:val="clear" w:color="auto" w:fill="FFFFFF"/>
            <w:tcMar>
              <w:top w:w="40" w:type="dxa"/>
              <w:left w:w="0" w:type="dxa"/>
              <w:bottom w:w="40" w:type="dxa"/>
              <w:right w:w="20" w:type="dxa"/>
            </w:tcMar>
            <w:vAlign w:val="bottom"/>
          </w:tcPr>
          <w:p w14:paraId="22CFCA95" w14:textId="77777777" w:rsidR="002661BA" w:rsidRDefault="002661BA">
            <w:pPr>
              <w:jc w:val="right"/>
              <w:rPr>
                <w:rFonts w:ascii="宋体"/>
              </w:rPr>
            </w:pPr>
          </w:p>
        </w:tc>
      </w:tr>
      <w:tr w:rsidR="002661BA" w14:paraId="22CFCA9D" w14:textId="77777777">
        <w:tc>
          <w:tcPr>
            <w:tcW w:w="0" w:type="auto"/>
            <w:gridSpan w:val="3"/>
            <w:shd w:val="clear" w:color="auto" w:fill="E2E2E2"/>
            <w:tcMar>
              <w:top w:w="40" w:type="dxa"/>
              <w:left w:w="20" w:type="dxa"/>
              <w:bottom w:w="40" w:type="dxa"/>
              <w:right w:w="20" w:type="dxa"/>
            </w:tcMar>
            <w:vAlign w:val="bottom"/>
          </w:tcPr>
          <w:p w14:paraId="22CFCA97" w14:textId="77777777" w:rsidR="002661BA" w:rsidRDefault="00D972BC">
            <w:pPr>
              <w:textAlignment w:val="bottom"/>
            </w:pPr>
            <w:r>
              <w:rPr>
                <w:rFonts w:ascii="Arial" w:eastAsia="宋体" w:hAnsi="Arial" w:cs="Arial"/>
                <w:color w:val="000000"/>
                <w:sz w:val="18"/>
                <w:szCs w:val="18"/>
              </w:rPr>
              <w:t>Other</w:t>
            </w:r>
          </w:p>
        </w:tc>
        <w:tc>
          <w:tcPr>
            <w:tcW w:w="0" w:type="auto"/>
            <w:gridSpan w:val="2"/>
            <w:shd w:val="clear" w:color="auto" w:fill="E2E2E2"/>
            <w:tcMar>
              <w:top w:w="40" w:type="dxa"/>
              <w:left w:w="20" w:type="dxa"/>
              <w:bottom w:w="40" w:type="dxa"/>
              <w:right w:w="0" w:type="dxa"/>
            </w:tcMar>
            <w:vAlign w:val="bottom"/>
          </w:tcPr>
          <w:p w14:paraId="22CFCA98" w14:textId="77777777" w:rsidR="002661BA" w:rsidRDefault="00D972BC">
            <w:pPr>
              <w:jc w:val="right"/>
              <w:textAlignment w:val="bottom"/>
            </w:pPr>
            <w:r>
              <w:rPr>
                <w:rFonts w:ascii="Arial" w:eastAsia="宋体" w:hAnsi="Arial" w:cs="Arial"/>
                <w:color w:val="000000"/>
                <w:sz w:val="18"/>
                <w:szCs w:val="18"/>
              </w:rPr>
              <w:t>442 </w:t>
            </w:r>
          </w:p>
        </w:tc>
        <w:tc>
          <w:tcPr>
            <w:tcW w:w="0" w:type="auto"/>
            <w:shd w:val="clear" w:color="auto" w:fill="E2E2E2"/>
            <w:tcMar>
              <w:top w:w="40" w:type="dxa"/>
              <w:left w:w="0" w:type="dxa"/>
              <w:bottom w:w="40" w:type="dxa"/>
              <w:right w:w="20" w:type="dxa"/>
            </w:tcMar>
            <w:vAlign w:val="bottom"/>
          </w:tcPr>
          <w:p w14:paraId="22CFCA9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A9A"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A9B" w14:textId="77777777" w:rsidR="002661BA" w:rsidRDefault="00D972BC">
            <w:pPr>
              <w:jc w:val="right"/>
              <w:textAlignment w:val="bottom"/>
            </w:pPr>
            <w:r>
              <w:rPr>
                <w:rFonts w:ascii="Arial" w:eastAsia="宋体" w:hAnsi="Arial" w:cs="Arial"/>
                <w:color w:val="000000"/>
                <w:sz w:val="18"/>
                <w:szCs w:val="18"/>
              </w:rPr>
              <w:t>308 </w:t>
            </w:r>
          </w:p>
        </w:tc>
        <w:tc>
          <w:tcPr>
            <w:tcW w:w="0" w:type="auto"/>
            <w:shd w:val="clear" w:color="auto" w:fill="E2E2E2"/>
            <w:tcMar>
              <w:top w:w="40" w:type="dxa"/>
              <w:left w:w="0" w:type="dxa"/>
              <w:bottom w:w="40" w:type="dxa"/>
              <w:right w:w="20" w:type="dxa"/>
            </w:tcMar>
            <w:vAlign w:val="bottom"/>
          </w:tcPr>
          <w:p w14:paraId="22CFCA9C" w14:textId="77777777" w:rsidR="002661BA" w:rsidRDefault="002661BA">
            <w:pPr>
              <w:jc w:val="right"/>
              <w:rPr>
                <w:rFonts w:ascii="宋体"/>
              </w:rPr>
            </w:pPr>
          </w:p>
        </w:tc>
      </w:tr>
      <w:tr w:rsidR="002661BA" w14:paraId="22CFCAA6" w14:textId="77777777">
        <w:tc>
          <w:tcPr>
            <w:tcW w:w="0" w:type="auto"/>
            <w:gridSpan w:val="3"/>
            <w:shd w:val="clear" w:color="auto" w:fill="FFFFFF"/>
            <w:tcMar>
              <w:top w:w="40" w:type="dxa"/>
              <w:left w:w="245" w:type="dxa"/>
              <w:bottom w:w="40" w:type="dxa"/>
              <w:right w:w="20" w:type="dxa"/>
            </w:tcMar>
            <w:vAlign w:val="bottom"/>
          </w:tcPr>
          <w:p w14:paraId="22CFCA9E" w14:textId="77777777" w:rsidR="002661BA" w:rsidRDefault="00D972BC">
            <w:pPr>
              <w:textAlignment w:val="bottom"/>
            </w:pPr>
            <w:r>
              <w:rPr>
                <w:rFonts w:ascii="Arial" w:eastAsia="宋体" w:hAnsi="Arial" w:cs="Arial"/>
                <w:color w:val="000000"/>
                <w:sz w:val="18"/>
                <w:szCs w:val="18"/>
              </w:rPr>
              <w:t>Other current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A9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AA0" w14:textId="77777777" w:rsidR="002661BA" w:rsidRDefault="00D972BC">
            <w:pPr>
              <w:jc w:val="right"/>
              <w:textAlignment w:val="bottom"/>
            </w:pPr>
            <w:r>
              <w:rPr>
                <w:rFonts w:ascii="Arial" w:eastAsia="宋体" w:hAnsi="Arial" w:cs="Arial"/>
                <w:color w:val="000000"/>
                <w:sz w:val="18"/>
                <w:szCs w:val="18"/>
              </w:rPr>
              <w:t>1,009 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AA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AA2"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AA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AA4" w14:textId="77777777" w:rsidR="002661BA" w:rsidRDefault="00D972BC">
            <w:pPr>
              <w:jc w:val="right"/>
              <w:textAlignment w:val="bottom"/>
            </w:pPr>
            <w:r>
              <w:rPr>
                <w:rFonts w:ascii="Arial" w:eastAsia="宋体" w:hAnsi="Arial" w:cs="Arial"/>
                <w:color w:val="000000"/>
                <w:sz w:val="18"/>
                <w:szCs w:val="18"/>
              </w:rPr>
              <w:t>780 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AA5" w14:textId="77777777" w:rsidR="002661BA" w:rsidRDefault="002661BA">
            <w:pPr>
              <w:jc w:val="right"/>
              <w:rPr>
                <w:rFonts w:ascii="宋体"/>
              </w:rPr>
            </w:pPr>
          </w:p>
        </w:tc>
      </w:tr>
    </w:tbl>
    <w:p w14:paraId="22CFCAA7" w14:textId="77777777" w:rsidR="002661BA" w:rsidRDefault="002661BA">
      <w:pPr>
        <w:jc w:val="both"/>
      </w:pPr>
    </w:p>
    <w:p w14:paraId="22CFCAA8" w14:textId="77777777" w:rsidR="002661BA" w:rsidRDefault="00D972BC">
      <w:pPr>
        <w:jc w:val="center"/>
      </w:pPr>
      <w:r>
        <w:rPr>
          <w:rFonts w:ascii="Arial" w:eastAsia="宋体" w:hAnsi="Arial" w:cs="Arial"/>
          <w:color w:val="000000"/>
          <w:sz w:val="18"/>
          <w:szCs w:val="18"/>
        </w:rPr>
        <w:t>94</w:t>
      </w:r>
    </w:p>
    <w:p w14:paraId="22CFCAA9" w14:textId="77777777" w:rsidR="002661BA" w:rsidRDefault="00D972BC">
      <w:r>
        <w:pict w14:anchorId="22CFE50F">
          <v:rect id="_x0000_i1118" style="width:415.3pt;height:1.5pt" o:hralign="center" o:hrstd="t" o:hr="t" fillcolor="#a0a0a0" stroked="f"/>
        </w:pict>
      </w:r>
    </w:p>
    <w:p w14:paraId="22CFCAAA" w14:textId="77777777" w:rsidR="002661BA" w:rsidRDefault="00D972BC">
      <w:hyperlink r:id="rId129" w:anchor="id0d7a71b05ce452ea9fdb54f3cb359c7_7" w:history="1">
        <w:r>
          <w:rPr>
            <w:rStyle w:val="a5"/>
            <w:rFonts w:ascii="Arial" w:eastAsia="宋体" w:hAnsi="Arial" w:cs="Arial"/>
            <w:sz w:val="18"/>
            <w:szCs w:val="18"/>
          </w:rPr>
          <w:t>Table of Contents</w:t>
        </w:r>
      </w:hyperlink>
    </w:p>
    <w:p w14:paraId="22CFCAAB" w14:textId="77777777" w:rsidR="002661BA" w:rsidRDefault="00D972BC">
      <w:pPr>
        <w:jc w:val="center"/>
      </w:pPr>
      <w:r>
        <w:rPr>
          <w:rFonts w:ascii="Arial" w:eastAsia="宋体" w:hAnsi="Arial" w:cs="Arial"/>
          <w:b/>
          <w:bCs/>
          <w:color w:val="000000"/>
          <w:sz w:val="20"/>
          <w:szCs w:val="20"/>
        </w:rPr>
        <w:t>eBay Inc.</w:t>
      </w:r>
    </w:p>
    <w:p w14:paraId="22CFCAAC"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AAD" w14:textId="77777777" w:rsidR="002661BA" w:rsidRDefault="00D972BC">
      <w:pPr>
        <w:jc w:val="both"/>
      </w:pPr>
      <w:r>
        <w:rPr>
          <w:rFonts w:ascii="Arial" w:eastAsia="宋体" w:hAnsi="Arial" w:cs="Arial"/>
          <w:b/>
          <w:bCs/>
          <w:i/>
          <w:iCs/>
          <w:color w:val="000000"/>
          <w:sz w:val="20"/>
          <w:szCs w:val="20"/>
        </w:rPr>
        <w:t>Property and Equipme</w:t>
      </w:r>
      <w:r>
        <w:rPr>
          <w:rFonts w:ascii="Arial" w:eastAsia="宋体" w:hAnsi="Arial" w:cs="Arial"/>
          <w:b/>
          <w:bCs/>
          <w:i/>
          <w:iCs/>
          <w:color w:val="000000"/>
          <w:sz w:val="20"/>
          <w:szCs w:val="20"/>
        </w:rPr>
        <w:t>nt, Net</w:t>
      </w:r>
    </w:p>
    <w:tbl>
      <w:tblPr>
        <w:tblW w:w="5000" w:type="pct"/>
        <w:tblCellMar>
          <w:top w:w="15" w:type="dxa"/>
          <w:left w:w="15" w:type="dxa"/>
          <w:bottom w:w="15" w:type="dxa"/>
          <w:right w:w="15" w:type="dxa"/>
        </w:tblCellMar>
        <w:tblLook w:val="04A0" w:firstRow="1" w:lastRow="0" w:firstColumn="1" w:lastColumn="0" w:noHBand="0" w:noVBand="1"/>
      </w:tblPr>
      <w:tblGrid>
        <w:gridCol w:w="38"/>
        <w:gridCol w:w="6011"/>
        <w:gridCol w:w="37"/>
        <w:gridCol w:w="121"/>
        <w:gridCol w:w="913"/>
        <w:gridCol w:w="36"/>
        <w:gridCol w:w="36"/>
        <w:gridCol w:w="36"/>
        <w:gridCol w:w="36"/>
        <w:gridCol w:w="121"/>
        <w:gridCol w:w="915"/>
        <w:gridCol w:w="36"/>
      </w:tblGrid>
      <w:tr w:rsidR="002661BA" w14:paraId="22CFCABA" w14:textId="77777777">
        <w:tc>
          <w:tcPr>
            <w:tcW w:w="50" w:type="pct"/>
            <w:shd w:val="clear" w:color="auto" w:fill="auto"/>
            <w:vAlign w:val="bottom"/>
          </w:tcPr>
          <w:p w14:paraId="22CFCAAE" w14:textId="77777777" w:rsidR="002661BA" w:rsidRDefault="002661BA">
            <w:pPr>
              <w:rPr>
                <w:rFonts w:ascii="宋体"/>
              </w:rPr>
            </w:pPr>
          </w:p>
        </w:tc>
        <w:tc>
          <w:tcPr>
            <w:tcW w:w="3643" w:type="pct"/>
            <w:shd w:val="clear" w:color="auto" w:fill="auto"/>
            <w:vAlign w:val="bottom"/>
          </w:tcPr>
          <w:p w14:paraId="22CFCAAF" w14:textId="77777777" w:rsidR="002661BA" w:rsidRDefault="002661BA">
            <w:pPr>
              <w:rPr>
                <w:rFonts w:ascii="宋体"/>
              </w:rPr>
            </w:pPr>
          </w:p>
        </w:tc>
        <w:tc>
          <w:tcPr>
            <w:tcW w:w="5" w:type="pct"/>
            <w:shd w:val="clear" w:color="auto" w:fill="auto"/>
            <w:vAlign w:val="bottom"/>
          </w:tcPr>
          <w:p w14:paraId="22CFCAB0" w14:textId="77777777" w:rsidR="002661BA" w:rsidRDefault="002661BA">
            <w:pPr>
              <w:rPr>
                <w:rFonts w:ascii="宋体"/>
              </w:rPr>
            </w:pPr>
          </w:p>
        </w:tc>
        <w:tc>
          <w:tcPr>
            <w:tcW w:w="50" w:type="pct"/>
            <w:shd w:val="clear" w:color="auto" w:fill="auto"/>
            <w:vAlign w:val="bottom"/>
          </w:tcPr>
          <w:p w14:paraId="22CFCAB1" w14:textId="77777777" w:rsidR="002661BA" w:rsidRDefault="002661BA">
            <w:pPr>
              <w:rPr>
                <w:rFonts w:ascii="宋体"/>
              </w:rPr>
            </w:pPr>
          </w:p>
        </w:tc>
        <w:tc>
          <w:tcPr>
            <w:tcW w:w="580" w:type="pct"/>
            <w:shd w:val="clear" w:color="auto" w:fill="auto"/>
            <w:vAlign w:val="bottom"/>
          </w:tcPr>
          <w:p w14:paraId="22CFCAB2" w14:textId="77777777" w:rsidR="002661BA" w:rsidRDefault="002661BA">
            <w:pPr>
              <w:rPr>
                <w:rFonts w:ascii="宋体"/>
              </w:rPr>
            </w:pPr>
          </w:p>
        </w:tc>
        <w:tc>
          <w:tcPr>
            <w:tcW w:w="5" w:type="pct"/>
            <w:shd w:val="clear" w:color="auto" w:fill="auto"/>
            <w:vAlign w:val="bottom"/>
          </w:tcPr>
          <w:p w14:paraId="22CFCAB3" w14:textId="77777777" w:rsidR="002661BA" w:rsidRDefault="002661BA">
            <w:pPr>
              <w:rPr>
                <w:rFonts w:ascii="宋体"/>
              </w:rPr>
            </w:pPr>
          </w:p>
        </w:tc>
        <w:tc>
          <w:tcPr>
            <w:tcW w:w="5" w:type="pct"/>
            <w:shd w:val="clear" w:color="auto" w:fill="auto"/>
            <w:vAlign w:val="bottom"/>
          </w:tcPr>
          <w:p w14:paraId="22CFCAB4" w14:textId="77777777" w:rsidR="002661BA" w:rsidRDefault="002661BA">
            <w:pPr>
              <w:rPr>
                <w:rFonts w:ascii="宋体"/>
              </w:rPr>
            </w:pPr>
          </w:p>
        </w:tc>
        <w:tc>
          <w:tcPr>
            <w:tcW w:w="19" w:type="pct"/>
            <w:shd w:val="clear" w:color="auto" w:fill="auto"/>
            <w:vAlign w:val="bottom"/>
          </w:tcPr>
          <w:p w14:paraId="22CFCAB5" w14:textId="77777777" w:rsidR="002661BA" w:rsidRDefault="002661BA">
            <w:pPr>
              <w:rPr>
                <w:rFonts w:ascii="宋体"/>
              </w:rPr>
            </w:pPr>
          </w:p>
        </w:tc>
        <w:tc>
          <w:tcPr>
            <w:tcW w:w="5" w:type="pct"/>
            <w:shd w:val="clear" w:color="auto" w:fill="auto"/>
            <w:vAlign w:val="bottom"/>
          </w:tcPr>
          <w:p w14:paraId="22CFCAB6" w14:textId="77777777" w:rsidR="002661BA" w:rsidRDefault="002661BA">
            <w:pPr>
              <w:rPr>
                <w:rFonts w:ascii="宋体"/>
              </w:rPr>
            </w:pPr>
          </w:p>
        </w:tc>
        <w:tc>
          <w:tcPr>
            <w:tcW w:w="50" w:type="pct"/>
            <w:shd w:val="clear" w:color="auto" w:fill="auto"/>
            <w:vAlign w:val="bottom"/>
          </w:tcPr>
          <w:p w14:paraId="22CFCAB7" w14:textId="77777777" w:rsidR="002661BA" w:rsidRDefault="002661BA">
            <w:pPr>
              <w:rPr>
                <w:rFonts w:ascii="宋体"/>
              </w:rPr>
            </w:pPr>
          </w:p>
        </w:tc>
        <w:tc>
          <w:tcPr>
            <w:tcW w:w="581" w:type="pct"/>
            <w:shd w:val="clear" w:color="auto" w:fill="auto"/>
            <w:vAlign w:val="bottom"/>
          </w:tcPr>
          <w:p w14:paraId="22CFCAB8" w14:textId="77777777" w:rsidR="002661BA" w:rsidRDefault="002661BA">
            <w:pPr>
              <w:rPr>
                <w:rFonts w:ascii="宋体"/>
              </w:rPr>
            </w:pPr>
          </w:p>
        </w:tc>
        <w:tc>
          <w:tcPr>
            <w:tcW w:w="5" w:type="pct"/>
            <w:shd w:val="clear" w:color="auto" w:fill="auto"/>
            <w:vAlign w:val="bottom"/>
          </w:tcPr>
          <w:p w14:paraId="22CFCAB9" w14:textId="77777777" w:rsidR="002661BA" w:rsidRDefault="002661BA">
            <w:pPr>
              <w:rPr>
                <w:rFonts w:ascii="宋体"/>
              </w:rPr>
            </w:pPr>
          </w:p>
        </w:tc>
      </w:tr>
      <w:tr w:rsidR="002661BA" w14:paraId="22CFCABD" w14:textId="77777777">
        <w:trPr>
          <w:trHeight w:val="240"/>
        </w:trPr>
        <w:tc>
          <w:tcPr>
            <w:tcW w:w="0" w:type="auto"/>
            <w:gridSpan w:val="3"/>
            <w:vMerge w:val="restart"/>
            <w:shd w:val="clear" w:color="auto" w:fill="auto"/>
            <w:tcMar>
              <w:top w:w="40" w:type="dxa"/>
              <w:left w:w="20" w:type="dxa"/>
              <w:bottom w:w="40" w:type="dxa"/>
              <w:right w:w="20" w:type="dxa"/>
            </w:tcMar>
            <w:vAlign w:val="bottom"/>
          </w:tcPr>
          <w:p w14:paraId="22CFCABB" w14:textId="77777777" w:rsidR="002661BA" w:rsidRDefault="00D972BC">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22CFCABC" w14:textId="77777777" w:rsidR="002661BA" w:rsidRDefault="00D972BC">
            <w:pPr>
              <w:jc w:val="center"/>
              <w:textAlignment w:val="bottom"/>
            </w:pPr>
            <w:r>
              <w:rPr>
                <w:rFonts w:ascii="Arial" w:eastAsia="宋体" w:hAnsi="Arial" w:cs="Arial"/>
                <w:b/>
                <w:bCs/>
                <w:color w:val="000000"/>
                <w:sz w:val="17"/>
                <w:szCs w:val="17"/>
              </w:rPr>
              <w:t>December 31,</w:t>
            </w:r>
          </w:p>
        </w:tc>
      </w:tr>
      <w:tr w:rsidR="002661BA" w14:paraId="22CFCAC2" w14:textId="77777777">
        <w:trPr>
          <w:trHeight w:val="240"/>
        </w:trPr>
        <w:tc>
          <w:tcPr>
            <w:tcW w:w="0" w:type="auto"/>
            <w:gridSpan w:val="3"/>
            <w:vMerge/>
            <w:shd w:val="clear" w:color="auto" w:fill="auto"/>
            <w:tcMar>
              <w:top w:w="40" w:type="dxa"/>
              <w:left w:w="20" w:type="dxa"/>
              <w:bottom w:w="40" w:type="dxa"/>
              <w:right w:w="20" w:type="dxa"/>
            </w:tcMar>
            <w:vAlign w:val="bottom"/>
          </w:tcPr>
          <w:p w14:paraId="22CFCABE"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ABF"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AC0"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CAC1" w14:textId="77777777" w:rsidR="002661BA" w:rsidRDefault="00D972BC">
            <w:pPr>
              <w:jc w:val="center"/>
              <w:textAlignment w:val="bottom"/>
            </w:pPr>
            <w:r>
              <w:rPr>
                <w:rFonts w:ascii="Arial" w:eastAsia="宋体" w:hAnsi="Arial" w:cs="Arial"/>
                <w:b/>
                <w:bCs/>
                <w:color w:val="000000"/>
                <w:sz w:val="17"/>
                <w:szCs w:val="17"/>
              </w:rPr>
              <w:t>2020</w:t>
            </w:r>
          </w:p>
        </w:tc>
      </w:tr>
      <w:tr w:rsidR="002661BA" w14:paraId="22CFCAC5" w14:textId="77777777">
        <w:trPr>
          <w:trHeight w:val="240"/>
        </w:trPr>
        <w:tc>
          <w:tcPr>
            <w:tcW w:w="0" w:type="auto"/>
            <w:gridSpan w:val="3"/>
            <w:vMerge/>
            <w:shd w:val="clear" w:color="auto" w:fill="auto"/>
            <w:tcMar>
              <w:top w:w="40" w:type="dxa"/>
              <w:left w:w="20" w:type="dxa"/>
              <w:bottom w:w="40" w:type="dxa"/>
              <w:right w:w="20" w:type="dxa"/>
            </w:tcMar>
            <w:vAlign w:val="bottom"/>
          </w:tcPr>
          <w:p w14:paraId="22CFCAC3" w14:textId="77777777" w:rsidR="002661BA" w:rsidRDefault="002661B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2CFCAC4" w14:textId="77777777" w:rsidR="002661BA" w:rsidRDefault="00D972BC">
            <w:pPr>
              <w:jc w:val="center"/>
              <w:textAlignment w:val="bottom"/>
            </w:pPr>
            <w:r>
              <w:rPr>
                <w:rFonts w:ascii="Arial" w:eastAsia="宋体" w:hAnsi="Arial" w:cs="Arial"/>
                <w:b/>
                <w:bCs/>
                <w:color w:val="000000"/>
                <w:sz w:val="17"/>
                <w:szCs w:val="17"/>
              </w:rPr>
              <w:t>(In millions)</w:t>
            </w:r>
          </w:p>
        </w:tc>
      </w:tr>
      <w:tr w:rsidR="002661BA" w14:paraId="22CFCACE" w14:textId="77777777">
        <w:tc>
          <w:tcPr>
            <w:tcW w:w="0" w:type="auto"/>
            <w:gridSpan w:val="3"/>
            <w:shd w:val="clear" w:color="auto" w:fill="E2E2E2"/>
            <w:tcMar>
              <w:top w:w="40" w:type="dxa"/>
              <w:left w:w="20" w:type="dxa"/>
              <w:bottom w:w="40" w:type="dxa"/>
              <w:right w:w="20" w:type="dxa"/>
            </w:tcMar>
            <w:vAlign w:val="bottom"/>
          </w:tcPr>
          <w:p w14:paraId="22CFCAC6" w14:textId="77777777" w:rsidR="002661BA" w:rsidRDefault="00D972BC">
            <w:pPr>
              <w:textAlignment w:val="bottom"/>
            </w:pPr>
            <w:r>
              <w:rPr>
                <w:rFonts w:ascii="Arial" w:eastAsia="宋体" w:hAnsi="Arial" w:cs="Arial"/>
                <w:color w:val="000000"/>
                <w:sz w:val="18"/>
                <w:szCs w:val="18"/>
              </w:rPr>
              <w:t>Computer equipment and software</w:t>
            </w:r>
          </w:p>
        </w:tc>
        <w:tc>
          <w:tcPr>
            <w:tcW w:w="0" w:type="auto"/>
            <w:shd w:val="clear" w:color="auto" w:fill="E2E2E2"/>
            <w:tcMar>
              <w:top w:w="40" w:type="dxa"/>
              <w:left w:w="20" w:type="dxa"/>
              <w:bottom w:w="40" w:type="dxa"/>
              <w:right w:w="0" w:type="dxa"/>
            </w:tcMar>
            <w:vAlign w:val="bottom"/>
          </w:tcPr>
          <w:p w14:paraId="22CFCAC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CAC8" w14:textId="77777777" w:rsidR="002661BA" w:rsidRDefault="00D972BC">
            <w:pPr>
              <w:jc w:val="right"/>
              <w:textAlignment w:val="bottom"/>
            </w:pPr>
            <w:r>
              <w:rPr>
                <w:rFonts w:ascii="Arial" w:eastAsia="宋体" w:hAnsi="Arial" w:cs="Arial"/>
                <w:color w:val="000000"/>
                <w:sz w:val="18"/>
                <w:szCs w:val="18"/>
              </w:rPr>
              <w:t>4,747 </w:t>
            </w:r>
          </w:p>
        </w:tc>
        <w:tc>
          <w:tcPr>
            <w:tcW w:w="0" w:type="auto"/>
            <w:shd w:val="clear" w:color="auto" w:fill="E2E2E2"/>
            <w:tcMar>
              <w:top w:w="40" w:type="dxa"/>
              <w:left w:w="0" w:type="dxa"/>
              <w:bottom w:w="40" w:type="dxa"/>
              <w:right w:w="20" w:type="dxa"/>
            </w:tcMar>
            <w:vAlign w:val="bottom"/>
          </w:tcPr>
          <w:p w14:paraId="22CFCAC9"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ACA"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E2E2E2"/>
            <w:tcMar>
              <w:top w:w="40" w:type="dxa"/>
              <w:left w:w="20" w:type="dxa"/>
              <w:bottom w:w="40" w:type="dxa"/>
              <w:right w:w="0" w:type="dxa"/>
            </w:tcMar>
            <w:vAlign w:val="bottom"/>
          </w:tcPr>
          <w:p w14:paraId="22CFCACB"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CACC" w14:textId="77777777" w:rsidR="002661BA" w:rsidRDefault="00D972BC">
            <w:pPr>
              <w:jc w:val="right"/>
              <w:textAlignment w:val="bottom"/>
            </w:pPr>
            <w:r>
              <w:rPr>
                <w:rFonts w:ascii="Arial" w:eastAsia="宋体" w:hAnsi="Arial" w:cs="Arial"/>
                <w:color w:val="000000"/>
                <w:sz w:val="18"/>
                <w:szCs w:val="18"/>
              </w:rPr>
              <w:t>4,585 </w:t>
            </w:r>
          </w:p>
        </w:tc>
        <w:tc>
          <w:tcPr>
            <w:tcW w:w="0" w:type="auto"/>
            <w:shd w:val="clear" w:color="auto" w:fill="E2E2E2"/>
            <w:tcMar>
              <w:top w:w="40" w:type="dxa"/>
              <w:left w:w="0" w:type="dxa"/>
              <w:bottom w:w="40" w:type="dxa"/>
              <w:right w:w="20" w:type="dxa"/>
            </w:tcMar>
            <w:vAlign w:val="bottom"/>
          </w:tcPr>
          <w:p w14:paraId="22CFCACD" w14:textId="77777777" w:rsidR="002661BA" w:rsidRDefault="002661BA">
            <w:pPr>
              <w:jc w:val="right"/>
              <w:rPr>
                <w:rFonts w:ascii="宋体"/>
              </w:rPr>
            </w:pPr>
          </w:p>
        </w:tc>
      </w:tr>
      <w:tr w:rsidR="002661BA" w14:paraId="22CFCAD5" w14:textId="77777777">
        <w:tc>
          <w:tcPr>
            <w:tcW w:w="0" w:type="auto"/>
            <w:gridSpan w:val="3"/>
            <w:shd w:val="clear" w:color="auto" w:fill="FFFFFF"/>
            <w:tcMar>
              <w:top w:w="40" w:type="dxa"/>
              <w:left w:w="20" w:type="dxa"/>
              <w:bottom w:w="40" w:type="dxa"/>
              <w:right w:w="20" w:type="dxa"/>
            </w:tcMar>
            <w:vAlign w:val="bottom"/>
          </w:tcPr>
          <w:p w14:paraId="22CFCACF" w14:textId="77777777" w:rsidR="002661BA" w:rsidRDefault="00D972BC">
            <w:pPr>
              <w:textAlignment w:val="bottom"/>
            </w:pPr>
            <w:r>
              <w:rPr>
                <w:rFonts w:ascii="Arial" w:eastAsia="宋体" w:hAnsi="Arial" w:cs="Arial"/>
                <w:color w:val="000000"/>
                <w:sz w:val="18"/>
                <w:szCs w:val="18"/>
              </w:rPr>
              <w:t>Land and buildings, including building improvements</w:t>
            </w:r>
          </w:p>
        </w:tc>
        <w:tc>
          <w:tcPr>
            <w:tcW w:w="0" w:type="auto"/>
            <w:gridSpan w:val="2"/>
            <w:shd w:val="clear" w:color="auto" w:fill="FFFFFF"/>
            <w:tcMar>
              <w:top w:w="40" w:type="dxa"/>
              <w:left w:w="20" w:type="dxa"/>
              <w:bottom w:w="40" w:type="dxa"/>
              <w:right w:w="0" w:type="dxa"/>
            </w:tcMar>
            <w:vAlign w:val="bottom"/>
          </w:tcPr>
          <w:p w14:paraId="22CFCAD0" w14:textId="77777777" w:rsidR="002661BA" w:rsidRDefault="00D972BC">
            <w:pPr>
              <w:jc w:val="right"/>
              <w:textAlignment w:val="bottom"/>
            </w:pPr>
            <w:r>
              <w:rPr>
                <w:rFonts w:ascii="Arial" w:eastAsia="宋体" w:hAnsi="Arial" w:cs="Arial"/>
                <w:color w:val="000000"/>
                <w:sz w:val="18"/>
                <w:szCs w:val="18"/>
              </w:rPr>
              <w:t>779 </w:t>
            </w:r>
          </w:p>
        </w:tc>
        <w:tc>
          <w:tcPr>
            <w:tcW w:w="0" w:type="auto"/>
            <w:shd w:val="clear" w:color="auto" w:fill="FFFFFF"/>
            <w:tcMar>
              <w:top w:w="40" w:type="dxa"/>
              <w:left w:w="0" w:type="dxa"/>
              <w:bottom w:w="40" w:type="dxa"/>
              <w:right w:w="20" w:type="dxa"/>
            </w:tcMar>
            <w:vAlign w:val="bottom"/>
          </w:tcPr>
          <w:p w14:paraId="22CFCAD1"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AD2"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CAD3" w14:textId="77777777" w:rsidR="002661BA" w:rsidRDefault="00D972BC">
            <w:pPr>
              <w:jc w:val="right"/>
              <w:textAlignment w:val="bottom"/>
            </w:pPr>
            <w:r>
              <w:rPr>
                <w:rFonts w:ascii="Arial" w:eastAsia="宋体" w:hAnsi="Arial" w:cs="Arial"/>
                <w:color w:val="000000"/>
                <w:sz w:val="18"/>
                <w:szCs w:val="18"/>
              </w:rPr>
              <w:t>744 </w:t>
            </w:r>
          </w:p>
        </w:tc>
        <w:tc>
          <w:tcPr>
            <w:tcW w:w="0" w:type="auto"/>
            <w:shd w:val="clear" w:color="auto" w:fill="FFFFFF"/>
            <w:tcMar>
              <w:top w:w="40" w:type="dxa"/>
              <w:left w:w="0" w:type="dxa"/>
              <w:bottom w:w="40" w:type="dxa"/>
              <w:right w:w="20" w:type="dxa"/>
            </w:tcMar>
            <w:vAlign w:val="bottom"/>
          </w:tcPr>
          <w:p w14:paraId="22CFCAD4" w14:textId="77777777" w:rsidR="002661BA" w:rsidRDefault="002661BA">
            <w:pPr>
              <w:jc w:val="right"/>
              <w:rPr>
                <w:rFonts w:ascii="宋体"/>
              </w:rPr>
            </w:pPr>
          </w:p>
        </w:tc>
      </w:tr>
      <w:tr w:rsidR="002661BA" w14:paraId="22CFCADC" w14:textId="77777777">
        <w:tc>
          <w:tcPr>
            <w:tcW w:w="0" w:type="auto"/>
            <w:gridSpan w:val="3"/>
            <w:shd w:val="clear" w:color="auto" w:fill="E2E2E2"/>
            <w:tcMar>
              <w:top w:w="40" w:type="dxa"/>
              <w:left w:w="20" w:type="dxa"/>
              <w:bottom w:w="40" w:type="dxa"/>
              <w:right w:w="20" w:type="dxa"/>
            </w:tcMar>
            <w:vAlign w:val="bottom"/>
          </w:tcPr>
          <w:p w14:paraId="22CFCAD6" w14:textId="77777777" w:rsidR="002661BA" w:rsidRDefault="00D972BC">
            <w:pPr>
              <w:textAlignment w:val="bottom"/>
            </w:pPr>
            <w:r>
              <w:rPr>
                <w:rFonts w:ascii="Arial" w:eastAsia="宋体" w:hAnsi="Arial" w:cs="Arial"/>
                <w:color w:val="000000"/>
                <w:sz w:val="18"/>
                <w:szCs w:val="18"/>
              </w:rPr>
              <w:t>Leasehold improvements</w:t>
            </w:r>
          </w:p>
        </w:tc>
        <w:tc>
          <w:tcPr>
            <w:tcW w:w="0" w:type="auto"/>
            <w:gridSpan w:val="2"/>
            <w:shd w:val="clear" w:color="auto" w:fill="E2E2E2"/>
            <w:tcMar>
              <w:top w:w="40" w:type="dxa"/>
              <w:left w:w="20" w:type="dxa"/>
              <w:bottom w:w="40" w:type="dxa"/>
              <w:right w:w="0" w:type="dxa"/>
            </w:tcMar>
            <w:vAlign w:val="bottom"/>
          </w:tcPr>
          <w:p w14:paraId="22CFCAD7" w14:textId="77777777" w:rsidR="002661BA" w:rsidRDefault="00D972BC">
            <w:pPr>
              <w:jc w:val="right"/>
              <w:textAlignment w:val="bottom"/>
            </w:pPr>
            <w:r>
              <w:rPr>
                <w:rFonts w:ascii="Arial" w:eastAsia="宋体" w:hAnsi="Arial" w:cs="Arial"/>
                <w:color w:val="000000"/>
                <w:sz w:val="18"/>
                <w:szCs w:val="18"/>
              </w:rPr>
              <w:t>356 </w:t>
            </w:r>
          </w:p>
        </w:tc>
        <w:tc>
          <w:tcPr>
            <w:tcW w:w="0" w:type="auto"/>
            <w:shd w:val="clear" w:color="auto" w:fill="E2E2E2"/>
            <w:tcMar>
              <w:top w:w="40" w:type="dxa"/>
              <w:left w:w="0" w:type="dxa"/>
              <w:bottom w:w="40" w:type="dxa"/>
              <w:right w:w="20" w:type="dxa"/>
            </w:tcMar>
            <w:vAlign w:val="bottom"/>
          </w:tcPr>
          <w:p w14:paraId="22CFCAD8"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AD9"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CADA" w14:textId="77777777" w:rsidR="002661BA" w:rsidRDefault="00D972BC">
            <w:pPr>
              <w:jc w:val="right"/>
              <w:textAlignment w:val="bottom"/>
            </w:pPr>
            <w:r>
              <w:rPr>
                <w:rFonts w:ascii="Arial" w:eastAsia="宋体" w:hAnsi="Arial" w:cs="Arial"/>
                <w:color w:val="000000"/>
                <w:sz w:val="18"/>
                <w:szCs w:val="18"/>
              </w:rPr>
              <w:t>320 </w:t>
            </w:r>
          </w:p>
        </w:tc>
        <w:tc>
          <w:tcPr>
            <w:tcW w:w="0" w:type="auto"/>
            <w:shd w:val="clear" w:color="auto" w:fill="E2E2E2"/>
            <w:tcMar>
              <w:top w:w="40" w:type="dxa"/>
              <w:left w:w="0" w:type="dxa"/>
              <w:bottom w:w="40" w:type="dxa"/>
              <w:right w:w="20" w:type="dxa"/>
            </w:tcMar>
            <w:vAlign w:val="bottom"/>
          </w:tcPr>
          <w:p w14:paraId="22CFCADB" w14:textId="77777777" w:rsidR="002661BA" w:rsidRDefault="002661BA">
            <w:pPr>
              <w:jc w:val="right"/>
              <w:rPr>
                <w:rFonts w:ascii="宋体"/>
              </w:rPr>
            </w:pPr>
          </w:p>
        </w:tc>
      </w:tr>
      <w:tr w:rsidR="002661BA" w14:paraId="22CFCAE3" w14:textId="77777777">
        <w:tc>
          <w:tcPr>
            <w:tcW w:w="0" w:type="auto"/>
            <w:gridSpan w:val="3"/>
            <w:shd w:val="clear" w:color="auto" w:fill="FFFFFF"/>
            <w:tcMar>
              <w:top w:w="40" w:type="dxa"/>
              <w:left w:w="20" w:type="dxa"/>
              <w:bottom w:w="40" w:type="dxa"/>
              <w:right w:w="20" w:type="dxa"/>
            </w:tcMar>
            <w:vAlign w:val="bottom"/>
          </w:tcPr>
          <w:p w14:paraId="22CFCADD" w14:textId="77777777" w:rsidR="002661BA" w:rsidRDefault="00D972BC">
            <w:pPr>
              <w:textAlignment w:val="bottom"/>
            </w:pPr>
            <w:r>
              <w:rPr>
                <w:rFonts w:ascii="Arial" w:eastAsia="宋体" w:hAnsi="Arial" w:cs="Arial"/>
                <w:color w:val="000000"/>
                <w:sz w:val="18"/>
                <w:szCs w:val="18"/>
              </w:rPr>
              <w:t xml:space="preserve">Furniture and </w:t>
            </w:r>
            <w:r>
              <w:rPr>
                <w:rFonts w:ascii="Arial" w:eastAsia="宋体" w:hAnsi="Arial" w:cs="Arial"/>
                <w:color w:val="000000"/>
                <w:sz w:val="18"/>
                <w:szCs w:val="18"/>
              </w:rPr>
              <w:t>fixtures</w:t>
            </w:r>
          </w:p>
        </w:tc>
        <w:tc>
          <w:tcPr>
            <w:tcW w:w="0" w:type="auto"/>
            <w:gridSpan w:val="2"/>
            <w:shd w:val="clear" w:color="auto" w:fill="FFFFFF"/>
            <w:tcMar>
              <w:top w:w="40" w:type="dxa"/>
              <w:left w:w="20" w:type="dxa"/>
              <w:bottom w:w="40" w:type="dxa"/>
              <w:right w:w="0" w:type="dxa"/>
            </w:tcMar>
            <w:vAlign w:val="bottom"/>
          </w:tcPr>
          <w:p w14:paraId="22CFCADE" w14:textId="77777777" w:rsidR="002661BA" w:rsidRDefault="00D972BC">
            <w:pPr>
              <w:jc w:val="right"/>
              <w:textAlignment w:val="bottom"/>
            </w:pPr>
            <w:r>
              <w:rPr>
                <w:rFonts w:ascii="Arial" w:eastAsia="宋体" w:hAnsi="Arial" w:cs="Arial"/>
                <w:color w:val="000000"/>
                <w:sz w:val="18"/>
                <w:szCs w:val="18"/>
              </w:rPr>
              <w:t>140 </w:t>
            </w:r>
          </w:p>
        </w:tc>
        <w:tc>
          <w:tcPr>
            <w:tcW w:w="0" w:type="auto"/>
            <w:shd w:val="clear" w:color="auto" w:fill="FFFFFF"/>
            <w:tcMar>
              <w:top w:w="40" w:type="dxa"/>
              <w:left w:w="0" w:type="dxa"/>
              <w:bottom w:w="40" w:type="dxa"/>
              <w:right w:w="20" w:type="dxa"/>
            </w:tcMar>
            <w:vAlign w:val="bottom"/>
          </w:tcPr>
          <w:p w14:paraId="22CFCADF"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AE0"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CAE1" w14:textId="77777777" w:rsidR="002661BA" w:rsidRDefault="00D972BC">
            <w:pPr>
              <w:jc w:val="right"/>
              <w:textAlignment w:val="bottom"/>
            </w:pPr>
            <w:r>
              <w:rPr>
                <w:rFonts w:ascii="Arial" w:eastAsia="宋体" w:hAnsi="Arial" w:cs="Arial"/>
                <w:color w:val="000000"/>
                <w:sz w:val="18"/>
                <w:szCs w:val="18"/>
              </w:rPr>
              <w:t>141 </w:t>
            </w:r>
          </w:p>
        </w:tc>
        <w:tc>
          <w:tcPr>
            <w:tcW w:w="0" w:type="auto"/>
            <w:shd w:val="clear" w:color="auto" w:fill="FFFFFF"/>
            <w:tcMar>
              <w:top w:w="40" w:type="dxa"/>
              <w:left w:w="0" w:type="dxa"/>
              <w:bottom w:w="40" w:type="dxa"/>
              <w:right w:w="20" w:type="dxa"/>
            </w:tcMar>
            <w:vAlign w:val="bottom"/>
          </w:tcPr>
          <w:p w14:paraId="22CFCAE2" w14:textId="77777777" w:rsidR="002661BA" w:rsidRDefault="002661BA">
            <w:pPr>
              <w:jc w:val="right"/>
              <w:rPr>
                <w:rFonts w:ascii="宋体"/>
              </w:rPr>
            </w:pPr>
          </w:p>
        </w:tc>
      </w:tr>
      <w:tr w:rsidR="002661BA" w14:paraId="22CFCAEA" w14:textId="77777777">
        <w:tc>
          <w:tcPr>
            <w:tcW w:w="0" w:type="auto"/>
            <w:gridSpan w:val="3"/>
            <w:shd w:val="clear" w:color="auto" w:fill="E2E2E2"/>
            <w:tcMar>
              <w:top w:w="40" w:type="dxa"/>
              <w:left w:w="20" w:type="dxa"/>
              <w:bottom w:w="40" w:type="dxa"/>
              <w:right w:w="20" w:type="dxa"/>
            </w:tcMar>
            <w:vAlign w:val="bottom"/>
          </w:tcPr>
          <w:p w14:paraId="22CFCAE4" w14:textId="77777777" w:rsidR="002661BA" w:rsidRDefault="00D972BC">
            <w:pPr>
              <w:textAlignment w:val="bottom"/>
            </w:pPr>
            <w:r>
              <w:rPr>
                <w:rFonts w:ascii="Arial" w:eastAsia="宋体" w:hAnsi="Arial" w:cs="Arial"/>
                <w:color w:val="000000"/>
                <w:sz w:val="18"/>
                <w:szCs w:val="18"/>
              </w:rPr>
              <w:t>Construction in progress and other</w:t>
            </w:r>
          </w:p>
        </w:tc>
        <w:tc>
          <w:tcPr>
            <w:tcW w:w="0" w:type="auto"/>
            <w:gridSpan w:val="2"/>
            <w:shd w:val="clear" w:color="auto" w:fill="E2E2E2"/>
            <w:tcMar>
              <w:top w:w="40" w:type="dxa"/>
              <w:left w:w="20" w:type="dxa"/>
              <w:bottom w:w="40" w:type="dxa"/>
              <w:right w:w="0" w:type="dxa"/>
            </w:tcMar>
            <w:vAlign w:val="bottom"/>
          </w:tcPr>
          <w:p w14:paraId="22CFCAE5" w14:textId="77777777" w:rsidR="002661BA" w:rsidRDefault="00D972BC">
            <w:pPr>
              <w:jc w:val="right"/>
              <w:textAlignment w:val="bottom"/>
            </w:pPr>
            <w:r>
              <w:rPr>
                <w:rFonts w:ascii="Arial" w:eastAsia="宋体" w:hAnsi="Arial" w:cs="Arial"/>
                <w:color w:val="000000"/>
                <w:sz w:val="18"/>
                <w:szCs w:val="18"/>
              </w:rPr>
              <w:t>77 </w:t>
            </w:r>
          </w:p>
        </w:tc>
        <w:tc>
          <w:tcPr>
            <w:tcW w:w="0" w:type="auto"/>
            <w:shd w:val="clear" w:color="auto" w:fill="E2E2E2"/>
            <w:tcMar>
              <w:top w:w="40" w:type="dxa"/>
              <w:left w:w="0" w:type="dxa"/>
              <w:bottom w:w="40" w:type="dxa"/>
              <w:right w:w="20" w:type="dxa"/>
            </w:tcMar>
            <w:vAlign w:val="bottom"/>
          </w:tcPr>
          <w:p w14:paraId="22CFCAE6"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AE7"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CAE8" w14:textId="77777777" w:rsidR="002661BA" w:rsidRDefault="00D972BC">
            <w:pPr>
              <w:jc w:val="right"/>
              <w:textAlignment w:val="bottom"/>
            </w:pPr>
            <w:r>
              <w:rPr>
                <w:rFonts w:ascii="Arial" w:eastAsia="宋体" w:hAnsi="Arial" w:cs="Arial"/>
                <w:color w:val="000000"/>
                <w:sz w:val="18"/>
                <w:szCs w:val="18"/>
              </w:rPr>
              <w:t>155 </w:t>
            </w:r>
          </w:p>
        </w:tc>
        <w:tc>
          <w:tcPr>
            <w:tcW w:w="0" w:type="auto"/>
            <w:shd w:val="clear" w:color="auto" w:fill="E2E2E2"/>
            <w:tcMar>
              <w:top w:w="40" w:type="dxa"/>
              <w:left w:w="0" w:type="dxa"/>
              <w:bottom w:w="40" w:type="dxa"/>
              <w:right w:w="20" w:type="dxa"/>
            </w:tcMar>
            <w:vAlign w:val="bottom"/>
          </w:tcPr>
          <w:p w14:paraId="22CFCAE9" w14:textId="77777777" w:rsidR="002661BA" w:rsidRDefault="002661BA">
            <w:pPr>
              <w:jc w:val="right"/>
              <w:rPr>
                <w:rFonts w:ascii="宋体"/>
              </w:rPr>
            </w:pPr>
          </w:p>
        </w:tc>
      </w:tr>
      <w:tr w:rsidR="002661BA" w14:paraId="22CFCAF1" w14:textId="77777777">
        <w:tc>
          <w:tcPr>
            <w:tcW w:w="0" w:type="auto"/>
            <w:gridSpan w:val="3"/>
            <w:shd w:val="clear" w:color="auto" w:fill="FFFFFF"/>
            <w:tcMar>
              <w:top w:w="40" w:type="dxa"/>
              <w:left w:w="245" w:type="dxa"/>
              <w:bottom w:w="40" w:type="dxa"/>
              <w:right w:w="20" w:type="dxa"/>
            </w:tcMar>
            <w:vAlign w:val="bottom"/>
          </w:tcPr>
          <w:p w14:paraId="22CFCAEB" w14:textId="77777777" w:rsidR="002661BA" w:rsidRDefault="00D972BC">
            <w:pPr>
              <w:textAlignment w:val="bottom"/>
            </w:pPr>
            <w:r>
              <w:rPr>
                <w:rFonts w:ascii="Arial" w:eastAsia="宋体" w:hAnsi="Arial" w:cs="Arial"/>
                <w:color w:val="000000"/>
                <w:sz w:val="18"/>
                <w:szCs w:val="18"/>
              </w:rPr>
              <w:t>Property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AEC" w14:textId="77777777" w:rsidR="002661BA" w:rsidRDefault="00D972BC">
            <w:pPr>
              <w:jc w:val="right"/>
              <w:textAlignment w:val="bottom"/>
            </w:pPr>
            <w:r>
              <w:rPr>
                <w:rFonts w:ascii="Arial" w:eastAsia="宋体" w:hAnsi="Arial" w:cs="Arial"/>
                <w:color w:val="000000"/>
                <w:sz w:val="18"/>
                <w:szCs w:val="18"/>
              </w:rPr>
              <w:t>6,099 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AED"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AEE" w14:textId="77777777" w:rsidR="002661BA" w:rsidRDefault="00D972BC">
            <w:pPr>
              <w:textAlignment w:val="bottom"/>
            </w:pPr>
            <w:r>
              <w:rPr>
                <w:rFonts w:ascii="Arial" w:eastAsia="宋体" w:hAnsi="Arial" w:cs="Arial"/>
                <w:color w:val="000000"/>
                <w:sz w:val="18"/>
                <w:szCs w:val="18"/>
              </w:rPr>
              <w:t>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AEF" w14:textId="77777777" w:rsidR="002661BA" w:rsidRDefault="00D972BC">
            <w:pPr>
              <w:jc w:val="right"/>
              <w:textAlignment w:val="bottom"/>
            </w:pPr>
            <w:r>
              <w:rPr>
                <w:rFonts w:ascii="Arial" w:eastAsia="宋体" w:hAnsi="Arial" w:cs="Arial"/>
                <w:color w:val="000000"/>
                <w:sz w:val="18"/>
                <w:szCs w:val="18"/>
              </w:rPr>
              <w:t>5,945 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AF0" w14:textId="77777777" w:rsidR="002661BA" w:rsidRDefault="002661BA">
            <w:pPr>
              <w:jc w:val="right"/>
              <w:rPr>
                <w:rFonts w:ascii="宋体"/>
              </w:rPr>
            </w:pPr>
          </w:p>
        </w:tc>
      </w:tr>
      <w:tr w:rsidR="002661BA" w14:paraId="22CFCAF8" w14:textId="77777777">
        <w:tc>
          <w:tcPr>
            <w:tcW w:w="0" w:type="auto"/>
            <w:gridSpan w:val="3"/>
            <w:shd w:val="clear" w:color="auto" w:fill="E2E2E2"/>
            <w:tcMar>
              <w:top w:w="40" w:type="dxa"/>
              <w:left w:w="20" w:type="dxa"/>
              <w:bottom w:w="40" w:type="dxa"/>
              <w:right w:w="20" w:type="dxa"/>
            </w:tcMar>
            <w:vAlign w:val="bottom"/>
          </w:tcPr>
          <w:p w14:paraId="22CFCAF2" w14:textId="77777777" w:rsidR="002661BA" w:rsidRDefault="00D972BC">
            <w:pPr>
              <w:textAlignment w:val="bottom"/>
            </w:pPr>
            <w:r>
              <w:rPr>
                <w:rFonts w:ascii="Arial" w:eastAsia="宋体" w:hAnsi="Arial" w:cs="Arial"/>
                <w:color w:val="000000"/>
                <w:sz w:val="18"/>
                <w:szCs w:val="18"/>
              </w:rPr>
              <w:t>Accumulated depreciation</w:t>
            </w:r>
          </w:p>
        </w:tc>
        <w:tc>
          <w:tcPr>
            <w:tcW w:w="0" w:type="auto"/>
            <w:gridSpan w:val="2"/>
            <w:shd w:val="clear" w:color="auto" w:fill="E2E2E2"/>
            <w:tcMar>
              <w:top w:w="40" w:type="dxa"/>
              <w:left w:w="20" w:type="dxa"/>
              <w:bottom w:w="40" w:type="dxa"/>
              <w:right w:w="0" w:type="dxa"/>
            </w:tcMar>
            <w:vAlign w:val="bottom"/>
          </w:tcPr>
          <w:p w14:paraId="22CFCAF3" w14:textId="77777777" w:rsidR="002661BA" w:rsidRDefault="00D972BC">
            <w:pPr>
              <w:jc w:val="right"/>
              <w:textAlignment w:val="bottom"/>
            </w:pPr>
            <w:r>
              <w:rPr>
                <w:rFonts w:ascii="Arial" w:eastAsia="宋体" w:hAnsi="Arial" w:cs="Arial"/>
                <w:color w:val="000000"/>
                <w:sz w:val="18"/>
                <w:szCs w:val="18"/>
              </w:rPr>
              <w:t>(4,863)</w:t>
            </w:r>
          </w:p>
        </w:tc>
        <w:tc>
          <w:tcPr>
            <w:tcW w:w="0" w:type="auto"/>
            <w:shd w:val="clear" w:color="auto" w:fill="E2E2E2"/>
            <w:tcMar>
              <w:top w:w="40" w:type="dxa"/>
              <w:left w:w="0" w:type="dxa"/>
              <w:bottom w:w="40" w:type="dxa"/>
              <w:right w:w="20" w:type="dxa"/>
            </w:tcMar>
            <w:vAlign w:val="bottom"/>
          </w:tcPr>
          <w:p w14:paraId="22CFCAF4"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CAF5"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CAF6" w14:textId="77777777" w:rsidR="002661BA" w:rsidRDefault="00D972BC">
            <w:pPr>
              <w:jc w:val="right"/>
              <w:textAlignment w:val="bottom"/>
            </w:pPr>
            <w:r>
              <w:rPr>
                <w:rFonts w:ascii="Arial" w:eastAsia="宋体" w:hAnsi="Arial" w:cs="Arial"/>
                <w:color w:val="000000"/>
                <w:sz w:val="18"/>
                <w:szCs w:val="18"/>
              </w:rPr>
              <w:t>(4,653)</w:t>
            </w:r>
          </w:p>
        </w:tc>
        <w:tc>
          <w:tcPr>
            <w:tcW w:w="0" w:type="auto"/>
            <w:shd w:val="clear" w:color="auto" w:fill="E2E2E2"/>
            <w:tcMar>
              <w:top w:w="40" w:type="dxa"/>
              <w:left w:w="0" w:type="dxa"/>
              <w:bottom w:w="40" w:type="dxa"/>
              <w:right w:w="20" w:type="dxa"/>
            </w:tcMar>
            <w:vAlign w:val="bottom"/>
          </w:tcPr>
          <w:p w14:paraId="22CFCAF7" w14:textId="77777777" w:rsidR="002661BA" w:rsidRDefault="002661BA">
            <w:pPr>
              <w:jc w:val="right"/>
              <w:rPr>
                <w:rFonts w:ascii="宋体"/>
              </w:rPr>
            </w:pPr>
          </w:p>
        </w:tc>
      </w:tr>
      <w:tr w:rsidR="002661BA" w14:paraId="22CFCB01" w14:textId="77777777">
        <w:tc>
          <w:tcPr>
            <w:tcW w:w="0" w:type="auto"/>
            <w:gridSpan w:val="3"/>
            <w:shd w:val="clear" w:color="auto" w:fill="FFFFFF"/>
            <w:tcMar>
              <w:top w:w="40" w:type="dxa"/>
              <w:left w:w="245" w:type="dxa"/>
              <w:bottom w:w="40" w:type="dxa"/>
              <w:right w:w="20" w:type="dxa"/>
            </w:tcMar>
            <w:vAlign w:val="bottom"/>
          </w:tcPr>
          <w:p w14:paraId="22CFCAF9" w14:textId="77777777" w:rsidR="002661BA" w:rsidRDefault="00D972BC">
            <w:pPr>
              <w:textAlignment w:val="bottom"/>
            </w:pPr>
            <w:r>
              <w:rPr>
                <w:rFonts w:ascii="Arial" w:eastAsia="宋体" w:hAnsi="Arial" w:cs="Arial"/>
                <w:color w:val="000000"/>
                <w:sz w:val="18"/>
                <w:szCs w:val="18"/>
              </w:rPr>
              <w:t>Property and 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AFA"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AFB" w14:textId="77777777" w:rsidR="002661BA" w:rsidRDefault="00D972BC">
            <w:pPr>
              <w:jc w:val="right"/>
              <w:textAlignment w:val="bottom"/>
            </w:pPr>
            <w:r>
              <w:rPr>
                <w:rFonts w:ascii="Arial" w:eastAsia="宋体" w:hAnsi="Arial" w:cs="Arial"/>
                <w:color w:val="000000"/>
                <w:sz w:val="18"/>
                <w:szCs w:val="18"/>
              </w:rPr>
              <w:t>1,236 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AFC"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CAFD"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AFE"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AFF" w14:textId="77777777" w:rsidR="002661BA" w:rsidRDefault="00D972BC">
            <w:pPr>
              <w:jc w:val="right"/>
              <w:textAlignment w:val="bottom"/>
            </w:pPr>
            <w:r>
              <w:rPr>
                <w:rFonts w:ascii="Arial" w:eastAsia="宋体" w:hAnsi="Arial" w:cs="Arial"/>
                <w:color w:val="000000"/>
                <w:sz w:val="18"/>
                <w:szCs w:val="18"/>
              </w:rPr>
              <w:t>1,292 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B00" w14:textId="77777777" w:rsidR="002661BA" w:rsidRDefault="002661BA">
            <w:pPr>
              <w:jc w:val="right"/>
              <w:rPr>
                <w:rFonts w:ascii="宋体"/>
              </w:rPr>
            </w:pPr>
          </w:p>
        </w:tc>
      </w:tr>
    </w:tbl>
    <w:p w14:paraId="22CFCB02" w14:textId="77777777" w:rsidR="002661BA" w:rsidRDefault="002661BA">
      <w:pPr>
        <w:ind w:firstLine="540"/>
        <w:jc w:val="both"/>
      </w:pPr>
    </w:p>
    <w:p w14:paraId="22CFCB03" w14:textId="77777777" w:rsidR="002661BA" w:rsidRDefault="00D972BC">
      <w:pPr>
        <w:ind w:firstLine="540"/>
        <w:jc w:val="both"/>
      </w:pPr>
      <w:r>
        <w:rPr>
          <w:rFonts w:ascii="Arial" w:eastAsia="宋体" w:hAnsi="Arial" w:cs="Arial"/>
          <w:color w:val="000000"/>
          <w:sz w:val="20"/>
          <w:szCs w:val="20"/>
        </w:rPr>
        <w:t xml:space="preserve">Total depreciation expense on our property and equipment for the years ended December 31, 2021, 2020 and 2019 totaled $485 million, $560 million and $572 million, respectively. </w:t>
      </w:r>
    </w:p>
    <w:p w14:paraId="22CFCB04" w14:textId="77777777" w:rsidR="002661BA" w:rsidRDefault="002661BA">
      <w:pPr>
        <w:ind w:firstLine="540"/>
        <w:jc w:val="both"/>
      </w:pPr>
    </w:p>
    <w:p w14:paraId="22CFCB05" w14:textId="77777777" w:rsidR="002661BA" w:rsidRDefault="00D972BC">
      <w:pPr>
        <w:jc w:val="both"/>
      </w:pPr>
      <w:r>
        <w:rPr>
          <w:rFonts w:ascii="Arial" w:eastAsia="宋体" w:hAnsi="Arial" w:cs="Arial"/>
          <w:b/>
          <w:bCs/>
          <w:i/>
          <w:iCs/>
          <w:color w:val="000000"/>
          <w:sz w:val="20"/>
          <w:szCs w:val="20"/>
        </w:rPr>
        <w:t>Accrued Expenses and Other Current Liabilities</w:t>
      </w:r>
    </w:p>
    <w:tbl>
      <w:tblPr>
        <w:tblW w:w="5000" w:type="pct"/>
        <w:tblCellMar>
          <w:top w:w="15" w:type="dxa"/>
          <w:left w:w="15" w:type="dxa"/>
          <w:bottom w:w="15" w:type="dxa"/>
          <w:right w:w="15" w:type="dxa"/>
        </w:tblCellMar>
        <w:tblLook w:val="04A0" w:firstRow="1" w:lastRow="0" w:firstColumn="1" w:lastColumn="0" w:noHBand="0" w:noVBand="1"/>
      </w:tblPr>
      <w:tblGrid>
        <w:gridCol w:w="37"/>
        <w:gridCol w:w="6013"/>
        <w:gridCol w:w="36"/>
        <w:gridCol w:w="121"/>
        <w:gridCol w:w="913"/>
        <w:gridCol w:w="36"/>
        <w:gridCol w:w="36"/>
        <w:gridCol w:w="36"/>
        <w:gridCol w:w="36"/>
        <w:gridCol w:w="121"/>
        <w:gridCol w:w="915"/>
        <w:gridCol w:w="36"/>
      </w:tblGrid>
      <w:tr w:rsidR="002661BA" w14:paraId="22CFCB12" w14:textId="77777777">
        <w:tc>
          <w:tcPr>
            <w:tcW w:w="50" w:type="pct"/>
            <w:shd w:val="clear" w:color="auto" w:fill="auto"/>
            <w:vAlign w:val="bottom"/>
          </w:tcPr>
          <w:p w14:paraId="22CFCB06" w14:textId="77777777" w:rsidR="002661BA" w:rsidRDefault="002661BA">
            <w:pPr>
              <w:rPr>
                <w:rFonts w:ascii="宋体"/>
              </w:rPr>
            </w:pPr>
          </w:p>
        </w:tc>
        <w:tc>
          <w:tcPr>
            <w:tcW w:w="3643" w:type="pct"/>
            <w:shd w:val="clear" w:color="auto" w:fill="auto"/>
            <w:vAlign w:val="bottom"/>
          </w:tcPr>
          <w:p w14:paraId="22CFCB07" w14:textId="77777777" w:rsidR="002661BA" w:rsidRDefault="002661BA">
            <w:pPr>
              <w:rPr>
                <w:rFonts w:ascii="宋体"/>
              </w:rPr>
            </w:pPr>
          </w:p>
        </w:tc>
        <w:tc>
          <w:tcPr>
            <w:tcW w:w="5" w:type="pct"/>
            <w:shd w:val="clear" w:color="auto" w:fill="auto"/>
            <w:vAlign w:val="bottom"/>
          </w:tcPr>
          <w:p w14:paraId="22CFCB08" w14:textId="77777777" w:rsidR="002661BA" w:rsidRDefault="002661BA">
            <w:pPr>
              <w:rPr>
                <w:rFonts w:ascii="宋体"/>
              </w:rPr>
            </w:pPr>
          </w:p>
        </w:tc>
        <w:tc>
          <w:tcPr>
            <w:tcW w:w="50" w:type="pct"/>
            <w:shd w:val="clear" w:color="auto" w:fill="auto"/>
            <w:vAlign w:val="bottom"/>
          </w:tcPr>
          <w:p w14:paraId="22CFCB09" w14:textId="77777777" w:rsidR="002661BA" w:rsidRDefault="002661BA">
            <w:pPr>
              <w:rPr>
                <w:rFonts w:ascii="宋体"/>
              </w:rPr>
            </w:pPr>
          </w:p>
        </w:tc>
        <w:tc>
          <w:tcPr>
            <w:tcW w:w="580" w:type="pct"/>
            <w:shd w:val="clear" w:color="auto" w:fill="auto"/>
            <w:vAlign w:val="bottom"/>
          </w:tcPr>
          <w:p w14:paraId="22CFCB0A" w14:textId="77777777" w:rsidR="002661BA" w:rsidRDefault="002661BA">
            <w:pPr>
              <w:rPr>
                <w:rFonts w:ascii="宋体"/>
              </w:rPr>
            </w:pPr>
          </w:p>
        </w:tc>
        <w:tc>
          <w:tcPr>
            <w:tcW w:w="5" w:type="pct"/>
            <w:shd w:val="clear" w:color="auto" w:fill="auto"/>
            <w:vAlign w:val="bottom"/>
          </w:tcPr>
          <w:p w14:paraId="22CFCB0B" w14:textId="77777777" w:rsidR="002661BA" w:rsidRDefault="002661BA">
            <w:pPr>
              <w:rPr>
                <w:rFonts w:ascii="宋体"/>
              </w:rPr>
            </w:pPr>
          </w:p>
        </w:tc>
        <w:tc>
          <w:tcPr>
            <w:tcW w:w="5" w:type="pct"/>
            <w:shd w:val="clear" w:color="auto" w:fill="auto"/>
            <w:vAlign w:val="bottom"/>
          </w:tcPr>
          <w:p w14:paraId="22CFCB0C" w14:textId="77777777" w:rsidR="002661BA" w:rsidRDefault="002661BA">
            <w:pPr>
              <w:rPr>
                <w:rFonts w:ascii="宋体"/>
              </w:rPr>
            </w:pPr>
          </w:p>
        </w:tc>
        <w:tc>
          <w:tcPr>
            <w:tcW w:w="19" w:type="pct"/>
            <w:shd w:val="clear" w:color="auto" w:fill="auto"/>
            <w:vAlign w:val="bottom"/>
          </w:tcPr>
          <w:p w14:paraId="22CFCB0D" w14:textId="77777777" w:rsidR="002661BA" w:rsidRDefault="002661BA">
            <w:pPr>
              <w:rPr>
                <w:rFonts w:ascii="宋体"/>
              </w:rPr>
            </w:pPr>
          </w:p>
        </w:tc>
        <w:tc>
          <w:tcPr>
            <w:tcW w:w="5" w:type="pct"/>
            <w:shd w:val="clear" w:color="auto" w:fill="auto"/>
            <w:vAlign w:val="bottom"/>
          </w:tcPr>
          <w:p w14:paraId="22CFCB0E" w14:textId="77777777" w:rsidR="002661BA" w:rsidRDefault="002661BA">
            <w:pPr>
              <w:rPr>
                <w:rFonts w:ascii="宋体"/>
              </w:rPr>
            </w:pPr>
          </w:p>
        </w:tc>
        <w:tc>
          <w:tcPr>
            <w:tcW w:w="50" w:type="pct"/>
            <w:shd w:val="clear" w:color="auto" w:fill="auto"/>
            <w:vAlign w:val="bottom"/>
          </w:tcPr>
          <w:p w14:paraId="22CFCB0F" w14:textId="77777777" w:rsidR="002661BA" w:rsidRDefault="002661BA">
            <w:pPr>
              <w:rPr>
                <w:rFonts w:ascii="宋体"/>
              </w:rPr>
            </w:pPr>
          </w:p>
        </w:tc>
        <w:tc>
          <w:tcPr>
            <w:tcW w:w="581" w:type="pct"/>
            <w:shd w:val="clear" w:color="auto" w:fill="auto"/>
            <w:vAlign w:val="bottom"/>
          </w:tcPr>
          <w:p w14:paraId="22CFCB10" w14:textId="77777777" w:rsidR="002661BA" w:rsidRDefault="002661BA">
            <w:pPr>
              <w:rPr>
                <w:rFonts w:ascii="宋体"/>
              </w:rPr>
            </w:pPr>
          </w:p>
        </w:tc>
        <w:tc>
          <w:tcPr>
            <w:tcW w:w="5" w:type="pct"/>
            <w:shd w:val="clear" w:color="auto" w:fill="auto"/>
            <w:vAlign w:val="bottom"/>
          </w:tcPr>
          <w:p w14:paraId="22CFCB11" w14:textId="77777777" w:rsidR="002661BA" w:rsidRDefault="002661BA">
            <w:pPr>
              <w:rPr>
                <w:rFonts w:ascii="宋体"/>
              </w:rPr>
            </w:pPr>
          </w:p>
        </w:tc>
      </w:tr>
      <w:tr w:rsidR="002661BA" w14:paraId="22CFCB15" w14:textId="77777777">
        <w:trPr>
          <w:trHeight w:val="240"/>
        </w:trPr>
        <w:tc>
          <w:tcPr>
            <w:tcW w:w="0" w:type="auto"/>
            <w:gridSpan w:val="3"/>
            <w:vMerge w:val="restart"/>
            <w:shd w:val="clear" w:color="auto" w:fill="auto"/>
            <w:tcMar>
              <w:top w:w="40" w:type="dxa"/>
              <w:left w:w="20" w:type="dxa"/>
              <w:bottom w:w="40" w:type="dxa"/>
              <w:right w:w="20" w:type="dxa"/>
            </w:tcMar>
            <w:vAlign w:val="bottom"/>
          </w:tcPr>
          <w:p w14:paraId="22CFCB13" w14:textId="77777777" w:rsidR="002661BA" w:rsidRDefault="00D972BC">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22CFCB14" w14:textId="77777777" w:rsidR="002661BA" w:rsidRDefault="00D972BC">
            <w:pPr>
              <w:jc w:val="center"/>
              <w:textAlignment w:val="bottom"/>
            </w:pPr>
            <w:r>
              <w:rPr>
                <w:rFonts w:ascii="Arial" w:eastAsia="宋体" w:hAnsi="Arial" w:cs="Arial"/>
                <w:b/>
                <w:bCs/>
                <w:color w:val="000000"/>
                <w:sz w:val="17"/>
                <w:szCs w:val="17"/>
              </w:rPr>
              <w:t>December 31,</w:t>
            </w:r>
          </w:p>
        </w:tc>
      </w:tr>
      <w:tr w:rsidR="002661BA" w14:paraId="22CFCB1A" w14:textId="77777777">
        <w:trPr>
          <w:trHeight w:val="240"/>
        </w:trPr>
        <w:tc>
          <w:tcPr>
            <w:tcW w:w="0" w:type="auto"/>
            <w:gridSpan w:val="3"/>
            <w:vMerge/>
            <w:shd w:val="clear" w:color="auto" w:fill="auto"/>
            <w:tcMar>
              <w:top w:w="40" w:type="dxa"/>
              <w:left w:w="20" w:type="dxa"/>
              <w:bottom w:w="40" w:type="dxa"/>
              <w:right w:w="20" w:type="dxa"/>
            </w:tcMar>
            <w:vAlign w:val="bottom"/>
          </w:tcPr>
          <w:p w14:paraId="22CFCB16"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B17"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B18"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CB19" w14:textId="77777777" w:rsidR="002661BA" w:rsidRDefault="00D972BC">
            <w:pPr>
              <w:jc w:val="center"/>
              <w:textAlignment w:val="bottom"/>
            </w:pPr>
            <w:r>
              <w:rPr>
                <w:rFonts w:ascii="Arial" w:eastAsia="宋体" w:hAnsi="Arial" w:cs="Arial"/>
                <w:b/>
                <w:bCs/>
                <w:color w:val="000000"/>
                <w:sz w:val="17"/>
                <w:szCs w:val="17"/>
              </w:rPr>
              <w:t>2020</w:t>
            </w:r>
          </w:p>
        </w:tc>
      </w:tr>
      <w:tr w:rsidR="002661BA" w14:paraId="22CFCB1D" w14:textId="77777777">
        <w:trPr>
          <w:trHeight w:val="240"/>
        </w:trPr>
        <w:tc>
          <w:tcPr>
            <w:tcW w:w="0" w:type="auto"/>
            <w:gridSpan w:val="3"/>
            <w:vMerge/>
            <w:shd w:val="clear" w:color="auto" w:fill="auto"/>
            <w:tcMar>
              <w:top w:w="40" w:type="dxa"/>
              <w:left w:w="20" w:type="dxa"/>
              <w:bottom w:w="40" w:type="dxa"/>
              <w:right w:w="20" w:type="dxa"/>
            </w:tcMar>
            <w:vAlign w:val="bottom"/>
          </w:tcPr>
          <w:p w14:paraId="22CFCB1B" w14:textId="77777777" w:rsidR="002661BA" w:rsidRDefault="002661B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2CFCB1C" w14:textId="77777777" w:rsidR="002661BA" w:rsidRDefault="00D972BC">
            <w:pPr>
              <w:jc w:val="center"/>
              <w:textAlignment w:val="bottom"/>
            </w:pPr>
            <w:r>
              <w:rPr>
                <w:rFonts w:ascii="Arial" w:eastAsia="宋体" w:hAnsi="Arial" w:cs="Arial"/>
                <w:b/>
                <w:bCs/>
                <w:color w:val="000000"/>
                <w:sz w:val="17"/>
                <w:szCs w:val="17"/>
              </w:rPr>
              <w:t>(In millions)</w:t>
            </w:r>
          </w:p>
        </w:tc>
      </w:tr>
      <w:tr w:rsidR="002661BA" w14:paraId="22CFCB26" w14:textId="77777777">
        <w:tc>
          <w:tcPr>
            <w:tcW w:w="0" w:type="auto"/>
            <w:gridSpan w:val="3"/>
            <w:shd w:val="clear" w:color="auto" w:fill="E2E2E2"/>
            <w:tcMar>
              <w:top w:w="40" w:type="dxa"/>
              <w:left w:w="20" w:type="dxa"/>
              <w:bottom w:w="40" w:type="dxa"/>
              <w:right w:w="20" w:type="dxa"/>
            </w:tcMar>
            <w:vAlign w:val="bottom"/>
          </w:tcPr>
          <w:p w14:paraId="22CFCB1E" w14:textId="77777777" w:rsidR="002661BA" w:rsidRDefault="00D972BC">
            <w:pPr>
              <w:textAlignment w:val="bottom"/>
            </w:pPr>
            <w:r>
              <w:rPr>
                <w:rFonts w:ascii="Arial" w:eastAsia="宋体" w:hAnsi="Arial" w:cs="Arial"/>
                <w:color w:val="000000"/>
                <w:sz w:val="18"/>
                <w:szCs w:val="18"/>
              </w:rPr>
              <w:t>Compensation and related benefits</w:t>
            </w:r>
          </w:p>
        </w:tc>
        <w:tc>
          <w:tcPr>
            <w:tcW w:w="0" w:type="auto"/>
            <w:shd w:val="clear" w:color="auto" w:fill="E2E2E2"/>
            <w:tcMar>
              <w:top w:w="40" w:type="dxa"/>
              <w:left w:w="20" w:type="dxa"/>
              <w:bottom w:w="40" w:type="dxa"/>
              <w:right w:w="0" w:type="dxa"/>
            </w:tcMar>
            <w:vAlign w:val="bottom"/>
          </w:tcPr>
          <w:p w14:paraId="22CFCB1F"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CB20" w14:textId="77777777" w:rsidR="002661BA" w:rsidRDefault="00D972BC">
            <w:pPr>
              <w:jc w:val="right"/>
              <w:textAlignment w:val="bottom"/>
            </w:pPr>
            <w:r>
              <w:rPr>
                <w:rFonts w:ascii="Arial" w:eastAsia="宋体" w:hAnsi="Arial" w:cs="Arial"/>
                <w:color w:val="000000"/>
                <w:sz w:val="18"/>
                <w:szCs w:val="18"/>
              </w:rPr>
              <w:t>517 </w:t>
            </w:r>
          </w:p>
        </w:tc>
        <w:tc>
          <w:tcPr>
            <w:tcW w:w="0" w:type="auto"/>
            <w:shd w:val="clear" w:color="auto" w:fill="E2E2E2"/>
            <w:tcMar>
              <w:top w:w="40" w:type="dxa"/>
              <w:left w:w="0" w:type="dxa"/>
              <w:bottom w:w="40" w:type="dxa"/>
              <w:right w:w="20" w:type="dxa"/>
            </w:tcMar>
            <w:vAlign w:val="bottom"/>
          </w:tcPr>
          <w:p w14:paraId="22CFCB21"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B22"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CB2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CB24" w14:textId="77777777" w:rsidR="002661BA" w:rsidRDefault="00D972BC">
            <w:pPr>
              <w:jc w:val="right"/>
              <w:textAlignment w:val="bottom"/>
            </w:pPr>
            <w:r>
              <w:rPr>
                <w:rFonts w:ascii="Arial" w:eastAsia="宋体" w:hAnsi="Arial" w:cs="Arial"/>
                <w:color w:val="000000"/>
                <w:sz w:val="18"/>
                <w:szCs w:val="18"/>
              </w:rPr>
              <w:t>523 </w:t>
            </w:r>
          </w:p>
        </w:tc>
        <w:tc>
          <w:tcPr>
            <w:tcW w:w="0" w:type="auto"/>
            <w:shd w:val="clear" w:color="auto" w:fill="E2E2E2"/>
            <w:tcMar>
              <w:top w:w="40" w:type="dxa"/>
              <w:left w:w="0" w:type="dxa"/>
              <w:bottom w:w="40" w:type="dxa"/>
              <w:right w:w="20" w:type="dxa"/>
            </w:tcMar>
            <w:vAlign w:val="bottom"/>
          </w:tcPr>
          <w:p w14:paraId="22CFCB25" w14:textId="77777777" w:rsidR="002661BA" w:rsidRDefault="002661BA">
            <w:pPr>
              <w:jc w:val="right"/>
              <w:rPr>
                <w:rFonts w:ascii="宋体"/>
              </w:rPr>
            </w:pPr>
          </w:p>
        </w:tc>
      </w:tr>
      <w:tr w:rsidR="002661BA" w14:paraId="22CFCB2D" w14:textId="77777777">
        <w:tc>
          <w:tcPr>
            <w:tcW w:w="0" w:type="auto"/>
            <w:gridSpan w:val="3"/>
            <w:shd w:val="clear" w:color="auto" w:fill="FFFFFF"/>
            <w:tcMar>
              <w:top w:w="40" w:type="dxa"/>
              <w:left w:w="20" w:type="dxa"/>
              <w:bottom w:w="40" w:type="dxa"/>
              <w:right w:w="20" w:type="dxa"/>
            </w:tcMar>
            <w:vAlign w:val="bottom"/>
          </w:tcPr>
          <w:p w14:paraId="22CFCB27" w14:textId="77777777" w:rsidR="002661BA" w:rsidRDefault="00D972BC">
            <w:pPr>
              <w:textAlignment w:val="bottom"/>
            </w:pPr>
            <w:r>
              <w:rPr>
                <w:rFonts w:ascii="Arial" w:eastAsia="宋体" w:hAnsi="Arial" w:cs="Arial"/>
                <w:color w:val="000000"/>
                <w:sz w:val="18"/>
                <w:szCs w:val="18"/>
              </w:rPr>
              <w:t>Sales and use tax and VAT accruals</w:t>
            </w:r>
          </w:p>
        </w:tc>
        <w:tc>
          <w:tcPr>
            <w:tcW w:w="0" w:type="auto"/>
            <w:gridSpan w:val="2"/>
            <w:shd w:val="clear" w:color="auto" w:fill="FFFFFF"/>
            <w:tcMar>
              <w:top w:w="40" w:type="dxa"/>
              <w:left w:w="20" w:type="dxa"/>
              <w:bottom w:w="40" w:type="dxa"/>
              <w:right w:w="0" w:type="dxa"/>
            </w:tcMar>
            <w:vAlign w:val="bottom"/>
          </w:tcPr>
          <w:p w14:paraId="22CFCB28" w14:textId="77777777" w:rsidR="002661BA" w:rsidRDefault="00D972BC">
            <w:pPr>
              <w:jc w:val="right"/>
              <w:textAlignment w:val="bottom"/>
            </w:pPr>
            <w:r>
              <w:rPr>
                <w:rFonts w:ascii="Arial" w:eastAsia="宋体" w:hAnsi="Arial" w:cs="Arial"/>
                <w:color w:val="000000"/>
                <w:sz w:val="18"/>
                <w:szCs w:val="18"/>
              </w:rPr>
              <w:t>396 </w:t>
            </w:r>
          </w:p>
        </w:tc>
        <w:tc>
          <w:tcPr>
            <w:tcW w:w="0" w:type="auto"/>
            <w:shd w:val="clear" w:color="auto" w:fill="FFFFFF"/>
            <w:tcMar>
              <w:top w:w="40" w:type="dxa"/>
              <w:left w:w="0" w:type="dxa"/>
              <w:bottom w:w="40" w:type="dxa"/>
              <w:right w:w="20" w:type="dxa"/>
            </w:tcMar>
            <w:vAlign w:val="bottom"/>
          </w:tcPr>
          <w:p w14:paraId="22CFCB2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B2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B2B" w14:textId="77777777" w:rsidR="002661BA" w:rsidRDefault="00D972BC">
            <w:pPr>
              <w:jc w:val="right"/>
              <w:textAlignment w:val="bottom"/>
            </w:pPr>
            <w:r>
              <w:rPr>
                <w:rFonts w:ascii="Arial" w:eastAsia="宋体" w:hAnsi="Arial" w:cs="Arial"/>
                <w:color w:val="000000"/>
                <w:sz w:val="18"/>
                <w:szCs w:val="18"/>
              </w:rPr>
              <w:t>323 </w:t>
            </w:r>
          </w:p>
        </w:tc>
        <w:tc>
          <w:tcPr>
            <w:tcW w:w="0" w:type="auto"/>
            <w:shd w:val="clear" w:color="auto" w:fill="FFFFFF"/>
            <w:tcMar>
              <w:top w:w="40" w:type="dxa"/>
              <w:left w:w="0" w:type="dxa"/>
              <w:bottom w:w="40" w:type="dxa"/>
              <w:right w:w="20" w:type="dxa"/>
            </w:tcMar>
            <w:vAlign w:val="bottom"/>
          </w:tcPr>
          <w:p w14:paraId="22CFCB2C" w14:textId="77777777" w:rsidR="002661BA" w:rsidRDefault="002661BA">
            <w:pPr>
              <w:jc w:val="right"/>
              <w:rPr>
                <w:rFonts w:ascii="宋体"/>
              </w:rPr>
            </w:pPr>
          </w:p>
        </w:tc>
      </w:tr>
      <w:tr w:rsidR="002661BA" w14:paraId="22CFCB34" w14:textId="77777777">
        <w:tc>
          <w:tcPr>
            <w:tcW w:w="0" w:type="auto"/>
            <w:gridSpan w:val="3"/>
            <w:shd w:val="clear" w:color="auto" w:fill="E2E2E2"/>
            <w:tcMar>
              <w:top w:w="40" w:type="dxa"/>
              <w:left w:w="20" w:type="dxa"/>
              <w:bottom w:w="40" w:type="dxa"/>
              <w:right w:w="20" w:type="dxa"/>
            </w:tcMar>
            <w:vAlign w:val="bottom"/>
          </w:tcPr>
          <w:p w14:paraId="22CFCB2E" w14:textId="77777777" w:rsidR="002661BA" w:rsidRDefault="00D972BC">
            <w:pPr>
              <w:textAlignment w:val="bottom"/>
            </w:pPr>
            <w:r>
              <w:rPr>
                <w:rFonts w:ascii="Arial" w:eastAsia="宋体" w:hAnsi="Arial" w:cs="Arial"/>
                <w:color w:val="000000"/>
                <w:sz w:val="18"/>
                <w:szCs w:val="18"/>
              </w:rPr>
              <w:t>Advertising accruals</w:t>
            </w:r>
          </w:p>
        </w:tc>
        <w:tc>
          <w:tcPr>
            <w:tcW w:w="0" w:type="auto"/>
            <w:gridSpan w:val="2"/>
            <w:shd w:val="clear" w:color="auto" w:fill="E2E2E2"/>
            <w:tcMar>
              <w:top w:w="40" w:type="dxa"/>
              <w:left w:w="20" w:type="dxa"/>
              <w:bottom w:w="40" w:type="dxa"/>
              <w:right w:w="0" w:type="dxa"/>
            </w:tcMar>
            <w:vAlign w:val="bottom"/>
          </w:tcPr>
          <w:p w14:paraId="22CFCB2F" w14:textId="77777777" w:rsidR="002661BA" w:rsidRDefault="00D972BC">
            <w:pPr>
              <w:jc w:val="right"/>
              <w:textAlignment w:val="bottom"/>
            </w:pPr>
            <w:r>
              <w:rPr>
                <w:rFonts w:ascii="Arial" w:eastAsia="宋体" w:hAnsi="Arial" w:cs="Arial"/>
                <w:color w:val="000000"/>
                <w:sz w:val="18"/>
                <w:szCs w:val="18"/>
              </w:rPr>
              <w:t>172 </w:t>
            </w:r>
          </w:p>
        </w:tc>
        <w:tc>
          <w:tcPr>
            <w:tcW w:w="0" w:type="auto"/>
            <w:shd w:val="clear" w:color="auto" w:fill="E2E2E2"/>
            <w:tcMar>
              <w:top w:w="40" w:type="dxa"/>
              <w:left w:w="0" w:type="dxa"/>
              <w:bottom w:w="40" w:type="dxa"/>
              <w:right w:w="20" w:type="dxa"/>
            </w:tcMar>
            <w:vAlign w:val="bottom"/>
          </w:tcPr>
          <w:p w14:paraId="22CFCB30"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B31"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B32" w14:textId="77777777" w:rsidR="002661BA" w:rsidRDefault="00D972BC">
            <w:pPr>
              <w:jc w:val="right"/>
              <w:textAlignment w:val="bottom"/>
            </w:pPr>
            <w:r>
              <w:rPr>
                <w:rFonts w:ascii="Arial" w:eastAsia="宋体" w:hAnsi="Arial" w:cs="Arial"/>
                <w:color w:val="000000"/>
                <w:sz w:val="18"/>
                <w:szCs w:val="18"/>
              </w:rPr>
              <w:t>207 </w:t>
            </w:r>
          </w:p>
        </w:tc>
        <w:tc>
          <w:tcPr>
            <w:tcW w:w="0" w:type="auto"/>
            <w:shd w:val="clear" w:color="auto" w:fill="E2E2E2"/>
            <w:tcMar>
              <w:top w:w="40" w:type="dxa"/>
              <w:left w:w="0" w:type="dxa"/>
              <w:bottom w:w="40" w:type="dxa"/>
              <w:right w:w="20" w:type="dxa"/>
            </w:tcMar>
            <w:vAlign w:val="bottom"/>
          </w:tcPr>
          <w:p w14:paraId="22CFCB33" w14:textId="77777777" w:rsidR="002661BA" w:rsidRDefault="002661BA">
            <w:pPr>
              <w:jc w:val="right"/>
              <w:rPr>
                <w:rFonts w:ascii="宋体"/>
              </w:rPr>
            </w:pPr>
          </w:p>
        </w:tc>
      </w:tr>
      <w:tr w:rsidR="002661BA" w14:paraId="22CFCB3B" w14:textId="77777777">
        <w:tc>
          <w:tcPr>
            <w:tcW w:w="0" w:type="auto"/>
            <w:gridSpan w:val="3"/>
            <w:shd w:val="clear" w:color="auto" w:fill="FFFFFF"/>
            <w:tcMar>
              <w:top w:w="40" w:type="dxa"/>
              <w:left w:w="20" w:type="dxa"/>
              <w:bottom w:w="40" w:type="dxa"/>
              <w:right w:w="20" w:type="dxa"/>
            </w:tcMar>
            <w:vAlign w:val="bottom"/>
          </w:tcPr>
          <w:p w14:paraId="22CFCB35" w14:textId="77777777" w:rsidR="002661BA" w:rsidRDefault="00D972BC">
            <w:pPr>
              <w:textAlignment w:val="bottom"/>
            </w:pPr>
            <w:r>
              <w:rPr>
                <w:rFonts w:ascii="Arial" w:eastAsia="宋体" w:hAnsi="Arial" w:cs="Arial"/>
                <w:color w:val="000000"/>
                <w:sz w:val="18"/>
                <w:szCs w:val="18"/>
              </w:rPr>
              <w:t>Operating lease liabilities</w:t>
            </w:r>
          </w:p>
        </w:tc>
        <w:tc>
          <w:tcPr>
            <w:tcW w:w="0" w:type="auto"/>
            <w:gridSpan w:val="2"/>
            <w:shd w:val="clear" w:color="auto" w:fill="FFFFFF"/>
            <w:tcMar>
              <w:top w:w="40" w:type="dxa"/>
              <w:left w:w="20" w:type="dxa"/>
              <w:bottom w:w="40" w:type="dxa"/>
              <w:right w:w="0" w:type="dxa"/>
            </w:tcMar>
            <w:vAlign w:val="bottom"/>
          </w:tcPr>
          <w:p w14:paraId="22CFCB36" w14:textId="77777777" w:rsidR="002661BA" w:rsidRDefault="00D972BC">
            <w:pPr>
              <w:jc w:val="right"/>
              <w:textAlignment w:val="bottom"/>
            </w:pPr>
            <w:r>
              <w:rPr>
                <w:rFonts w:ascii="Arial" w:eastAsia="宋体" w:hAnsi="Arial" w:cs="Arial"/>
                <w:color w:val="000000"/>
                <w:sz w:val="18"/>
                <w:szCs w:val="18"/>
              </w:rPr>
              <w:t>150 </w:t>
            </w:r>
          </w:p>
        </w:tc>
        <w:tc>
          <w:tcPr>
            <w:tcW w:w="0" w:type="auto"/>
            <w:shd w:val="clear" w:color="auto" w:fill="FFFFFF"/>
            <w:tcMar>
              <w:top w:w="40" w:type="dxa"/>
              <w:left w:w="0" w:type="dxa"/>
              <w:bottom w:w="40" w:type="dxa"/>
              <w:right w:w="20" w:type="dxa"/>
            </w:tcMar>
            <w:vAlign w:val="bottom"/>
          </w:tcPr>
          <w:p w14:paraId="22CFCB3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B38"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B39" w14:textId="77777777" w:rsidR="002661BA" w:rsidRDefault="00D972BC">
            <w:pPr>
              <w:jc w:val="right"/>
              <w:textAlignment w:val="bottom"/>
            </w:pPr>
            <w:r>
              <w:rPr>
                <w:rFonts w:ascii="Arial" w:eastAsia="宋体" w:hAnsi="Arial" w:cs="Arial"/>
                <w:color w:val="000000"/>
                <w:sz w:val="18"/>
                <w:szCs w:val="18"/>
              </w:rPr>
              <w:t>153 </w:t>
            </w:r>
          </w:p>
        </w:tc>
        <w:tc>
          <w:tcPr>
            <w:tcW w:w="0" w:type="auto"/>
            <w:shd w:val="clear" w:color="auto" w:fill="FFFFFF"/>
            <w:tcMar>
              <w:top w:w="40" w:type="dxa"/>
              <w:left w:w="0" w:type="dxa"/>
              <w:bottom w:w="40" w:type="dxa"/>
              <w:right w:w="20" w:type="dxa"/>
            </w:tcMar>
            <w:vAlign w:val="bottom"/>
          </w:tcPr>
          <w:p w14:paraId="22CFCB3A" w14:textId="77777777" w:rsidR="002661BA" w:rsidRDefault="002661BA">
            <w:pPr>
              <w:jc w:val="right"/>
              <w:rPr>
                <w:rFonts w:ascii="宋体"/>
              </w:rPr>
            </w:pPr>
          </w:p>
        </w:tc>
      </w:tr>
      <w:tr w:rsidR="002661BA" w14:paraId="22CFCB42" w14:textId="77777777">
        <w:tc>
          <w:tcPr>
            <w:tcW w:w="0" w:type="auto"/>
            <w:gridSpan w:val="3"/>
            <w:shd w:val="clear" w:color="auto" w:fill="E2E2E2"/>
            <w:tcMar>
              <w:top w:w="40" w:type="dxa"/>
              <w:left w:w="20" w:type="dxa"/>
              <w:bottom w:w="40" w:type="dxa"/>
              <w:right w:w="20" w:type="dxa"/>
            </w:tcMar>
            <w:vAlign w:val="bottom"/>
          </w:tcPr>
          <w:p w14:paraId="22CFCB3C" w14:textId="77777777" w:rsidR="002661BA" w:rsidRDefault="00D972BC">
            <w:pPr>
              <w:textAlignment w:val="bottom"/>
            </w:pPr>
            <w:r>
              <w:rPr>
                <w:rFonts w:ascii="Arial" w:eastAsia="宋体" w:hAnsi="Arial" w:cs="Arial"/>
                <w:color w:val="000000"/>
                <w:sz w:val="18"/>
                <w:szCs w:val="18"/>
              </w:rPr>
              <w:t>Other</w:t>
            </w:r>
          </w:p>
        </w:tc>
        <w:tc>
          <w:tcPr>
            <w:tcW w:w="0" w:type="auto"/>
            <w:gridSpan w:val="2"/>
            <w:shd w:val="clear" w:color="auto" w:fill="E2E2E2"/>
            <w:tcMar>
              <w:top w:w="40" w:type="dxa"/>
              <w:left w:w="20" w:type="dxa"/>
              <w:bottom w:w="40" w:type="dxa"/>
              <w:right w:w="0" w:type="dxa"/>
            </w:tcMar>
            <w:vAlign w:val="bottom"/>
          </w:tcPr>
          <w:p w14:paraId="22CFCB3D" w14:textId="77777777" w:rsidR="002661BA" w:rsidRDefault="00D972BC">
            <w:pPr>
              <w:jc w:val="right"/>
              <w:textAlignment w:val="bottom"/>
            </w:pPr>
            <w:r>
              <w:rPr>
                <w:rFonts w:ascii="Arial" w:eastAsia="宋体" w:hAnsi="Arial" w:cs="Arial"/>
                <w:color w:val="000000"/>
                <w:sz w:val="18"/>
                <w:szCs w:val="18"/>
              </w:rPr>
              <w:t>613 </w:t>
            </w:r>
          </w:p>
        </w:tc>
        <w:tc>
          <w:tcPr>
            <w:tcW w:w="0" w:type="auto"/>
            <w:shd w:val="clear" w:color="auto" w:fill="E2E2E2"/>
            <w:tcMar>
              <w:top w:w="40" w:type="dxa"/>
              <w:left w:w="0" w:type="dxa"/>
              <w:bottom w:w="40" w:type="dxa"/>
              <w:right w:w="20" w:type="dxa"/>
            </w:tcMar>
            <w:vAlign w:val="bottom"/>
          </w:tcPr>
          <w:p w14:paraId="22CFCB3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B3F"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CB40" w14:textId="77777777" w:rsidR="002661BA" w:rsidRDefault="00D972BC">
            <w:pPr>
              <w:jc w:val="right"/>
              <w:textAlignment w:val="bottom"/>
            </w:pPr>
            <w:r>
              <w:rPr>
                <w:rFonts w:ascii="Arial" w:eastAsia="宋体" w:hAnsi="Arial" w:cs="Arial"/>
                <w:color w:val="000000"/>
                <w:sz w:val="18"/>
                <w:szCs w:val="18"/>
              </w:rPr>
              <w:t>561 </w:t>
            </w:r>
          </w:p>
        </w:tc>
        <w:tc>
          <w:tcPr>
            <w:tcW w:w="0" w:type="auto"/>
            <w:shd w:val="clear" w:color="auto" w:fill="E2E2E2"/>
            <w:tcMar>
              <w:top w:w="40" w:type="dxa"/>
              <w:left w:w="0" w:type="dxa"/>
              <w:bottom w:w="40" w:type="dxa"/>
              <w:right w:w="20" w:type="dxa"/>
            </w:tcMar>
            <w:vAlign w:val="bottom"/>
          </w:tcPr>
          <w:p w14:paraId="22CFCB41" w14:textId="77777777" w:rsidR="002661BA" w:rsidRDefault="002661BA">
            <w:pPr>
              <w:jc w:val="right"/>
              <w:rPr>
                <w:rFonts w:ascii="宋体"/>
              </w:rPr>
            </w:pPr>
          </w:p>
        </w:tc>
      </w:tr>
      <w:tr w:rsidR="002661BA" w14:paraId="22CFCB4B" w14:textId="77777777">
        <w:tc>
          <w:tcPr>
            <w:tcW w:w="0" w:type="auto"/>
            <w:gridSpan w:val="3"/>
            <w:shd w:val="clear" w:color="auto" w:fill="FFFFFF"/>
            <w:tcMar>
              <w:top w:w="40" w:type="dxa"/>
              <w:left w:w="245" w:type="dxa"/>
              <w:bottom w:w="40" w:type="dxa"/>
              <w:right w:w="20" w:type="dxa"/>
            </w:tcMar>
            <w:vAlign w:val="bottom"/>
          </w:tcPr>
          <w:p w14:paraId="22CFCB43" w14:textId="77777777" w:rsidR="002661BA" w:rsidRDefault="00D972BC">
            <w:pPr>
              <w:textAlignment w:val="bottom"/>
            </w:pPr>
            <w:r>
              <w:rPr>
                <w:rFonts w:ascii="Arial" w:eastAsia="宋体" w:hAnsi="Arial" w:cs="Arial"/>
                <w:color w:val="000000"/>
                <w:sz w:val="18"/>
                <w:szCs w:val="18"/>
              </w:rPr>
              <w:t xml:space="preserve">Accrued </w:t>
            </w:r>
            <w:r>
              <w:rPr>
                <w:rFonts w:ascii="Arial" w:eastAsia="宋体" w:hAnsi="Arial" w:cs="Arial"/>
                <w:color w:val="000000"/>
                <w:sz w:val="18"/>
                <w:szCs w:val="18"/>
              </w:rPr>
              <w:t>expenses and other current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B4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B45" w14:textId="77777777" w:rsidR="002661BA" w:rsidRDefault="00D972BC">
            <w:pPr>
              <w:jc w:val="right"/>
              <w:textAlignment w:val="bottom"/>
            </w:pPr>
            <w:r>
              <w:rPr>
                <w:rFonts w:ascii="Arial" w:eastAsia="宋体" w:hAnsi="Arial" w:cs="Arial"/>
                <w:color w:val="000000"/>
                <w:sz w:val="18"/>
                <w:szCs w:val="18"/>
              </w:rPr>
              <w:t>1,848 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B4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B47"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B4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B49" w14:textId="77777777" w:rsidR="002661BA" w:rsidRDefault="00D972BC">
            <w:pPr>
              <w:jc w:val="right"/>
              <w:textAlignment w:val="bottom"/>
            </w:pPr>
            <w:r>
              <w:rPr>
                <w:rFonts w:ascii="Arial" w:eastAsia="宋体" w:hAnsi="Arial" w:cs="Arial"/>
                <w:color w:val="000000"/>
                <w:sz w:val="18"/>
                <w:szCs w:val="18"/>
              </w:rPr>
              <w:t>1,767 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B4A" w14:textId="77777777" w:rsidR="002661BA" w:rsidRDefault="002661BA">
            <w:pPr>
              <w:jc w:val="right"/>
              <w:rPr>
                <w:rFonts w:ascii="宋体"/>
              </w:rPr>
            </w:pPr>
          </w:p>
        </w:tc>
      </w:tr>
    </w:tbl>
    <w:p w14:paraId="22CFCB4C" w14:textId="77777777" w:rsidR="002661BA" w:rsidRDefault="002661BA">
      <w:pPr>
        <w:ind w:firstLine="540"/>
        <w:jc w:val="both"/>
      </w:pPr>
    </w:p>
    <w:p w14:paraId="22CFCB4D" w14:textId="77777777" w:rsidR="002661BA" w:rsidRDefault="00D972BC">
      <w:pPr>
        <w:jc w:val="center"/>
      </w:pPr>
      <w:r>
        <w:rPr>
          <w:rFonts w:ascii="Arial" w:eastAsia="宋体" w:hAnsi="Arial" w:cs="Arial"/>
          <w:color w:val="000000"/>
          <w:sz w:val="18"/>
          <w:szCs w:val="18"/>
        </w:rPr>
        <w:t>95</w:t>
      </w:r>
    </w:p>
    <w:p w14:paraId="22CFCB4E" w14:textId="77777777" w:rsidR="002661BA" w:rsidRDefault="00D972BC">
      <w:r>
        <w:pict w14:anchorId="22CFE510">
          <v:rect id="_x0000_i1119" style="width:415.3pt;height:1.5pt" o:hralign="center" o:hrstd="t" o:hr="t" fillcolor="#a0a0a0" stroked="f"/>
        </w:pict>
      </w:r>
    </w:p>
    <w:p w14:paraId="22CFCB4F" w14:textId="77777777" w:rsidR="002661BA" w:rsidRDefault="00D972BC">
      <w:hyperlink r:id="rId130" w:anchor="id0d7a71b05ce452ea9fdb54f3cb359c7_7" w:history="1">
        <w:r>
          <w:rPr>
            <w:rStyle w:val="a5"/>
            <w:rFonts w:ascii="Arial" w:eastAsia="宋体" w:hAnsi="Arial" w:cs="Arial"/>
            <w:sz w:val="18"/>
            <w:szCs w:val="18"/>
          </w:rPr>
          <w:t>Table of Contents</w:t>
        </w:r>
      </w:hyperlink>
    </w:p>
    <w:p w14:paraId="22CFCB50" w14:textId="77777777" w:rsidR="002661BA" w:rsidRDefault="00D972BC">
      <w:pPr>
        <w:jc w:val="center"/>
      </w:pPr>
      <w:r>
        <w:rPr>
          <w:rFonts w:ascii="Arial" w:eastAsia="宋体" w:hAnsi="Arial" w:cs="Arial"/>
          <w:b/>
          <w:bCs/>
          <w:color w:val="000000"/>
          <w:sz w:val="20"/>
          <w:szCs w:val="20"/>
        </w:rPr>
        <w:t>eBay Inc.</w:t>
      </w:r>
    </w:p>
    <w:p w14:paraId="22CFCB51" w14:textId="77777777" w:rsidR="002661BA" w:rsidRDefault="00D972BC">
      <w:pPr>
        <w:spacing w:before="80"/>
        <w:jc w:val="center"/>
      </w:pPr>
      <w:r>
        <w:rPr>
          <w:rFonts w:ascii="Arial" w:eastAsia="宋体" w:hAnsi="Arial" w:cs="Arial"/>
          <w:b/>
          <w:bCs/>
          <w:color w:val="000000"/>
          <w:sz w:val="20"/>
          <w:szCs w:val="20"/>
        </w:rPr>
        <w:t xml:space="preserve">NOTES TO CONSOLIDATED FINANCIAL </w:t>
      </w:r>
      <w:r>
        <w:rPr>
          <w:rFonts w:ascii="Arial" w:eastAsia="宋体" w:hAnsi="Arial" w:cs="Arial"/>
          <w:b/>
          <w:bCs/>
          <w:color w:val="000000"/>
          <w:sz w:val="20"/>
          <w:szCs w:val="20"/>
        </w:rPr>
        <w:t>STATEMENTS—(Continued)</w:t>
      </w:r>
    </w:p>
    <w:p w14:paraId="22CFCB52" w14:textId="77777777" w:rsidR="002661BA" w:rsidRDefault="00D972BC">
      <w:pPr>
        <w:jc w:val="both"/>
      </w:pPr>
      <w:r>
        <w:rPr>
          <w:rFonts w:ascii="Arial" w:eastAsia="宋体" w:hAnsi="Arial" w:cs="Arial"/>
          <w:b/>
          <w:bCs/>
          <w:color w:val="000000"/>
          <w:sz w:val="20"/>
          <w:szCs w:val="20"/>
        </w:rPr>
        <w:t>Note 10 — Debt</w:t>
      </w:r>
    </w:p>
    <w:p w14:paraId="22CFCB53" w14:textId="77777777" w:rsidR="002661BA" w:rsidRDefault="002661BA">
      <w:pPr>
        <w:jc w:val="both"/>
      </w:pPr>
    </w:p>
    <w:p w14:paraId="22CFCB54" w14:textId="77777777" w:rsidR="002661BA" w:rsidRDefault="00D972BC">
      <w:pPr>
        <w:spacing w:after="120"/>
        <w:ind w:firstLine="540"/>
        <w:jc w:val="both"/>
      </w:pPr>
      <w:r>
        <w:rPr>
          <w:rFonts w:ascii="Arial" w:eastAsia="宋体" w:hAnsi="Arial" w:cs="Arial"/>
          <w:color w:val="000000"/>
          <w:sz w:val="20"/>
          <w:szCs w:val="20"/>
        </w:rPr>
        <w:t>The following table summarizes the carrying value of our outstanding debt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49"/>
        <w:gridCol w:w="2165"/>
        <w:gridCol w:w="37"/>
        <w:gridCol w:w="36"/>
        <w:gridCol w:w="36"/>
        <w:gridCol w:w="36"/>
        <w:gridCol w:w="44"/>
        <w:gridCol w:w="924"/>
        <w:gridCol w:w="163"/>
        <w:gridCol w:w="36"/>
        <w:gridCol w:w="36"/>
        <w:gridCol w:w="36"/>
        <w:gridCol w:w="110"/>
        <w:gridCol w:w="1049"/>
        <w:gridCol w:w="36"/>
        <w:gridCol w:w="36"/>
        <w:gridCol w:w="36"/>
        <w:gridCol w:w="36"/>
        <w:gridCol w:w="54"/>
        <w:gridCol w:w="794"/>
        <w:gridCol w:w="163"/>
        <w:gridCol w:w="36"/>
        <w:gridCol w:w="36"/>
        <w:gridCol w:w="36"/>
        <w:gridCol w:w="110"/>
        <w:gridCol w:w="1050"/>
        <w:gridCol w:w="36"/>
        <w:gridCol w:w="36"/>
        <w:gridCol w:w="36"/>
        <w:gridCol w:w="36"/>
        <w:gridCol w:w="54"/>
        <w:gridCol w:w="795"/>
        <w:gridCol w:w="163"/>
      </w:tblGrid>
      <w:tr w:rsidR="002661BA" w14:paraId="22CFCB76" w14:textId="77777777">
        <w:tc>
          <w:tcPr>
            <w:tcW w:w="50" w:type="pct"/>
            <w:shd w:val="clear" w:color="auto" w:fill="auto"/>
            <w:vAlign w:val="bottom"/>
          </w:tcPr>
          <w:p w14:paraId="22CFCB55" w14:textId="77777777" w:rsidR="002661BA" w:rsidRDefault="002661BA">
            <w:pPr>
              <w:rPr>
                <w:rFonts w:ascii="宋体"/>
              </w:rPr>
            </w:pPr>
          </w:p>
        </w:tc>
        <w:tc>
          <w:tcPr>
            <w:tcW w:w="1385" w:type="pct"/>
            <w:shd w:val="clear" w:color="auto" w:fill="auto"/>
            <w:vAlign w:val="bottom"/>
          </w:tcPr>
          <w:p w14:paraId="22CFCB56" w14:textId="77777777" w:rsidR="002661BA" w:rsidRDefault="002661BA">
            <w:pPr>
              <w:rPr>
                <w:rFonts w:ascii="宋体"/>
              </w:rPr>
            </w:pPr>
          </w:p>
        </w:tc>
        <w:tc>
          <w:tcPr>
            <w:tcW w:w="5" w:type="pct"/>
            <w:shd w:val="clear" w:color="auto" w:fill="auto"/>
            <w:vAlign w:val="bottom"/>
          </w:tcPr>
          <w:p w14:paraId="22CFCB57" w14:textId="77777777" w:rsidR="002661BA" w:rsidRDefault="002661BA">
            <w:pPr>
              <w:rPr>
                <w:rFonts w:ascii="宋体"/>
              </w:rPr>
            </w:pPr>
          </w:p>
        </w:tc>
        <w:tc>
          <w:tcPr>
            <w:tcW w:w="5" w:type="pct"/>
            <w:shd w:val="clear" w:color="auto" w:fill="auto"/>
            <w:vAlign w:val="bottom"/>
          </w:tcPr>
          <w:p w14:paraId="22CFCB58" w14:textId="77777777" w:rsidR="002661BA" w:rsidRDefault="002661BA">
            <w:pPr>
              <w:rPr>
                <w:rFonts w:ascii="宋体"/>
              </w:rPr>
            </w:pPr>
          </w:p>
        </w:tc>
        <w:tc>
          <w:tcPr>
            <w:tcW w:w="19" w:type="pct"/>
            <w:shd w:val="clear" w:color="auto" w:fill="auto"/>
            <w:vAlign w:val="bottom"/>
          </w:tcPr>
          <w:p w14:paraId="22CFCB59" w14:textId="77777777" w:rsidR="002661BA" w:rsidRDefault="002661BA">
            <w:pPr>
              <w:rPr>
                <w:rFonts w:ascii="宋体"/>
              </w:rPr>
            </w:pPr>
          </w:p>
        </w:tc>
        <w:tc>
          <w:tcPr>
            <w:tcW w:w="5" w:type="pct"/>
            <w:shd w:val="clear" w:color="auto" w:fill="auto"/>
            <w:vAlign w:val="bottom"/>
          </w:tcPr>
          <w:p w14:paraId="22CFCB5A" w14:textId="77777777" w:rsidR="002661BA" w:rsidRDefault="002661BA">
            <w:pPr>
              <w:rPr>
                <w:rFonts w:ascii="宋体"/>
              </w:rPr>
            </w:pPr>
          </w:p>
        </w:tc>
        <w:tc>
          <w:tcPr>
            <w:tcW w:w="50" w:type="pct"/>
            <w:shd w:val="clear" w:color="auto" w:fill="auto"/>
            <w:vAlign w:val="bottom"/>
          </w:tcPr>
          <w:p w14:paraId="22CFCB5B" w14:textId="77777777" w:rsidR="002661BA" w:rsidRDefault="002661BA">
            <w:pPr>
              <w:rPr>
                <w:rFonts w:ascii="宋体"/>
              </w:rPr>
            </w:pPr>
          </w:p>
        </w:tc>
        <w:tc>
          <w:tcPr>
            <w:tcW w:w="639" w:type="pct"/>
            <w:shd w:val="clear" w:color="auto" w:fill="auto"/>
            <w:vAlign w:val="bottom"/>
          </w:tcPr>
          <w:p w14:paraId="22CFCB5C" w14:textId="77777777" w:rsidR="002661BA" w:rsidRDefault="002661BA">
            <w:pPr>
              <w:rPr>
                <w:rFonts w:ascii="宋体"/>
              </w:rPr>
            </w:pPr>
          </w:p>
        </w:tc>
        <w:tc>
          <w:tcPr>
            <w:tcW w:w="5" w:type="pct"/>
            <w:shd w:val="clear" w:color="auto" w:fill="auto"/>
            <w:vAlign w:val="bottom"/>
          </w:tcPr>
          <w:p w14:paraId="22CFCB5D" w14:textId="77777777" w:rsidR="002661BA" w:rsidRDefault="002661BA">
            <w:pPr>
              <w:rPr>
                <w:rFonts w:ascii="宋体"/>
              </w:rPr>
            </w:pPr>
          </w:p>
        </w:tc>
        <w:tc>
          <w:tcPr>
            <w:tcW w:w="5" w:type="pct"/>
            <w:shd w:val="clear" w:color="auto" w:fill="auto"/>
            <w:vAlign w:val="bottom"/>
          </w:tcPr>
          <w:p w14:paraId="22CFCB5E" w14:textId="77777777" w:rsidR="002661BA" w:rsidRDefault="002661BA">
            <w:pPr>
              <w:rPr>
                <w:rFonts w:ascii="宋体"/>
              </w:rPr>
            </w:pPr>
          </w:p>
        </w:tc>
        <w:tc>
          <w:tcPr>
            <w:tcW w:w="19" w:type="pct"/>
            <w:shd w:val="clear" w:color="auto" w:fill="auto"/>
            <w:vAlign w:val="bottom"/>
          </w:tcPr>
          <w:p w14:paraId="22CFCB5F" w14:textId="77777777" w:rsidR="002661BA" w:rsidRDefault="002661BA">
            <w:pPr>
              <w:rPr>
                <w:rFonts w:ascii="宋体"/>
              </w:rPr>
            </w:pPr>
          </w:p>
        </w:tc>
        <w:tc>
          <w:tcPr>
            <w:tcW w:w="5" w:type="pct"/>
            <w:shd w:val="clear" w:color="auto" w:fill="auto"/>
            <w:vAlign w:val="bottom"/>
          </w:tcPr>
          <w:p w14:paraId="22CFCB60" w14:textId="77777777" w:rsidR="002661BA" w:rsidRDefault="002661BA">
            <w:pPr>
              <w:rPr>
                <w:rFonts w:ascii="宋体"/>
              </w:rPr>
            </w:pPr>
          </w:p>
        </w:tc>
        <w:tc>
          <w:tcPr>
            <w:tcW w:w="50" w:type="pct"/>
            <w:shd w:val="clear" w:color="auto" w:fill="auto"/>
            <w:vAlign w:val="bottom"/>
          </w:tcPr>
          <w:p w14:paraId="22CFCB61" w14:textId="77777777" w:rsidR="002661BA" w:rsidRDefault="002661BA">
            <w:pPr>
              <w:rPr>
                <w:rFonts w:ascii="宋体"/>
              </w:rPr>
            </w:pPr>
          </w:p>
        </w:tc>
        <w:tc>
          <w:tcPr>
            <w:tcW w:w="683" w:type="pct"/>
            <w:shd w:val="clear" w:color="auto" w:fill="auto"/>
            <w:vAlign w:val="bottom"/>
          </w:tcPr>
          <w:p w14:paraId="22CFCB62" w14:textId="77777777" w:rsidR="002661BA" w:rsidRDefault="002661BA">
            <w:pPr>
              <w:rPr>
                <w:rFonts w:ascii="宋体"/>
              </w:rPr>
            </w:pPr>
          </w:p>
        </w:tc>
        <w:tc>
          <w:tcPr>
            <w:tcW w:w="5" w:type="pct"/>
            <w:shd w:val="clear" w:color="auto" w:fill="auto"/>
            <w:vAlign w:val="bottom"/>
          </w:tcPr>
          <w:p w14:paraId="22CFCB63" w14:textId="77777777" w:rsidR="002661BA" w:rsidRDefault="002661BA">
            <w:pPr>
              <w:rPr>
                <w:rFonts w:ascii="宋体"/>
              </w:rPr>
            </w:pPr>
          </w:p>
        </w:tc>
        <w:tc>
          <w:tcPr>
            <w:tcW w:w="5" w:type="pct"/>
            <w:shd w:val="clear" w:color="auto" w:fill="auto"/>
            <w:vAlign w:val="bottom"/>
          </w:tcPr>
          <w:p w14:paraId="22CFCB64" w14:textId="77777777" w:rsidR="002661BA" w:rsidRDefault="002661BA">
            <w:pPr>
              <w:rPr>
                <w:rFonts w:ascii="宋体"/>
              </w:rPr>
            </w:pPr>
          </w:p>
        </w:tc>
        <w:tc>
          <w:tcPr>
            <w:tcW w:w="19" w:type="pct"/>
            <w:shd w:val="clear" w:color="auto" w:fill="auto"/>
            <w:vAlign w:val="bottom"/>
          </w:tcPr>
          <w:p w14:paraId="22CFCB65" w14:textId="77777777" w:rsidR="002661BA" w:rsidRDefault="002661BA">
            <w:pPr>
              <w:rPr>
                <w:rFonts w:ascii="宋体"/>
              </w:rPr>
            </w:pPr>
          </w:p>
        </w:tc>
        <w:tc>
          <w:tcPr>
            <w:tcW w:w="5" w:type="pct"/>
            <w:shd w:val="clear" w:color="auto" w:fill="auto"/>
            <w:vAlign w:val="bottom"/>
          </w:tcPr>
          <w:p w14:paraId="22CFCB66" w14:textId="77777777" w:rsidR="002661BA" w:rsidRDefault="002661BA">
            <w:pPr>
              <w:rPr>
                <w:rFonts w:ascii="宋体"/>
              </w:rPr>
            </w:pPr>
          </w:p>
        </w:tc>
        <w:tc>
          <w:tcPr>
            <w:tcW w:w="50" w:type="pct"/>
            <w:shd w:val="clear" w:color="auto" w:fill="auto"/>
            <w:vAlign w:val="bottom"/>
          </w:tcPr>
          <w:p w14:paraId="22CFCB67" w14:textId="77777777" w:rsidR="002661BA" w:rsidRDefault="002661BA">
            <w:pPr>
              <w:rPr>
                <w:rFonts w:ascii="宋体"/>
              </w:rPr>
            </w:pPr>
          </w:p>
        </w:tc>
        <w:tc>
          <w:tcPr>
            <w:tcW w:w="566" w:type="pct"/>
            <w:shd w:val="clear" w:color="auto" w:fill="auto"/>
            <w:vAlign w:val="bottom"/>
          </w:tcPr>
          <w:p w14:paraId="22CFCB68" w14:textId="77777777" w:rsidR="002661BA" w:rsidRDefault="002661BA">
            <w:pPr>
              <w:rPr>
                <w:rFonts w:ascii="宋体"/>
              </w:rPr>
            </w:pPr>
          </w:p>
        </w:tc>
        <w:tc>
          <w:tcPr>
            <w:tcW w:w="5" w:type="pct"/>
            <w:shd w:val="clear" w:color="auto" w:fill="auto"/>
            <w:vAlign w:val="bottom"/>
          </w:tcPr>
          <w:p w14:paraId="22CFCB69" w14:textId="77777777" w:rsidR="002661BA" w:rsidRDefault="002661BA">
            <w:pPr>
              <w:rPr>
                <w:rFonts w:ascii="宋体"/>
              </w:rPr>
            </w:pPr>
          </w:p>
        </w:tc>
        <w:tc>
          <w:tcPr>
            <w:tcW w:w="5" w:type="pct"/>
            <w:shd w:val="clear" w:color="auto" w:fill="auto"/>
            <w:vAlign w:val="bottom"/>
          </w:tcPr>
          <w:p w14:paraId="22CFCB6A" w14:textId="77777777" w:rsidR="002661BA" w:rsidRDefault="002661BA">
            <w:pPr>
              <w:rPr>
                <w:rFonts w:ascii="宋体"/>
              </w:rPr>
            </w:pPr>
          </w:p>
        </w:tc>
        <w:tc>
          <w:tcPr>
            <w:tcW w:w="19" w:type="pct"/>
            <w:shd w:val="clear" w:color="auto" w:fill="auto"/>
            <w:vAlign w:val="bottom"/>
          </w:tcPr>
          <w:p w14:paraId="22CFCB6B" w14:textId="77777777" w:rsidR="002661BA" w:rsidRDefault="002661BA">
            <w:pPr>
              <w:rPr>
                <w:rFonts w:ascii="宋体"/>
              </w:rPr>
            </w:pPr>
          </w:p>
        </w:tc>
        <w:tc>
          <w:tcPr>
            <w:tcW w:w="5" w:type="pct"/>
            <w:shd w:val="clear" w:color="auto" w:fill="auto"/>
            <w:vAlign w:val="bottom"/>
          </w:tcPr>
          <w:p w14:paraId="22CFCB6C" w14:textId="77777777" w:rsidR="002661BA" w:rsidRDefault="002661BA">
            <w:pPr>
              <w:rPr>
                <w:rFonts w:ascii="宋体"/>
              </w:rPr>
            </w:pPr>
          </w:p>
        </w:tc>
        <w:tc>
          <w:tcPr>
            <w:tcW w:w="50" w:type="pct"/>
            <w:shd w:val="clear" w:color="auto" w:fill="auto"/>
            <w:vAlign w:val="bottom"/>
          </w:tcPr>
          <w:p w14:paraId="22CFCB6D" w14:textId="77777777" w:rsidR="002661BA" w:rsidRDefault="002661BA">
            <w:pPr>
              <w:rPr>
                <w:rFonts w:ascii="宋体"/>
              </w:rPr>
            </w:pPr>
          </w:p>
        </w:tc>
        <w:tc>
          <w:tcPr>
            <w:tcW w:w="683" w:type="pct"/>
            <w:shd w:val="clear" w:color="auto" w:fill="auto"/>
            <w:vAlign w:val="bottom"/>
          </w:tcPr>
          <w:p w14:paraId="22CFCB6E" w14:textId="77777777" w:rsidR="002661BA" w:rsidRDefault="002661BA">
            <w:pPr>
              <w:rPr>
                <w:rFonts w:ascii="宋体"/>
              </w:rPr>
            </w:pPr>
          </w:p>
        </w:tc>
        <w:tc>
          <w:tcPr>
            <w:tcW w:w="5" w:type="pct"/>
            <w:shd w:val="clear" w:color="auto" w:fill="auto"/>
            <w:vAlign w:val="bottom"/>
          </w:tcPr>
          <w:p w14:paraId="22CFCB6F" w14:textId="77777777" w:rsidR="002661BA" w:rsidRDefault="002661BA">
            <w:pPr>
              <w:rPr>
                <w:rFonts w:ascii="宋体"/>
              </w:rPr>
            </w:pPr>
          </w:p>
        </w:tc>
        <w:tc>
          <w:tcPr>
            <w:tcW w:w="5" w:type="pct"/>
            <w:shd w:val="clear" w:color="auto" w:fill="auto"/>
            <w:vAlign w:val="bottom"/>
          </w:tcPr>
          <w:p w14:paraId="22CFCB70" w14:textId="77777777" w:rsidR="002661BA" w:rsidRDefault="002661BA">
            <w:pPr>
              <w:rPr>
                <w:rFonts w:ascii="宋体"/>
              </w:rPr>
            </w:pPr>
          </w:p>
        </w:tc>
        <w:tc>
          <w:tcPr>
            <w:tcW w:w="19" w:type="pct"/>
            <w:shd w:val="clear" w:color="auto" w:fill="auto"/>
            <w:vAlign w:val="bottom"/>
          </w:tcPr>
          <w:p w14:paraId="22CFCB71" w14:textId="77777777" w:rsidR="002661BA" w:rsidRDefault="002661BA">
            <w:pPr>
              <w:rPr>
                <w:rFonts w:ascii="宋体"/>
              </w:rPr>
            </w:pPr>
          </w:p>
        </w:tc>
        <w:tc>
          <w:tcPr>
            <w:tcW w:w="5" w:type="pct"/>
            <w:shd w:val="clear" w:color="auto" w:fill="auto"/>
            <w:vAlign w:val="bottom"/>
          </w:tcPr>
          <w:p w14:paraId="22CFCB72" w14:textId="77777777" w:rsidR="002661BA" w:rsidRDefault="002661BA">
            <w:pPr>
              <w:rPr>
                <w:rFonts w:ascii="宋体"/>
              </w:rPr>
            </w:pPr>
          </w:p>
        </w:tc>
        <w:tc>
          <w:tcPr>
            <w:tcW w:w="50" w:type="pct"/>
            <w:shd w:val="clear" w:color="auto" w:fill="auto"/>
            <w:vAlign w:val="bottom"/>
          </w:tcPr>
          <w:p w14:paraId="22CFCB73" w14:textId="77777777" w:rsidR="002661BA" w:rsidRDefault="002661BA">
            <w:pPr>
              <w:rPr>
                <w:rFonts w:ascii="宋体"/>
              </w:rPr>
            </w:pPr>
          </w:p>
        </w:tc>
        <w:tc>
          <w:tcPr>
            <w:tcW w:w="566" w:type="pct"/>
            <w:shd w:val="clear" w:color="auto" w:fill="auto"/>
            <w:vAlign w:val="bottom"/>
          </w:tcPr>
          <w:p w14:paraId="22CFCB74" w14:textId="77777777" w:rsidR="002661BA" w:rsidRDefault="002661BA">
            <w:pPr>
              <w:rPr>
                <w:rFonts w:ascii="宋体"/>
              </w:rPr>
            </w:pPr>
          </w:p>
        </w:tc>
        <w:tc>
          <w:tcPr>
            <w:tcW w:w="5" w:type="pct"/>
            <w:shd w:val="clear" w:color="auto" w:fill="auto"/>
            <w:vAlign w:val="bottom"/>
          </w:tcPr>
          <w:p w14:paraId="22CFCB75" w14:textId="77777777" w:rsidR="002661BA" w:rsidRDefault="002661BA">
            <w:pPr>
              <w:rPr>
                <w:rFonts w:ascii="宋体"/>
              </w:rPr>
            </w:pPr>
          </w:p>
        </w:tc>
      </w:tr>
      <w:tr w:rsidR="002661BA" w14:paraId="22CFCB82" w14:textId="77777777">
        <w:tc>
          <w:tcPr>
            <w:tcW w:w="0" w:type="auto"/>
            <w:gridSpan w:val="3"/>
            <w:shd w:val="clear" w:color="auto" w:fill="auto"/>
            <w:tcMar>
              <w:top w:w="0" w:type="dxa"/>
              <w:left w:w="20" w:type="dxa"/>
              <w:bottom w:w="0" w:type="dxa"/>
              <w:right w:w="20" w:type="dxa"/>
            </w:tcMar>
            <w:vAlign w:val="bottom"/>
          </w:tcPr>
          <w:p w14:paraId="22CFCB7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CB7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B79" w14:textId="77777777" w:rsidR="002661BA" w:rsidRDefault="00D972BC">
            <w:pPr>
              <w:jc w:val="center"/>
              <w:textAlignment w:val="bottom"/>
            </w:pPr>
            <w:r>
              <w:rPr>
                <w:rFonts w:ascii="Arial" w:eastAsia="宋体" w:hAnsi="Arial" w:cs="Arial"/>
                <w:b/>
                <w:bCs/>
                <w:color w:val="000000"/>
                <w:sz w:val="15"/>
                <w:szCs w:val="15"/>
              </w:rPr>
              <w:t>Coupon</w:t>
            </w:r>
          </w:p>
        </w:tc>
        <w:tc>
          <w:tcPr>
            <w:tcW w:w="0" w:type="auto"/>
            <w:gridSpan w:val="3"/>
            <w:shd w:val="clear" w:color="auto" w:fill="auto"/>
            <w:tcMar>
              <w:top w:w="0" w:type="dxa"/>
              <w:left w:w="20" w:type="dxa"/>
              <w:bottom w:w="0" w:type="dxa"/>
              <w:right w:w="20" w:type="dxa"/>
            </w:tcMar>
            <w:vAlign w:val="bottom"/>
          </w:tcPr>
          <w:p w14:paraId="22CFCB7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B7B" w14:textId="77777777" w:rsidR="002661BA" w:rsidRDefault="00D972BC">
            <w:pPr>
              <w:jc w:val="center"/>
              <w:textAlignment w:val="bottom"/>
            </w:pPr>
            <w:r>
              <w:rPr>
                <w:rFonts w:ascii="Arial" w:eastAsia="宋体" w:hAnsi="Arial" w:cs="Arial"/>
                <w:b/>
                <w:bCs/>
                <w:color w:val="000000"/>
                <w:sz w:val="15"/>
                <w:szCs w:val="15"/>
              </w:rPr>
              <w:t>As of</w:t>
            </w:r>
          </w:p>
        </w:tc>
        <w:tc>
          <w:tcPr>
            <w:tcW w:w="0" w:type="auto"/>
            <w:gridSpan w:val="3"/>
            <w:shd w:val="clear" w:color="auto" w:fill="auto"/>
            <w:tcMar>
              <w:top w:w="0" w:type="dxa"/>
              <w:left w:w="20" w:type="dxa"/>
              <w:bottom w:w="0" w:type="dxa"/>
              <w:right w:w="20" w:type="dxa"/>
            </w:tcMar>
            <w:vAlign w:val="bottom"/>
          </w:tcPr>
          <w:p w14:paraId="22CFCB7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B7D" w14:textId="77777777" w:rsidR="002661BA" w:rsidRDefault="00D972BC">
            <w:pPr>
              <w:jc w:val="center"/>
              <w:textAlignment w:val="bottom"/>
            </w:pPr>
            <w:r>
              <w:rPr>
                <w:rFonts w:ascii="Arial" w:eastAsia="宋体" w:hAnsi="Arial" w:cs="Arial"/>
                <w:b/>
                <w:bCs/>
                <w:color w:val="000000"/>
                <w:sz w:val="15"/>
                <w:szCs w:val="15"/>
              </w:rPr>
              <w:t>Effective</w:t>
            </w:r>
          </w:p>
        </w:tc>
        <w:tc>
          <w:tcPr>
            <w:tcW w:w="0" w:type="auto"/>
            <w:gridSpan w:val="3"/>
            <w:shd w:val="clear" w:color="auto" w:fill="auto"/>
            <w:tcMar>
              <w:top w:w="0" w:type="dxa"/>
              <w:left w:w="20" w:type="dxa"/>
              <w:bottom w:w="0" w:type="dxa"/>
              <w:right w:w="20" w:type="dxa"/>
            </w:tcMar>
            <w:vAlign w:val="bottom"/>
          </w:tcPr>
          <w:p w14:paraId="22CFCB7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B7F" w14:textId="77777777" w:rsidR="002661BA" w:rsidRDefault="00D972BC">
            <w:pPr>
              <w:jc w:val="center"/>
              <w:textAlignment w:val="bottom"/>
            </w:pPr>
            <w:r>
              <w:rPr>
                <w:rFonts w:ascii="Arial" w:eastAsia="宋体" w:hAnsi="Arial" w:cs="Arial"/>
                <w:b/>
                <w:bCs/>
                <w:color w:val="000000"/>
                <w:sz w:val="15"/>
                <w:szCs w:val="15"/>
              </w:rPr>
              <w:t>As of</w:t>
            </w:r>
          </w:p>
        </w:tc>
        <w:tc>
          <w:tcPr>
            <w:tcW w:w="0" w:type="auto"/>
            <w:gridSpan w:val="3"/>
            <w:shd w:val="clear" w:color="auto" w:fill="auto"/>
            <w:tcMar>
              <w:top w:w="0" w:type="dxa"/>
              <w:left w:w="20" w:type="dxa"/>
              <w:bottom w:w="0" w:type="dxa"/>
              <w:right w:w="20" w:type="dxa"/>
            </w:tcMar>
            <w:vAlign w:val="bottom"/>
          </w:tcPr>
          <w:p w14:paraId="22CFCB8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B81" w14:textId="77777777" w:rsidR="002661BA" w:rsidRDefault="00D972BC">
            <w:pPr>
              <w:jc w:val="center"/>
              <w:textAlignment w:val="bottom"/>
            </w:pPr>
            <w:r>
              <w:rPr>
                <w:rFonts w:ascii="Arial" w:eastAsia="宋体" w:hAnsi="Arial" w:cs="Arial"/>
                <w:b/>
                <w:bCs/>
                <w:color w:val="000000"/>
                <w:sz w:val="15"/>
                <w:szCs w:val="15"/>
              </w:rPr>
              <w:t>Effective</w:t>
            </w:r>
          </w:p>
        </w:tc>
      </w:tr>
      <w:tr w:rsidR="002661BA" w14:paraId="22CFCB8E" w14:textId="77777777">
        <w:tc>
          <w:tcPr>
            <w:tcW w:w="0" w:type="auto"/>
            <w:gridSpan w:val="3"/>
            <w:shd w:val="clear" w:color="auto" w:fill="auto"/>
            <w:tcMar>
              <w:top w:w="0" w:type="dxa"/>
              <w:left w:w="20" w:type="dxa"/>
              <w:bottom w:w="0" w:type="dxa"/>
              <w:right w:w="20" w:type="dxa"/>
            </w:tcMar>
            <w:vAlign w:val="bottom"/>
          </w:tcPr>
          <w:p w14:paraId="22CFCB8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CB84"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B85" w14:textId="77777777" w:rsidR="002661BA" w:rsidRDefault="00D972BC">
            <w:pPr>
              <w:jc w:val="center"/>
              <w:textAlignment w:val="bottom"/>
            </w:pPr>
            <w:r>
              <w:rPr>
                <w:rFonts w:ascii="Arial" w:eastAsia="宋体" w:hAnsi="Arial" w:cs="Arial"/>
                <w:b/>
                <w:bCs/>
                <w:color w:val="000000"/>
                <w:sz w:val="15"/>
                <w:szCs w:val="15"/>
              </w:rPr>
              <w:t> Rate</w:t>
            </w:r>
          </w:p>
        </w:tc>
        <w:tc>
          <w:tcPr>
            <w:tcW w:w="0" w:type="auto"/>
            <w:gridSpan w:val="3"/>
            <w:shd w:val="clear" w:color="auto" w:fill="auto"/>
            <w:tcMar>
              <w:top w:w="0" w:type="dxa"/>
              <w:left w:w="20" w:type="dxa"/>
              <w:bottom w:w="0" w:type="dxa"/>
              <w:right w:w="20" w:type="dxa"/>
            </w:tcMar>
            <w:vAlign w:val="bottom"/>
          </w:tcPr>
          <w:p w14:paraId="22CFCB8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B87" w14:textId="77777777" w:rsidR="002661BA" w:rsidRDefault="00D972BC">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22CFCB8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B89" w14:textId="77777777" w:rsidR="002661BA" w:rsidRDefault="00D972BC">
            <w:pPr>
              <w:jc w:val="center"/>
              <w:textAlignment w:val="bottom"/>
            </w:pPr>
            <w:r>
              <w:rPr>
                <w:rFonts w:ascii="Arial" w:eastAsia="宋体" w:hAnsi="Arial" w:cs="Arial"/>
                <w:b/>
                <w:bCs/>
                <w:color w:val="000000"/>
                <w:sz w:val="15"/>
                <w:szCs w:val="15"/>
              </w:rPr>
              <w:t> Interest Rate</w:t>
            </w:r>
          </w:p>
        </w:tc>
        <w:tc>
          <w:tcPr>
            <w:tcW w:w="0" w:type="auto"/>
            <w:gridSpan w:val="3"/>
            <w:shd w:val="clear" w:color="auto" w:fill="auto"/>
            <w:tcMar>
              <w:top w:w="0" w:type="dxa"/>
              <w:left w:w="20" w:type="dxa"/>
              <w:bottom w:w="0" w:type="dxa"/>
              <w:right w:w="20" w:type="dxa"/>
            </w:tcMar>
            <w:vAlign w:val="bottom"/>
          </w:tcPr>
          <w:p w14:paraId="22CFCB8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B8B" w14:textId="77777777" w:rsidR="002661BA" w:rsidRDefault="00D972BC">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vAlign w:val="bottom"/>
          </w:tcPr>
          <w:p w14:paraId="22CFCB8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B8D" w14:textId="77777777" w:rsidR="002661BA" w:rsidRDefault="00D972BC">
            <w:pPr>
              <w:jc w:val="center"/>
              <w:textAlignment w:val="bottom"/>
            </w:pPr>
            <w:r>
              <w:rPr>
                <w:rFonts w:ascii="Arial" w:eastAsia="宋体" w:hAnsi="Arial" w:cs="Arial"/>
                <w:b/>
                <w:bCs/>
                <w:color w:val="000000"/>
                <w:sz w:val="15"/>
                <w:szCs w:val="15"/>
              </w:rPr>
              <w:t> Interest Rate</w:t>
            </w:r>
          </w:p>
        </w:tc>
      </w:tr>
      <w:tr w:rsidR="002661BA" w14:paraId="22CFCB9A" w14:textId="77777777">
        <w:tc>
          <w:tcPr>
            <w:tcW w:w="0" w:type="auto"/>
            <w:gridSpan w:val="3"/>
            <w:shd w:val="clear" w:color="auto" w:fill="DBDBDB"/>
            <w:tcMar>
              <w:top w:w="40" w:type="dxa"/>
              <w:left w:w="20" w:type="dxa"/>
              <w:bottom w:w="40" w:type="dxa"/>
              <w:right w:w="20" w:type="dxa"/>
            </w:tcMar>
            <w:vAlign w:val="bottom"/>
          </w:tcPr>
          <w:p w14:paraId="22CFCB8F" w14:textId="77777777" w:rsidR="002661BA" w:rsidRDefault="00D972BC">
            <w:pPr>
              <w:textAlignment w:val="bottom"/>
            </w:pPr>
            <w:r>
              <w:rPr>
                <w:rFonts w:ascii="Arial" w:eastAsia="宋体" w:hAnsi="Arial" w:cs="Arial"/>
                <w:b/>
                <w:bCs/>
                <w:color w:val="000000"/>
                <w:sz w:val="16"/>
                <w:szCs w:val="16"/>
              </w:rPr>
              <w:t>Long-Term Debt</w:t>
            </w:r>
          </w:p>
        </w:tc>
        <w:tc>
          <w:tcPr>
            <w:tcW w:w="0" w:type="auto"/>
            <w:gridSpan w:val="3"/>
            <w:shd w:val="clear" w:color="auto" w:fill="DBDBDB"/>
            <w:tcMar>
              <w:top w:w="0" w:type="dxa"/>
              <w:left w:w="20" w:type="dxa"/>
              <w:bottom w:w="0" w:type="dxa"/>
              <w:right w:w="20" w:type="dxa"/>
            </w:tcMar>
            <w:vAlign w:val="bottom"/>
          </w:tcPr>
          <w:p w14:paraId="22CFCB90" w14:textId="77777777" w:rsidR="002661BA" w:rsidRDefault="002661BA">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22CFCB91"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B92" w14:textId="77777777" w:rsidR="002661BA" w:rsidRDefault="002661BA">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22CFCB93"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B94" w14:textId="77777777" w:rsidR="002661BA" w:rsidRDefault="002661BA">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22CFCB95"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B96" w14:textId="77777777" w:rsidR="002661BA" w:rsidRDefault="002661BA">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22CFCB97"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B98" w14:textId="77777777" w:rsidR="002661BA" w:rsidRDefault="002661BA">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22CFCB99" w14:textId="77777777" w:rsidR="002661BA" w:rsidRDefault="002661BA">
            <w:pPr>
              <w:rPr>
                <w:rFonts w:ascii="宋体"/>
              </w:rPr>
            </w:pPr>
          </w:p>
        </w:tc>
      </w:tr>
      <w:tr w:rsidR="002661BA" w14:paraId="22CFCBA6" w14:textId="77777777">
        <w:tc>
          <w:tcPr>
            <w:tcW w:w="0" w:type="auto"/>
            <w:gridSpan w:val="3"/>
            <w:shd w:val="clear" w:color="auto" w:fill="FFFFFF"/>
            <w:tcMar>
              <w:top w:w="40" w:type="dxa"/>
              <w:left w:w="20" w:type="dxa"/>
              <w:bottom w:w="40" w:type="dxa"/>
              <w:right w:w="20" w:type="dxa"/>
            </w:tcMar>
            <w:vAlign w:val="bottom"/>
          </w:tcPr>
          <w:p w14:paraId="22CFCB9B" w14:textId="77777777" w:rsidR="002661BA" w:rsidRDefault="00D972BC">
            <w:pPr>
              <w:textAlignment w:val="bottom"/>
            </w:pPr>
            <w:r>
              <w:rPr>
                <w:rFonts w:ascii="Arial" w:eastAsia="宋体" w:hAnsi="Arial" w:cs="Arial"/>
                <w:color w:val="000000"/>
                <w:sz w:val="16"/>
                <w:szCs w:val="16"/>
              </w:rPr>
              <w:t>Floating Rate Notes:</w:t>
            </w:r>
          </w:p>
        </w:tc>
        <w:tc>
          <w:tcPr>
            <w:tcW w:w="0" w:type="auto"/>
            <w:gridSpan w:val="3"/>
            <w:shd w:val="clear" w:color="auto" w:fill="FFFFFF"/>
            <w:tcMar>
              <w:top w:w="0" w:type="dxa"/>
              <w:left w:w="20" w:type="dxa"/>
              <w:bottom w:w="0" w:type="dxa"/>
              <w:right w:w="20" w:type="dxa"/>
            </w:tcMar>
            <w:vAlign w:val="bottom"/>
          </w:tcPr>
          <w:p w14:paraId="22CFCB9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B9D"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B9E"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B9F"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BA0"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BA1"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BA2"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BA3"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BA4"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BA5" w14:textId="77777777" w:rsidR="002661BA" w:rsidRDefault="002661BA">
            <w:pPr>
              <w:rPr>
                <w:rFonts w:ascii="宋体"/>
              </w:rPr>
            </w:pPr>
          </w:p>
        </w:tc>
      </w:tr>
      <w:tr w:rsidR="002661BA" w14:paraId="22CFCBB2" w14:textId="77777777">
        <w:trPr>
          <w:hidden/>
        </w:trPr>
        <w:tc>
          <w:tcPr>
            <w:tcW w:w="0" w:type="auto"/>
            <w:gridSpan w:val="3"/>
            <w:shd w:val="clear" w:color="auto" w:fill="auto"/>
            <w:vAlign w:val="bottom"/>
          </w:tcPr>
          <w:p w14:paraId="22CFCBA7" w14:textId="77777777" w:rsidR="002661BA" w:rsidRDefault="002661BA">
            <w:pPr>
              <w:rPr>
                <w:rFonts w:ascii="宋体"/>
                <w:vanish/>
              </w:rPr>
            </w:pPr>
          </w:p>
        </w:tc>
        <w:tc>
          <w:tcPr>
            <w:tcW w:w="0" w:type="auto"/>
            <w:gridSpan w:val="3"/>
            <w:shd w:val="clear" w:color="auto" w:fill="auto"/>
            <w:vAlign w:val="bottom"/>
          </w:tcPr>
          <w:p w14:paraId="22CFCBA8" w14:textId="77777777" w:rsidR="002661BA" w:rsidRDefault="002661BA">
            <w:pPr>
              <w:rPr>
                <w:rFonts w:ascii="宋体"/>
                <w:vanish/>
              </w:rPr>
            </w:pPr>
          </w:p>
        </w:tc>
        <w:tc>
          <w:tcPr>
            <w:tcW w:w="0" w:type="auto"/>
            <w:gridSpan w:val="3"/>
            <w:shd w:val="clear" w:color="auto" w:fill="auto"/>
            <w:vAlign w:val="bottom"/>
          </w:tcPr>
          <w:p w14:paraId="22CFCBA9" w14:textId="77777777" w:rsidR="002661BA" w:rsidRDefault="002661BA">
            <w:pPr>
              <w:rPr>
                <w:rFonts w:ascii="宋体"/>
                <w:vanish/>
              </w:rPr>
            </w:pPr>
          </w:p>
        </w:tc>
        <w:tc>
          <w:tcPr>
            <w:tcW w:w="0" w:type="auto"/>
            <w:gridSpan w:val="3"/>
            <w:shd w:val="clear" w:color="auto" w:fill="auto"/>
            <w:vAlign w:val="bottom"/>
          </w:tcPr>
          <w:p w14:paraId="22CFCBAA" w14:textId="77777777" w:rsidR="002661BA" w:rsidRDefault="002661BA">
            <w:pPr>
              <w:rPr>
                <w:rFonts w:ascii="宋体"/>
                <w:vanish/>
              </w:rPr>
            </w:pPr>
          </w:p>
        </w:tc>
        <w:tc>
          <w:tcPr>
            <w:tcW w:w="0" w:type="auto"/>
            <w:gridSpan w:val="3"/>
            <w:shd w:val="clear" w:color="auto" w:fill="auto"/>
            <w:vAlign w:val="bottom"/>
          </w:tcPr>
          <w:p w14:paraId="22CFCBAB" w14:textId="77777777" w:rsidR="002661BA" w:rsidRDefault="002661BA">
            <w:pPr>
              <w:rPr>
                <w:rFonts w:ascii="宋体"/>
                <w:vanish/>
              </w:rPr>
            </w:pPr>
          </w:p>
        </w:tc>
        <w:tc>
          <w:tcPr>
            <w:tcW w:w="0" w:type="auto"/>
            <w:gridSpan w:val="3"/>
            <w:shd w:val="clear" w:color="auto" w:fill="auto"/>
            <w:vAlign w:val="bottom"/>
          </w:tcPr>
          <w:p w14:paraId="22CFCBAC" w14:textId="77777777" w:rsidR="002661BA" w:rsidRDefault="002661BA">
            <w:pPr>
              <w:rPr>
                <w:rFonts w:ascii="宋体"/>
                <w:vanish/>
              </w:rPr>
            </w:pPr>
          </w:p>
        </w:tc>
        <w:tc>
          <w:tcPr>
            <w:tcW w:w="0" w:type="auto"/>
            <w:gridSpan w:val="3"/>
            <w:shd w:val="clear" w:color="auto" w:fill="auto"/>
            <w:vAlign w:val="bottom"/>
          </w:tcPr>
          <w:p w14:paraId="22CFCBAD" w14:textId="77777777" w:rsidR="002661BA" w:rsidRDefault="002661BA">
            <w:pPr>
              <w:rPr>
                <w:rFonts w:ascii="宋体"/>
                <w:vanish/>
              </w:rPr>
            </w:pPr>
          </w:p>
        </w:tc>
        <w:tc>
          <w:tcPr>
            <w:tcW w:w="0" w:type="auto"/>
            <w:gridSpan w:val="3"/>
            <w:shd w:val="clear" w:color="auto" w:fill="auto"/>
            <w:vAlign w:val="bottom"/>
          </w:tcPr>
          <w:p w14:paraId="22CFCBAE" w14:textId="77777777" w:rsidR="002661BA" w:rsidRDefault="002661BA">
            <w:pPr>
              <w:rPr>
                <w:rFonts w:ascii="宋体"/>
                <w:vanish/>
              </w:rPr>
            </w:pPr>
          </w:p>
        </w:tc>
        <w:tc>
          <w:tcPr>
            <w:tcW w:w="0" w:type="auto"/>
            <w:gridSpan w:val="3"/>
            <w:shd w:val="clear" w:color="auto" w:fill="auto"/>
            <w:vAlign w:val="bottom"/>
          </w:tcPr>
          <w:p w14:paraId="22CFCBAF" w14:textId="77777777" w:rsidR="002661BA" w:rsidRDefault="002661BA">
            <w:pPr>
              <w:rPr>
                <w:rFonts w:ascii="宋体"/>
                <w:vanish/>
              </w:rPr>
            </w:pPr>
          </w:p>
        </w:tc>
        <w:tc>
          <w:tcPr>
            <w:tcW w:w="0" w:type="auto"/>
            <w:gridSpan w:val="3"/>
            <w:shd w:val="clear" w:color="auto" w:fill="auto"/>
            <w:vAlign w:val="bottom"/>
          </w:tcPr>
          <w:p w14:paraId="22CFCBB0" w14:textId="77777777" w:rsidR="002661BA" w:rsidRDefault="002661BA">
            <w:pPr>
              <w:rPr>
                <w:rFonts w:ascii="宋体"/>
                <w:vanish/>
              </w:rPr>
            </w:pPr>
          </w:p>
        </w:tc>
        <w:tc>
          <w:tcPr>
            <w:tcW w:w="0" w:type="auto"/>
            <w:gridSpan w:val="3"/>
            <w:shd w:val="clear" w:color="auto" w:fill="auto"/>
            <w:vAlign w:val="bottom"/>
          </w:tcPr>
          <w:p w14:paraId="22CFCBB1" w14:textId="77777777" w:rsidR="002661BA" w:rsidRDefault="002661BA">
            <w:pPr>
              <w:rPr>
                <w:rFonts w:ascii="宋体"/>
                <w:vanish/>
              </w:rPr>
            </w:pPr>
          </w:p>
        </w:tc>
      </w:tr>
      <w:tr w:rsidR="002661BA" w14:paraId="22CFCBC4" w14:textId="77777777">
        <w:tc>
          <w:tcPr>
            <w:tcW w:w="0" w:type="auto"/>
            <w:gridSpan w:val="3"/>
            <w:shd w:val="clear" w:color="auto" w:fill="DBDBDB"/>
            <w:tcMar>
              <w:top w:w="40" w:type="dxa"/>
              <w:left w:w="155" w:type="dxa"/>
              <w:bottom w:w="40" w:type="dxa"/>
              <w:right w:w="20" w:type="dxa"/>
            </w:tcMar>
            <w:vAlign w:val="bottom"/>
          </w:tcPr>
          <w:p w14:paraId="22CFCBB3" w14:textId="77777777" w:rsidR="002661BA" w:rsidRDefault="00D972BC">
            <w:pPr>
              <w:textAlignment w:val="bottom"/>
            </w:pPr>
            <w:r>
              <w:rPr>
                <w:rFonts w:ascii="Arial" w:eastAsia="宋体" w:hAnsi="Arial" w:cs="Arial"/>
                <w:color w:val="000000"/>
                <w:sz w:val="16"/>
                <w:szCs w:val="16"/>
              </w:rPr>
              <w:t>Senior notes due 2023</w:t>
            </w:r>
          </w:p>
        </w:tc>
        <w:tc>
          <w:tcPr>
            <w:tcW w:w="0" w:type="auto"/>
            <w:gridSpan w:val="3"/>
            <w:shd w:val="clear" w:color="auto" w:fill="DBDBDB"/>
            <w:tcMar>
              <w:top w:w="0" w:type="dxa"/>
              <w:left w:w="20" w:type="dxa"/>
              <w:bottom w:w="0" w:type="dxa"/>
              <w:right w:w="20" w:type="dxa"/>
            </w:tcMar>
            <w:vAlign w:val="bottom"/>
          </w:tcPr>
          <w:p w14:paraId="22CFCBB4" w14:textId="77777777" w:rsidR="002661BA" w:rsidRDefault="002661BA">
            <w:pPr>
              <w:rPr>
                <w:rFonts w:ascii="宋体"/>
              </w:rPr>
            </w:pPr>
          </w:p>
        </w:tc>
        <w:tc>
          <w:tcPr>
            <w:tcW w:w="0" w:type="auto"/>
            <w:gridSpan w:val="3"/>
            <w:shd w:val="clear" w:color="auto" w:fill="DBDBDB"/>
            <w:tcMar>
              <w:top w:w="40" w:type="dxa"/>
              <w:left w:w="20" w:type="dxa"/>
              <w:bottom w:w="40" w:type="dxa"/>
              <w:right w:w="20" w:type="dxa"/>
            </w:tcMar>
            <w:vAlign w:val="bottom"/>
          </w:tcPr>
          <w:p w14:paraId="22CFCBB5" w14:textId="77777777" w:rsidR="002661BA" w:rsidRDefault="00D972BC">
            <w:pPr>
              <w:jc w:val="right"/>
              <w:textAlignment w:val="bottom"/>
            </w:pPr>
            <w:r>
              <w:rPr>
                <w:rFonts w:ascii="Arial" w:eastAsia="宋体" w:hAnsi="Arial" w:cs="Arial"/>
                <w:color w:val="000000"/>
                <w:sz w:val="16"/>
                <w:szCs w:val="16"/>
              </w:rPr>
              <w:t>LIBOR plus 0.87%</w:t>
            </w:r>
          </w:p>
        </w:tc>
        <w:tc>
          <w:tcPr>
            <w:tcW w:w="0" w:type="auto"/>
            <w:gridSpan w:val="3"/>
            <w:shd w:val="clear" w:color="auto" w:fill="DBDBDB"/>
            <w:tcMar>
              <w:top w:w="0" w:type="dxa"/>
              <w:left w:w="20" w:type="dxa"/>
              <w:bottom w:w="0" w:type="dxa"/>
              <w:right w:w="20" w:type="dxa"/>
            </w:tcMar>
            <w:vAlign w:val="bottom"/>
          </w:tcPr>
          <w:p w14:paraId="22CFCBB6"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CBB7" w14:textId="77777777" w:rsidR="002661BA" w:rsidRDefault="00D972BC">
            <w:pPr>
              <w:textAlignment w:val="bottom"/>
            </w:pPr>
            <w:r>
              <w:rPr>
                <w:rFonts w:ascii="Arial" w:eastAsia="宋体" w:hAnsi="Arial" w:cs="Arial"/>
                <w:color w:val="000000"/>
                <w:sz w:val="16"/>
                <w:szCs w:val="16"/>
              </w:rPr>
              <w:t>$</w:t>
            </w:r>
          </w:p>
        </w:tc>
        <w:tc>
          <w:tcPr>
            <w:tcW w:w="0" w:type="auto"/>
            <w:shd w:val="clear" w:color="auto" w:fill="DBDBDB"/>
            <w:tcMar>
              <w:top w:w="40" w:type="dxa"/>
              <w:left w:w="0" w:type="dxa"/>
              <w:bottom w:w="40" w:type="dxa"/>
              <w:right w:w="0" w:type="dxa"/>
            </w:tcMar>
            <w:vAlign w:val="bottom"/>
          </w:tcPr>
          <w:p w14:paraId="22CFCBB8" w14:textId="77777777" w:rsidR="002661BA" w:rsidRDefault="00D972BC">
            <w:pPr>
              <w:jc w:val="right"/>
              <w:textAlignment w:val="bottom"/>
            </w:pPr>
            <w:r>
              <w:rPr>
                <w:rFonts w:ascii="Arial" w:eastAsia="宋体" w:hAnsi="Arial" w:cs="Arial"/>
                <w:color w:val="000000"/>
                <w:sz w:val="16"/>
                <w:szCs w:val="16"/>
              </w:rPr>
              <w:t>400 </w:t>
            </w:r>
          </w:p>
        </w:tc>
        <w:tc>
          <w:tcPr>
            <w:tcW w:w="0" w:type="auto"/>
            <w:shd w:val="clear" w:color="auto" w:fill="DBDBDB"/>
            <w:tcMar>
              <w:top w:w="40" w:type="dxa"/>
              <w:left w:w="0" w:type="dxa"/>
              <w:bottom w:w="40" w:type="dxa"/>
              <w:right w:w="20" w:type="dxa"/>
            </w:tcMar>
            <w:vAlign w:val="bottom"/>
          </w:tcPr>
          <w:p w14:paraId="22CFCBB9"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BBA"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BBB" w14:textId="77777777" w:rsidR="002661BA" w:rsidRDefault="00D972BC">
            <w:pPr>
              <w:jc w:val="right"/>
              <w:textAlignment w:val="bottom"/>
            </w:pPr>
            <w:r>
              <w:rPr>
                <w:rFonts w:ascii="Arial" w:eastAsia="宋体" w:hAnsi="Arial" w:cs="Arial"/>
                <w:color w:val="000000"/>
                <w:sz w:val="16"/>
                <w:szCs w:val="16"/>
              </w:rPr>
              <w:t>1.100 </w:t>
            </w:r>
          </w:p>
        </w:tc>
        <w:tc>
          <w:tcPr>
            <w:tcW w:w="0" w:type="auto"/>
            <w:shd w:val="clear" w:color="auto" w:fill="DBDBDB"/>
            <w:tcMar>
              <w:top w:w="40" w:type="dxa"/>
              <w:left w:w="0" w:type="dxa"/>
              <w:bottom w:w="40" w:type="dxa"/>
              <w:right w:w="20" w:type="dxa"/>
            </w:tcMar>
            <w:vAlign w:val="bottom"/>
          </w:tcPr>
          <w:p w14:paraId="22CFCBBC"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22CFCBBD"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CBBE" w14:textId="77777777" w:rsidR="002661BA" w:rsidRDefault="00D972BC">
            <w:pPr>
              <w:textAlignment w:val="bottom"/>
            </w:pPr>
            <w:r>
              <w:rPr>
                <w:rFonts w:ascii="Arial" w:eastAsia="宋体" w:hAnsi="Arial" w:cs="Arial"/>
                <w:color w:val="000000"/>
                <w:sz w:val="16"/>
                <w:szCs w:val="16"/>
              </w:rPr>
              <w:t>$</w:t>
            </w:r>
          </w:p>
        </w:tc>
        <w:tc>
          <w:tcPr>
            <w:tcW w:w="0" w:type="auto"/>
            <w:shd w:val="clear" w:color="auto" w:fill="DBDBDB"/>
            <w:tcMar>
              <w:top w:w="40" w:type="dxa"/>
              <w:left w:w="0" w:type="dxa"/>
              <w:bottom w:w="40" w:type="dxa"/>
              <w:right w:w="0" w:type="dxa"/>
            </w:tcMar>
            <w:vAlign w:val="bottom"/>
          </w:tcPr>
          <w:p w14:paraId="22CFCBBF" w14:textId="77777777" w:rsidR="002661BA" w:rsidRDefault="00D972BC">
            <w:pPr>
              <w:jc w:val="right"/>
              <w:textAlignment w:val="bottom"/>
            </w:pPr>
            <w:r>
              <w:rPr>
                <w:rFonts w:ascii="Arial" w:eastAsia="宋体" w:hAnsi="Arial" w:cs="Arial"/>
                <w:color w:val="000000"/>
                <w:sz w:val="16"/>
                <w:szCs w:val="16"/>
              </w:rPr>
              <w:t>400 </w:t>
            </w:r>
          </w:p>
        </w:tc>
        <w:tc>
          <w:tcPr>
            <w:tcW w:w="0" w:type="auto"/>
            <w:shd w:val="clear" w:color="auto" w:fill="DBDBDB"/>
            <w:tcMar>
              <w:top w:w="40" w:type="dxa"/>
              <w:left w:w="0" w:type="dxa"/>
              <w:bottom w:w="40" w:type="dxa"/>
              <w:right w:w="20" w:type="dxa"/>
            </w:tcMar>
            <w:vAlign w:val="bottom"/>
          </w:tcPr>
          <w:p w14:paraId="22CFCBC0"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BC1"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BC2" w14:textId="77777777" w:rsidR="002661BA" w:rsidRDefault="00D972BC">
            <w:pPr>
              <w:jc w:val="right"/>
              <w:textAlignment w:val="bottom"/>
            </w:pPr>
            <w:r>
              <w:rPr>
                <w:rFonts w:ascii="Arial" w:eastAsia="宋体" w:hAnsi="Arial" w:cs="Arial"/>
                <w:color w:val="000000"/>
                <w:sz w:val="16"/>
                <w:szCs w:val="16"/>
              </w:rPr>
              <w:t>1.187 </w:t>
            </w:r>
          </w:p>
        </w:tc>
        <w:tc>
          <w:tcPr>
            <w:tcW w:w="0" w:type="auto"/>
            <w:shd w:val="clear" w:color="auto" w:fill="DBDBDB"/>
            <w:tcMar>
              <w:top w:w="40" w:type="dxa"/>
              <w:left w:w="0" w:type="dxa"/>
              <w:bottom w:w="40" w:type="dxa"/>
              <w:right w:w="20" w:type="dxa"/>
            </w:tcMar>
            <w:vAlign w:val="bottom"/>
          </w:tcPr>
          <w:p w14:paraId="22CFCBC3" w14:textId="77777777" w:rsidR="002661BA" w:rsidRDefault="00D972BC">
            <w:pPr>
              <w:jc w:val="right"/>
              <w:textAlignment w:val="bottom"/>
            </w:pPr>
            <w:r>
              <w:rPr>
                <w:rFonts w:ascii="Arial" w:eastAsia="宋体" w:hAnsi="Arial" w:cs="Arial"/>
                <w:color w:val="000000"/>
                <w:sz w:val="16"/>
                <w:szCs w:val="16"/>
              </w:rPr>
              <w:t>%</w:t>
            </w:r>
          </w:p>
        </w:tc>
      </w:tr>
      <w:tr w:rsidR="002661BA" w14:paraId="22CFCBD0" w14:textId="77777777">
        <w:trPr>
          <w:trHeight w:val="240"/>
        </w:trPr>
        <w:tc>
          <w:tcPr>
            <w:tcW w:w="0" w:type="auto"/>
            <w:gridSpan w:val="3"/>
            <w:shd w:val="clear" w:color="auto" w:fill="FFFFFF"/>
            <w:tcMar>
              <w:top w:w="0" w:type="dxa"/>
              <w:left w:w="20" w:type="dxa"/>
              <w:bottom w:w="0" w:type="dxa"/>
              <w:right w:w="20" w:type="dxa"/>
            </w:tcMar>
            <w:vAlign w:val="bottom"/>
          </w:tcPr>
          <w:p w14:paraId="22CFCBC5"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BC6"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BC7"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BC8"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BC9"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BCA"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BCB"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BC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BCD"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BCE"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BCF" w14:textId="77777777" w:rsidR="002661BA" w:rsidRDefault="002661BA">
            <w:pPr>
              <w:rPr>
                <w:rFonts w:ascii="宋体"/>
              </w:rPr>
            </w:pPr>
          </w:p>
        </w:tc>
      </w:tr>
      <w:tr w:rsidR="002661BA" w14:paraId="22CFCBDC" w14:textId="77777777">
        <w:tc>
          <w:tcPr>
            <w:tcW w:w="0" w:type="auto"/>
            <w:gridSpan w:val="3"/>
            <w:shd w:val="clear" w:color="auto" w:fill="DBDBDB"/>
            <w:tcMar>
              <w:top w:w="40" w:type="dxa"/>
              <w:left w:w="20" w:type="dxa"/>
              <w:bottom w:w="40" w:type="dxa"/>
              <w:right w:w="20" w:type="dxa"/>
            </w:tcMar>
            <w:vAlign w:val="bottom"/>
          </w:tcPr>
          <w:p w14:paraId="22CFCBD1" w14:textId="77777777" w:rsidR="002661BA" w:rsidRDefault="00D972BC">
            <w:pPr>
              <w:textAlignment w:val="bottom"/>
            </w:pPr>
            <w:r>
              <w:rPr>
                <w:rFonts w:ascii="Arial" w:eastAsia="宋体" w:hAnsi="Arial" w:cs="Arial"/>
                <w:color w:val="000000"/>
                <w:sz w:val="16"/>
                <w:szCs w:val="16"/>
              </w:rPr>
              <w:t>Fixed Rate Notes:</w:t>
            </w:r>
          </w:p>
        </w:tc>
        <w:tc>
          <w:tcPr>
            <w:tcW w:w="0" w:type="auto"/>
            <w:gridSpan w:val="3"/>
            <w:shd w:val="clear" w:color="auto" w:fill="DBDBDB"/>
            <w:tcMar>
              <w:top w:w="0" w:type="dxa"/>
              <w:left w:w="20" w:type="dxa"/>
              <w:bottom w:w="0" w:type="dxa"/>
              <w:right w:w="20" w:type="dxa"/>
            </w:tcMar>
            <w:vAlign w:val="bottom"/>
          </w:tcPr>
          <w:p w14:paraId="22CFCBD2"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BD3"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BD4"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BD5"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BD6"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BD7"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BD8"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BD9"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BDA"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BDB" w14:textId="77777777" w:rsidR="002661BA" w:rsidRDefault="002661BA">
            <w:pPr>
              <w:rPr>
                <w:rFonts w:ascii="宋体"/>
              </w:rPr>
            </w:pPr>
          </w:p>
        </w:tc>
      </w:tr>
      <w:tr w:rsidR="002661BA" w14:paraId="22CFCBE8" w14:textId="77777777">
        <w:trPr>
          <w:hidden/>
        </w:trPr>
        <w:tc>
          <w:tcPr>
            <w:tcW w:w="0" w:type="auto"/>
            <w:gridSpan w:val="3"/>
            <w:shd w:val="clear" w:color="auto" w:fill="auto"/>
            <w:vAlign w:val="bottom"/>
          </w:tcPr>
          <w:p w14:paraId="22CFCBDD" w14:textId="77777777" w:rsidR="002661BA" w:rsidRDefault="002661BA">
            <w:pPr>
              <w:rPr>
                <w:rFonts w:ascii="宋体"/>
                <w:vanish/>
              </w:rPr>
            </w:pPr>
          </w:p>
        </w:tc>
        <w:tc>
          <w:tcPr>
            <w:tcW w:w="0" w:type="auto"/>
            <w:gridSpan w:val="3"/>
            <w:shd w:val="clear" w:color="auto" w:fill="auto"/>
            <w:vAlign w:val="bottom"/>
          </w:tcPr>
          <w:p w14:paraId="22CFCBDE" w14:textId="77777777" w:rsidR="002661BA" w:rsidRDefault="002661BA">
            <w:pPr>
              <w:rPr>
                <w:rFonts w:ascii="宋体"/>
                <w:vanish/>
              </w:rPr>
            </w:pPr>
          </w:p>
        </w:tc>
        <w:tc>
          <w:tcPr>
            <w:tcW w:w="0" w:type="auto"/>
            <w:gridSpan w:val="3"/>
            <w:shd w:val="clear" w:color="auto" w:fill="auto"/>
            <w:vAlign w:val="bottom"/>
          </w:tcPr>
          <w:p w14:paraId="22CFCBDF" w14:textId="77777777" w:rsidR="002661BA" w:rsidRDefault="002661BA">
            <w:pPr>
              <w:rPr>
                <w:rFonts w:ascii="宋体"/>
                <w:vanish/>
              </w:rPr>
            </w:pPr>
          </w:p>
        </w:tc>
        <w:tc>
          <w:tcPr>
            <w:tcW w:w="0" w:type="auto"/>
            <w:gridSpan w:val="3"/>
            <w:shd w:val="clear" w:color="auto" w:fill="auto"/>
            <w:vAlign w:val="bottom"/>
          </w:tcPr>
          <w:p w14:paraId="22CFCBE0" w14:textId="77777777" w:rsidR="002661BA" w:rsidRDefault="002661BA">
            <w:pPr>
              <w:rPr>
                <w:rFonts w:ascii="宋体"/>
                <w:vanish/>
              </w:rPr>
            </w:pPr>
          </w:p>
        </w:tc>
        <w:tc>
          <w:tcPr>
            <w:tcW w:w="0" w:type="auto"/>
            <w:gridSpan w:val="3"/>
            <w:shd w:val="clear" w:color="auto" w:fill="auto"/>
            <w:vAlign w:val="bottom"/>
          </w:tcPr>
          <w:p w14:paraId="22CFCBE1" w14:textId="77777777" w:rsidR="002661BA" w:rsidRDefault="002661BA">
            <w:pPr>
              <w:rPr>
                <w:rFonts w:ascii="宋体"/>
                <w:vanish/>
              </w:rPr>
            </w:pPr>
          </w:p>
        </w:tc>
        <w:tc>
          <w:tcPr>
            <w:tcW w:w="0" w:type="auto"/>
            <w:gridSpan w:val="3"/>
            <w:shd w:val="clear" w:color="auto" w:fill="auto"/>
            <w:vAlign w:val="bottom"/>
          </w:tcPr>
          <w:p w14:paraId="22CFCBE2" w14:textId="77777777" w:rsidR="002661BA" w:rsidRDefault="002661BA">
            <w:pPr>
              <w:rPr>
                <w:rFonts w:ascii="宋体"/>
                <w:vanish/>
              </w:rPr>
            </w:pPr>
          </w:p>
        </w:tc>
        <w:tc>
          <w:tcPr>
            <w:tcW w:w="0" w:type="auto"/>
            <w:gridSpan w:val="3"/>
            <w:shd w:val="clear" w:color="auto" w:fill="auto"/>
            <w:vAlign w:val="bottom"/>
          </w:tcPr>
          <w:p w14:paraId="22CFCBE3" w14:textId="77777777" w:rsidR="002661BA" w:rsidRDefault="002661BA">
            <w:pPr>
              <w:rPr>
                <w:rFonts w:ascii="宋体"/>
                <w:vanish/>
              </w:rPr>
            </w:pPr>
          </w:p>
        </w:tc>
        <w:tc>
          <w:tcPr>
            <w:tcW w:w="0" w:type="auto"/>
            <w:gridSpan w:val="3"/>
            <w:shd w:val="clear" w:color="auto" w:fill="auto"/>
            <w:vAlign w:val="bottom"/>
          </w:tcPr>
          <w:p w14:paraId="22CFCBE4" w14:textId="77777777" w:rsidR="002661BA" w:rsidRDefault="002661BA">
            <w:pPr>
              <w:rPr>
                <w:rFonts w:ascii="宋体"/>
                <w:vanish/>
              </w:rPr>
            </w:pPr>
          </w:p>
        </w:tc>
        <w:tc>
          <w:tcPr>
            <w:tcW w:w="0" w:type="auto"/>
            <w:gridSpan w:val="3"/>
            <w:shd w:val="clear" w:color="auto" w:fill="auto"/>
            <w:vAlign w:val="bottom"/>
          </w:tcPr>
          <w:p w14:paraId="22CFCBE5" w14:textId="77777777" w:rsidR="002661BA" w:rsidRDefault="002661BA">
            <w:pPr>
              <w:rPr>
                <w:rFonts w:ascii="宋体"/>
                <w:vanish/>
              </w:rPr>
            </w:pPr>
          </w:p>
        </w:tc>
        <w:tc>
          <w:tcPr>
            <w:tcW w:w="0" w:type="auto"/>
            <w:gridSpan w:val="3"/>
            <w:shd w:val="clear" w:color="auto" w:fill="auto"/>
            <w:vAlign w:val="bottom"/>
          </w:tcPr>
          <w:p w14:paraId="22CFCBE6" w14:textId="77777777" w:rsidR="002661BA" w:rsidRDefault="002661BA">
            <w:pPr>
              <w:rPr>
                <w:rFonts w:ascii="宋体"/>
                <w:vanish/>
              </w:rPr>
            </w:pPr>
          </w:p>
        </w:tc>
        <w:tc>
          <w:tcPr>
            <w:tcW w:w="0" w:type="auto"/>
            <w:gridSpan w:val="3"/>
            <w:shd w:val="clear" w:color="auto" w:fill="auto"/>
            <w:vAlign w:val="bottom"/>
          </w:tcPr>
          <w:p w14:paraId="22CFCBE7" w14:textId="77777777" w:rsidR="002661BA" w:rsidRDefault="002661BA">
            <w:pPr>
              <w:rPr>
                <w:rFonts w:ascii="宋体"/>
                <w:vanish/>
              </w:rPr>
            </w:pPr>
          </w:p>
        </w:tc>
      </w:tr>
      <w:tr w:rsidR="002661BA" w14:paraId="22CFCBF4" w14:textId="77777777">
        <w:trPr>
          <w:hidden/>
        </w:trPr>
        <w:tc>
          <w:tcPr>
            <w:tcW w:w="0" w:type="auto"/>
            <w:gridSpan w:val="3"/>
            <w:shd w:val="clear" w:color="auto" w:fill="auto"/>
            <w:vAlign w:val="bottom"/>
          </w:tcPr>
          <w:p w14:paraId="22CFCBE9" w14:textId="77777777" w:rsidR="002661BA" w:rsidRDefault="002661BA">
            <w:pPr>
              <w:rPr>
                <w:rFonts w:ascii="宋体"/>
                <w:vanish/>
              </w:rPr>
            </w:pPr>
          </w:p>
        </w:tc>
        <w:tc>
          <w:tcPr>
            <w:tcW w:w="0" w:type="auto"/>
            <w:gridSpan w:val="3"/>
            <w:shd w:val="clear" w:color="auto" w:fill="auto"/>
            <w:vAlign w:val="bottom"/>
          </w:tcPr>
          <w:p w14:paraId="22CFCBEA" w14:textId="77777777" w:rsidR="002661BA" w:rsidRDefault="002661BA">
            <w:pPr>
              <w:rPr>
                <w:rFonts w:ascii="宋体"/>
                <w:vanish/>
              </w:rPr>
            </w:pPr>
          </w:p>
        </w:tc>
        <w:tc>
          <w:tcPr>
            <w:tcW w:w="0" w:type="auto"/>
            <w:gridSpan w:val="3"/>
            <w:shd w:val="clear" w:color="auto" w:fill="auto"/>
            <w:vAlign w:val="bottom"/>
          </w:tcPr>
          <w:p w14:paraId="22CFCBEB" w14:textId="77777777" w:rsidR="002661BA" w:rsidRDefault="002661BA">
            <w:pPr>
              <w:rPr>
                <w:rFonts w:ascii="宋体"/>
                <w:vanish/>
              </w:rPr>
            </w:pPr>
          </w:p>
        </w:tc>
        <w:tc>
          <w:tcPr>
            <w:tcW w:w="0" w:type="auto"/>
            <w:gridSpan w:val="3"/>
            <w:shd w:val="clear" w:color="auto" w:fill="auto"/>
            <w:vAlign w:val="bottom"/>
          </w:tcPr>
          <w:p w14:paraId="22CFCBEC" w14:textId="77777777" w:rsidR="002661BA" w:rsidRDefault="002661BA">
            <w:pPr>
              <w:rPr>
                <w:rFonts w:ascii="宋体"/>
                <w:vanish/>
              </w:rPr>
            </w:pPr>
          </w:p>
        </w:tc>
        <w:tc>
          <w:tcPr>
            <w:tcW w:w="0" w:type="auto"/>
            <w:gridSpan w:val="3"/>
            <w:shd w:val="clear" w:color="auto" w:fill="auto"/>
            <w:vAlign w:val="bottom"/>
          </w:tcPr>
          <w:p w14:paraId="22CFCBED" w14:textId="77777777" w:rsidR="002661BA" w:rsidRDefault="002661BA">
            <w:pPr>
              <w:rPr>
                <w:rFonts w:ascii="宋体"/>
                <w:vanish/>
              </w:rPr>
            </w:pPr>
          </w:p>
        </w:tc>
        <w:tc>
          <w:tcPr>
            <w:tcW w:w="0" w:type="auto"/>
            <w:gridSpan w:val="3"/>
            <w:shd w:val="clear" w:color="auto" w:fill="auto"/>
            <w:vAlign w:val="bottom"/>
          </w:tcPr>
          <w:p w14:paraId="22CFCBEE" w14:textId="77777777" w:rsidR="002661BA" w:rsidRDefault="002661BA">
            <w:pPr>
              <w:rPr>
                <w:rFonts w:ascii="宋体"/>
                <w:vanish/>
              </w:rPr>
            </w:pPr>
          </w:p>
        </w:tc>
        <w:tc>
          <w:tcPr>
            <w:tcW w:w="0" w:type="auto"/>
            <w:gridSpan w:val="3"/>
            <w:shd w:val="clear" w:color="auto" w:fill="auto"/>
            <w:vAlign w:val="bottom"/>
          </w:tcPr>
          <w:p w14:paraId="22CFCBEF" w14:textId="77777777" w:rsidR="002661BA" w:rsidRDefault="002661BA">
            <w:pPr>
              <w:rPr>
                <w:rFonts w:ascii="宋体"/>
                <w:vanish/>
              </w:rPr>
            </w:pPr>
          </w:p>
        </w:tc>
        <w:tc>
          <w:tcPr>
            <w:tcW w:w="0" w:type="auto"/>
            <w:gridSpan w:val="3"/>
            <w:shd w:val="clear" w:color="auto" w:fill="auto"/>
            <w:vAlign w:val="bottom"/>
          </w:tcPr>
          <w:p w14:paraId="22CFCBF0" w14:textId="77777777" w:rsidR="002661BA" w:rsidRDefault="002661BA">
            <w:pPr>
              <w:rPr>
                <w:rFonts w:ascii="宋体"/>
                <w:vanish/>
              </w:rPr>
            </w:pPr>
          </w:p>
        </w:tc>
        <w:tc>
          <w:tcPr>
            <w:tcW w:w="0" w:type="auto"/>
            <w:gridSpan w:val="3"/>
            <w:shd w:val="clear" w:color="auto" w:fill="auto"/>
            <w:vAlign w:val="bottom"/>
          </w:tcPr>
          <w:p w14:paraId="22CFCBF1" w14:textId="77777777" w:rsidR="002661BA" w:rsidRDefault="002661BA">
            <w:pPr>
              <w:rPr>
                <w:rFonts w:ascii="宋体"/>
                <w:vanish/>
              </w:rPr>
            </w:pPr>
          </w:p>
        </w:tc>
        <w:tc>
          <w:tcPr>
            <w:tcW w:w="0" w:type="auto"/>
            <w:gridSpan w:val="3"/>
            <w:shd w:val="clear" w:color="auto" w:fill="auto"/>
            <w:vAlign w:val="bottom"/>
          </w:tcPr>
          <w:p w14:paraId="22CFCBF2" w14:textId="77777777" w:rsidR="002661BA" w:rsidRDefault="002661BA">
            <w:pPr>
              <w:rPr>
                <w:rFonts w:ascii="宋体"/>
                <w:vanish/>
              </w:rPr>
            </w:pPr>
          </w:p>
        </w:tc>
        <w:tc>
          <w:tcPr>
            <w:tcW w:w="0" w:type="auto"/>
            <w:gridSpan w:val="3"/>
            <w:shd w:val="clear" w:color="auto" w:fill="auto"/>
            <w:vAlign w:val="bottom"/>
          </w:tcPr>
          <w:p w14:paraId="22CFCBF3" w14:textId="77777777" w:rsidR="002661BA" w:rsidRDefault="002661BA">
            <w:pPr>
              <w:rPr>
                <w:rFonts w:ascii="宋体"/>
                <w:vanish/>
              </w:rPr>
            </w:pPr>
          </w:p>
        </w:tc>
      </w:tr>
      <w:tr w:rsidR="002661BA" w14:paraId="22CFCC00" w14:textId="77777777">
        <w:trPr>
          <w:hidden/>
        </w:trPr>
        <w:tc>
          <w:tcPr>
            <w:tcW w:w="0" w:type="auto"/>
            <w:gridSpan w:val="3"/>
            <w:shd w:val="clear" w:color="auto" w:fill="auto"/>
            <w:vAlign w:val="bottom"/>
          </w:tcPr>
          <w:p w14:paraId="22CFCBF5" w14:textId="77777777" w:rsidR="002661BA" w:rsidRDefault="002661BA">
            <w:pPr>
              <w:rPr>
                <w:rFonts w:ascii="宋体"/>
                <w:vanish/>
              </w:rPr>
            </w:pPr>
          </w:p>
        </w:tc>
        <w:tc>
          <w:tcPr>
            <w:tcW w:w="0" w:type="auto"/>
            <w:gridSpan w:val="3"/>
            <w:shd w:val="clear" w:color="auto" w:fill="auto"/>
            <w:vAlign w:val="bottom"/>
          </w:tcPr>
          <w:p w14:paraId="22CFCBF6" w14:textId="77777777" w:rsidR="002661BA" w:rsidRDefault="002661BA">
            <w:pPr>
              <w:rPr>
                <w:rFonts w:ascii="宋体"/>
                <w:vanish/>
              </w:rPr>
            </w:pPr>
          </w:p>
        </w:tc>
        <w:tc>
          <w:tcPr>
            <w:tcW w:w="0" w:type="auto"/>
            <w:gridSpan w:val="3"/>
            <w:shd w:val="clear" w:color="auto" w:fill="auto"/>
            <w:vAlign w:val="bottom"/>
          </w:tcPr>
          <w:p w14:paraId="22CFCBF7" w14:textId="77777777" w:rsidR="002661BA" w:rsidRDefault="002661BA">
            <w:pPr>
              <w:rPr>
                <w:rFonts w:ascii="宋体"/>
                <w:vanish/>
              </w:rPr>
            </w:pPr>
          </w:p>
        </w:tc>
        <w:tc>
          <w:tcPr>
            <w:tcW w:w="0" w:type="auto"/>
            <w:gridSpan w:val="3"/>
            <w:shd w:val="clear" w:color="auto" w:fill="auto"/>
            <w:vAlign w:val="bottom"/>
          </w:tcPr>
          <w:p w14:paraId="22CFCBF8" w14:textId="77777777" w:rsidR="002661BA" w:rsidRDefault="002661BA">
            <w:pPr>
              <w:rPr>
                <w:rFonts w:ascii="宋体"/>
                <w:vanish/>
              </w:rPr>
            </w:pPr>
          </w:p>
        </w:tc>
        <w:tc>
          <w:tcPr>
            <w:tcW w:w="0" w:type="auto"/>
            <w:gridSpan w:val="3"/>
            <w:shd w:val="clear" w:color="auto" w:fill="auto"/>
            <w:vAlign w:val="bottom"/>
          </w:tcPr>
          <w:p w14:paraId="22CFCBF9" w14:textId="77777777" w:rsidR="002661BA" w:rsidRDefault="002661BA">
            <w:pPr>
              <w:rPr>
                <w:rFonts w:ascii="宋体"/>
                <w:vanish/>
              </w:rPr>
            </w:pPr>
          </w:p>
        </w:tc>
        <w:tc>
          <w:tcPr>
            <w:tcW w:w="0" w:type="auto"/>
            <w:gridSpan w:val="3"/>
            <w:shd w:val="clear" w:color="auto" w:fill="auto"/>
            <w:vAlign w:val="bottom"/>
          </w:tcPr>
          <w:p w14:paraId="22CFCBFA" w14:textId="77777777" w:rsidR="002661BA" w:rsidRDefault="002661BA">
            <w:pPr>
              <w:rPr>
                <w:rFonts w:ascii="宋体"/>
                <w:vanish/>
              </w:rPr>
            </w:pPr>
          </w:p>
        </w:tc>
        <w:tc>
          <w:tcPr>
            <w:tcW w:w="0" w:type="auto"/>
            <w:gridSpan w:val="3"/>
            <w:shd w:val="clear" w:color="auto" w:fill="auto"/>
            <w:vAlign w:val="bottom"/>
          </w:tcPr>
          <w:p w14:paraId="22CFCBFB" w14:textId="77777777" w:rsidR="002661BA" w:rsidRDefault="002661BA">
            <w:pPr>
              <w:rPr>
                <w:rFonts w:ascii="宋体"/>
                <w:vanish/>
              </w:rPr>
            </w:pPr>
          </w:p>
        </w:tc>
        <w:tc>
          <w:tcPr>
            <w:tcW w:w="0" w:type="auto"/>
            <w:gridSpan w:val="3"/>
            <w:shd w:val="clear" w:color="auto" w:fill="auto"/>
            <w:vAlign w:val="bottom"/>
          </w:tcPr>
          <w:p w14:paraId="22CFCBFC" w14:textId="77777777" w:rsidR="002661BA" w:rsidRDefault="002661BA">
            <w:pPr>
              <w:rPr>
                <w:rFonts w:ascii="宋体"/>
                <w:vanish/>
              </w:rPr>
            </w:pPr>
          </w:p>
        </w:tc>
        <w:tc>
          <w:tcPr>
            <w:tcW w:w="0" w:type="auto"/>
            <w:gridSpan w:val="3"/>
            <w:shd w:val="clear" w:color="auto" w:fill="auto"/>
            <w:vAlign w:val="bottom"/>
          </w:tcPr>
          <w:p w14:paraId="22CFCBFD" w14:textId="77777777" w:rsidR="002661BA" w:rsidRDefault="002661BA">
            <w:pPr>
              <w:rPr>
                <w:rFonts w:ascii="宋体"/>
                <w:vanish/>
              </w:rPr>
            </w:pPr>
          </w:p>
        </w:tc>
        <w:tc>
          <w:tcPr>
            <w:tcW w:w="0" w:type="auto"/>
            <w:gridSpan w:val="3"/>
            <w:shd w:val="clear" w:color="auto" w:fill="auto"/>
            <w:vAlign w:val="bottom"/>
          </w:tcPr>
          <w:p w14:paraId="22CFCBFE" w14:textId="77777777" w:rsidR="002661BA" w:rsidRDefault="002661BA">
            <w:pPr>
              <w:rPr>
                <w:rFonts w:ascii="宋体"/>
                <w:vanish/>
              </w:rPr>
            </w:pPr>
          </w:p>
        </w:tc>
        <w:tc>
          <w:tcPr>
            <w:tcW w:w="0" w:type="auto"/>
            <w:gridSpan w:val="3"/>
            <w:shd w:val="clear" w:color="auto" w:fill="auto"/>
            <w:vAlign w:val="bottom"/>
          </w:tcPr>
          <w:p w14:paraId="22CFCBFF" w14:textId="77777777" w:rsidR="002661BA" w:rsidRDefault="002661BA">
            <w:pPr>
              <w:rPr>
                <w:rFonts w:ascii="宋体"/>
                <w:vanish/>
              </w:rPr>
            </w:pPr>
          </w:p>
        </w:tc>
      </w:tr>
      <w:tr w:rsidR="002661BA" w14:paraId="22CFCC0C" w14:textId="77777777">
        <w:trPr>
          <w:hidden/>
        </w:trPr>
        <w:tc>
          <w:tcPr>
            <w:tcW w:w="0" w:type="auto"/>
            <w:gridSpan w:val="3"/>
            <w:shd w:val="clear" w:color="auto" w:fill="auto"/>
            <w:vAlign w:val="bottom"/>
          </w:tcPr>
          <w:p w14:paraId="22CFCC01" w14:textId="77777777" w:rsidR="002661BA" w:rsidRDefault="002661BA">
            <w:pPr>
              <w:rPr>
                <w:rFonts w:ascii="宋体"/>
                <w:vanish/>
              </w:rPr>
            </w:pPr>
          </w:p>
        </w:tc>
        <w:tc>
          <w:tcPr>
            <w:tcW w:w="0" w:type="auto"/>
            <w:gridSpan w:val="3"/>
            <w:shd w:val="clear" w:color="auto" w:fill="auto"/>
            <w:vAlign w:val="bottom"/>
          </w:tcPr>
          <w:p w14:paraId="22CFCC02" w14:textId="77777777" w:rsidR="002661BA" w:rsidRDefault="002661BA">
            <w:pPr>
              <w:rPr>
                <w:rFonts w:ascii="宋体"/>
                <w:vanish/>
              </w:rPr>
            </w:pPr>
          </w:p>
        </w:tc>
        <w:tc>
          <w:tcPr>
            <w:tcW w:w="0" w:type="auto"/>
            <w:gridSpan w:val="3"/>
            <w:shd w:val="clear" w:color="auto" w:fill="auto"/>
            <w:vAlign w:val="bottom"/>
          </w:tcPr>
          <w:p w14:paraId="22CFCC03" w14:textId="77777777" w:rsidR="002661BA" w:rsidRDefault="002661BA">
            <w:pPr>
              <w:rPr>
                <w:rFonts w:ascii="宋体"/>
                <w:vanish/>
              </w:rPr>
            </w:pPr>
          </w:p>
        </w:tc>
        <w:tc>
          <w:tcPr>
            <w:tcW w:w="0" w:type="auto"/>
            <w:gridSpan w:val="3"/>
            <w:shd w:val="clear" w:color="auto" w:fill="auto"/>
            <w:vAlign w:val="bottom"/>
          </w:tcPr>
          <w:p w14:paraId="22CFCC04" w14:textId="77777777" w:rsidR="002661BA" w:rsidRDefault="002661BA">
            <w:pPr>
              <w:rPr>
                <w:rFonts w:ascii="宋体"/>
                <w:vanish/>
              </w:rPr>
            </w:pPr>
          </w:p>
        </w:tc>
        <w:tc>
          <w:tcPr>
            <w:tcW w:w="0" w:type="auto"/>
            <w:gridSpan w:val="3"/>
            <w:shd w:val="clear" w:color="auto" w:fill="auto"/>
            <w:vAlign w:val="bottom"/>
          </w:tcPr>
          <w:p w14:paraId="22CFCC05" w14:textId="77777777" w:rsidR="002661BA" w:rsidRDefault="002661BA">
            <w:pPr>
              <w:rPr>
                <w:rFonts w:ascii="宋体"/>
                <w:vanish/>
              </w:rPr>
            </w:pPr>
          </w:p>
        </w:tc>
        <w:tc>
          <w:tcPr>
            <w:tcW w:w="0" w:type="auto"/>
            <w:gridSpan w:val="3"/>
            <w:shd w:val="clear" w:color="auto" w:fill="auto"/>
            <w:vAlign w:val="bottom"/>
          </w:tcPr>
          <w:p w14:paraId="22CFCC06" w14:textId="77777777" w:rsidR="002661BA" w:rsidRDefault="002661BA">
            <w:pPr>
              <w:rPr>
                <w:rFonts w:ascii="宋体"/>
                <w:vanish/>
              </w:rPr>
            </w:pPr>
          </w:p>
        </w:tc>
        <w:tc>
          <w:tcPr>
            <w:tcW w:w="0" w:type="auto"/>
            <w:gridSpan w:val="3"/>
            <w:shd w:val="clear" w:color="auto" w:fill="auto"/>
            <w:vAlign w:val="bottom"/>
          </w:tcPr>
          <w:p w14:paraId="22CFCC07" w14:textId="77777777" w:rsidR="002661BA" w:rsidRDefault="002661BA">
            <w:pPr>
              <w:rPr>
                <w:rFonts w:ascii="宋体"/>
                <w:vanish/>
              </w:rPr>
            </w:pPr>
          </w:p>
        </w:tc>
        <w:tc>
          <w:tcPr>
            <w:tcW w:w="0" w:type="auto"/>
            <w:gridSpan w:val="3"/>
            <w:shd w:val="clear" w:color="auto" w:fill="auto"/>
            <w:vAlign w:val="bottom"/>
          </w:tcPr>
          <w:p w14:paraId="22CFCC08" w14:textId="77777777" w:rsidR="002661BA" w:rsidRDefault="002661BA">
            <w:pPr>
              <w:rPr>
                <w:rFonts w:ascii="宋体"/>
                <w:vanish/>
              </w:rPr>
            </w:pPr>
          </w:p>
        </w:tc>
        <w:tc>
          <w:tcPr>
            <w:tcW w:w="0" w:type="auto"/>
            <w:gridSpan w:val="3"/>
            <w:shd w:val="clear" w:color="auto" w:fill="auto"/>
            <w:vAlign w:val="bottom"/>
          </w:tcPr>
          <w:p w14:paraId="22CFCC09" w14:textId="77777777" w:rsidR="002661BA" w:rsidRDefault="002661BA">
            <w:pPr>
              <w:rPr>
                <w:rFonts w:ascii="宋体"/>
                <w:vanish/>
              </w:rPr>
            </w:pPr>
          </w:p>
        </w:tc>
        <w:tc>
          <w:tcPr>
            <w:tcW w:w="0" w:type="auto"/>
            <w:gridSpan w:val="3"/>
            <w:shd w:val="clear" w:color="auto" w:fill="auto"/>
            <w:vAlign w:val="bottom"/>
          </w:tcPr>
          <w:p w14:paraId="22CFCC0A" w14:textId="77777777" w:rsidR="002661BA" w:rsidRDefault="002661BA">
            <w:pPr>
              <w:rPr>
                <w:rFonts w:ascii="宋体"/>
                <w:vanish/>
              </w:rPr>
            </w:pPr>
          </w:p>
        </w:tc>
        <w:tc>
          <w:tcPr>
            <w:tcW w:w="0" w:type="auto"/>
            <w:gridSpan w:val="3"/>
            <w:shd w:val="clear" w:color="auto" w:fill="auto"/>
            <w:vAlign w:val="bottom"/>
          </w:tcPr>
          <w:p w14:paraId="22CFCC0B" w14:textId="77777777" w:rsidR="002661BA" w:rsidRDefault="002661BA">
            <w:pPr>
              <w:rPr>
                <w:rFonts w:ascii="宋体"/>
                <w:vanish/>
              </w:rPr>
            </w:pPr>
          </w:p>
        </w:tc>
      </w:tr>
      <w:tr w:rsidR="002661BA" w14:paraId="22CFCC1D" w14:textId="77777777">
        <w:tc>
          <w:tcPr>
            <w:tcW w:w="0" w:type="auto"/>
            <w:gridSpan w:val="3"/>
            <w:shd w:val="clear" w:color="auto" w:fill="FFFFFF"/>
            <w:tcMar>
              <w:top w:w="40" w:type="dxa"/>
              <w:left w:w="155" w:type="dxa"/>
              <w:bottom w:w="40" w:type="dxa"/>
              <w:right w:w="20" w:type="dxa"/>
            </w:tcMar>
            <w:vAlign w:val="bottom"/>
          </w:tcPr>
          <w:p w14:paraId="22CFCC0D" w14:textId="77777777" w:rsidR="002661BA" w:rsidRDefault="00D972BC">
            <w:pPr>
              <w:textAlignment w:val="bottom"/>
            </w:pPr>
            <w:r>
              <w:rPr>
                <w:rFonts w:ascii="Arial" w:eastAsia="宋体" w:hAnsi="Arial" w:cs="Arial"/>
                <w:color w:val="000000"/>
                <w:sz w:val="16"/>
                <w:szCs w:val="16"/>
              </w:rPr>
              <w:t>Senior notes due 2022</w:t>
            </w:r>
          </w:p>
        </w:tc>
        <w:tc>
          <w:tcPr>
            <w:tcW w:w="0" w:type="auto"/>
            <w:gridSpan w:val="3"/>
            <w:shd w:val="clear" w:color="auto" w:fill="FFFFFF"/>
            <w:tcMar>
              <w:top w:w="0" w:type="dxa"/>
              <w:left w:w="20" w:type="dxa"/>
              <w:bottom w:w="0" w:type="dxa"/>
              <w:right w:w="20" w:type="dxa"/>
            </w:tcMar>
            <w:vAlign w:val="bottom"/>
          </w:tcPr>
          <w:p w14:paraId="22CFCC0E"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0F" w14:textId="77777777" w:rsidR="002661BA" w:rsidRDefault="00D972BC">
            <w:pPr>
              <w:jc w:val="right"/>
              <w:textAlignment w:val="bottom"/>
            </w:pPr>
            <w:r>
              <w:rPr>
                <w:rFonts w:ascii="Arial" w:eastAsia="宋体" w:hAnsi="Arial" w:cs="Arial"/>
                <w:color w:val="000000"/>
                <w:sz w:val="16"/>
                <w:szCs w:val="16"/>
              </w:rPr>
              <w:t>3.800 </w:t>
            </w:r>
          </w:p>
        </w:tc>
        <w:tc>
          <w:tcPr>
            <w:tcW w:w="0" w:type="auto"/>
            <w:shd w:val="clear" w:color="auto" w:fill="FFFFFF"/>
            <w:tcMar>
              <w:top w:w="40" w:type="dxa"/>
              <w:left w:w="0" w:type="dxa"/>
              <w:bottom w:w="40" w:type="dxa"/>
              <w:right w:w="20" w:type="dxa"/>
            </w:tcMar>
            <w:vAlign w:val="bottom"/>
          </w:tcPr>
          <w:p w14:paraId="22CFCC10"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22CFCC11"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12" w14:textId="77777777" w:rsidR="002661BA" w:rsidRDefault="00D972BC">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22CFCC1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C14"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15" w14:textId="77777777" w:rsidR="002661BA" w:rsidRDefault="00D972BC">
            <w:pPr>
              <w:jc w:val="right"/>
              <w:textAlignment w:val="bottom"/>
            </w:pPr>
            <w:r>
              <w:rPr>
                <w:rFonts w:ascii="Arial" w:eastAsia="宋体" w:hAnsi="Arial" w:cs="Arial"/>
                <w:color w:val="000000"/>
                <w:sz w:val="16"/>
                <w:szCs w:val="16"/>
              </w:rPr>
              <w:t>3.989 </w:t>
            </w:r>
          </w:p>
        </w:tc>
        <w:tc>
          <w:tcPr>
            <w:tcW w:w="0" w:type="auto"/>
            <w:shd w:val="clear" w:color="auto" w:fill="FFFFFF"/>
            <w:tcMar>
              <w:top w:w="40" w:type="dxa"/>
              <w:left w:w="0" w:type="dxa"/>
              <w:bottom w:w="40" w:type="dxa"/>
              <w:right w:w="20" w:type="dxa"/>
            </w:tcMar>
            <w:vAlign w:val="bottom"/>
          </w:tcPr>
          <w:p w14:paraId="22CFCC16"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22CFCC17"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18" w14:textId="77777777" w:rsidR="002661BA" w:rsidRDefault="00D972BC">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22CFCC1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C1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1B" w14:textId="77777777" w:rsidR="002661BA" w:rsidRDefault="00D972BC">
            <w:pPr>
              <w:jc w:val="right"/>
              <w:textAlignment w:val="bottom"/>
            </w:pPr>
            <w:r>
              <w:rPr>
                <w:rFonts w:ascii="Arial" w:eastAsia="宋体" w:hAnsi="Arial" w:cs="Arial"/>
                <w:color w:val="000000"/>
                <w:sz w:val="16"/>
                <w:szCs w:val="16"/>
              </w:rPr>
              <w:t>3.989 </w:t>
            </w:r>
          </w:p>
        </w:tc>
        <w:tc>
          <w:tcPr>
            <w:tcW w:w="0" w:type="auto"/>
            <w:shd w:val="clear" w:color="auto" w:fill="FFFFFF"/>
            <w:tcMar>
              <w:top w:w="40" w:type="dxa"/>
              <w:left w:w="0" w:type="dxa"/>
              <w:bottom w:w="40" w:type="dxa"/>
              <w:right w:w="20" w:type="dxa"/>
            </w:tcMar>
            <w:vAlign w:val="bottom"/>
          </w:tcPr>
          <w:p w14:paraId="22CFCC1C" w14:textId="77777777" w:rsidR="002661BA" w:rsidRDefault="00D972BC">
            <w:pPr>
              <w:jc w:val="right"/>
              <w:textAlignment w:val="bottom"/>
            </w:pPr>
            <w:r>
              <w:rPr>
                <w:rFonts w:ascii="Arial" w:eastAsia="宋体" w:hAnsi="Arial" w:cs="Arial"/>
                <w:color w:val="000000"/>
                <w:sz w:val="16"/>
                <w:szCs w:val="16"/>
              </w:rPr>
              <w:t>%</w:t>
            </w:r>
          </w:p>
        </w:tc>
      </w:tr>
      <w:tr w:rsidR="002661BA" w14:paraId="22CFCC2E" w14:textId="77777777">
        <w:tc>
          <w:tcPr>
            <w:tcW w:w="0" w:type="auto"/>
            <w:gridSpan w:val="3"/>
            <w:shd w:val="clear" w:color="auto" w:fill="DBDBDB"/>
            <w:tcMar>
              <w:top w:w="40" w:type="dxa"/>
              <w:left w:w="155" w:type="dxa"/>
              <w:bottom w:w="40" w:type="dxa"/>
              <w:right w:w="20" w:type="dxa"/>
            </w:tcMar>
            <w:vAlign w:val="bottom"/>
          </w:tcPr>
          <w:p w14:paraId="22CFCC1E" w14:textId="77777777" w:rsidR="002661BA" w:rsidRDefault="00D972BC">
            <w:pPr>
              <w:textAlignment w:val="bottom"/>
            </w:pPr>
            <w:r>
              <w:rPr>
                <w:rFonts w:ascii="Arial" w:eastAsia="宋体" w:hAnsi="Arial" w:cs="Arial"/>
                <w:color w:val="000000"/>
                <w:sz w:val="16"/>
                <w:szCs w:val="16"/>
              </w:rPr>
              <w:t>Senior notes due 2022</w:t>
            </w:r>
          </w:p>
        </w:tc>
        <w:tc>
          <w:tcPr>
            <w:tcW w:w="0" w:type="auto"/>
            <w:gridSpan w:val="3"/>
            <w:shd w:val="clear" w:color="auto" w:fill="DBDBDB"/>
            <w:tcMar>
              <w:top w:w="0" w:type="dxa"/>
              <w:left w:w="20" w:type="dxa"/>
              <w:bottom w:w="0" w:type="dxa"/>
              <w:right w:w="20" w:type="dxa"/>
            </w:tcMar>
            <w:vAlign w:val="bottom"/>
          </w:tcPr>
          <w:p w14:paraId="22CFCC1F"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20" w14:textId="77777777" w:rsidR="002661BA" w:rsidRDefault="00D972BC">
            <w:pPr>
              <w:jc w:val="right"/>
              <w:textAlignment w:val="bottom"/>
            </w:pPr>
            <w:r>
              <w:rPr>
                <w:rFonts w:ascii="Arial" w:eastAsia="宋体" w:hAnsi="Arial" w:cs="Arial"/>
                <w:color w:val="000000"/>
                <w:sz w:val="16"/>
                <w:szCs w:val="16"/>
              </w:rPr>
              <w:t>2.600 </w:t>
            </w:r>
          </w:p>
        </w:tc>
        <w:tc>
          <w:tcPr>
            <w:tcW w:w="0" w:type="auto"/>
            <w:shd w:val="clear" w:color="auto" w:fill="DBDBDB"/>
            <w:tcMar>
              <w:top w:w="40" w:type="dxa"/>
              <w:left w:w="0" w:type="dxa"/>
              <w:bottom w:w="40" w:type="dxa"/>
              <w:right w:w="20" w:type="dxa"/>
            </w:tcMar>
            <w:vAlign w:val="bottom"/>
          </w:tcPr>
          <w:p w14:paraId="22CFCC21"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22CFCC22"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23" w14:textId="77777777" w:rsidR="002661BA" w:rsidRDefault="00D972BC">
            <w:pPr>
              <w:jc w:val="right"/>
              <w:textAlignment w:val="bottom"/>
            </w:pPr>
            <w:r>
              <w:rPr>
                <w:rFonts w:ascii="Arial" w:eastAsia="宋体" w:hAnsi="Arial" w:cs="Arial"/>
                <w:color w:val="000000"/>
                <w:sz w:val="16"/>
                <w:szCs w:val="16"/>
              </w:rPr>
              <w:t>605 </w:t>
            </w:r>
          </w:p>
        </w:tc>
        <w:tc>
          <w:tcPr>
            <w:tcW w:w="0" w:type="auto"/>
            <w:shd w:val="clear" w:color="auto" w:fill="DBDBDB"/>
            <w:tcMar>
              <w:top w:w="40" w:type="dxa"/>
              <w:left w:w="0" w:type="dxa"/>
              <w:bottom w:w="40" w:type="dxa"/>
              <w:right w:w="20" w:type="dxa"/>
            </w:tcMar>
            <w:vAlign w:val="bottom"/>
          </w:tcPr>
          <w:p w14:paraId="22CFCC24"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C25"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26" w14:textId="77777777" w:rsidR="002661BA" w:rsidRDefault="00D972BC">
            <w:pPr>
              <w:jc w:val="right"/>
              <w:textAlignment w:val="bottom"/>
            </w:pPr>
            <w:r>
              <w:rPr>
                <w:rFonts w:ascii="Arial" w:eastAsia="宋体" w:hAnsi="Arial" w:cs="Arial"/>
                <w:color w:val="000000"/>
                <w:sz w:val="16"/>
                <w:szCs w:val="16"/>
              </w:rPr>
              <w:t>2.678 </w:t>
            </w:r>
          </w:p>
        </w:tc>
        <w:tc>
          <w:tcPr>
            <w:tcW w:w="0" w:type="auto"/>
            <w:shd w:val="clear" w:color="auto" w:fill="DBDBDB"/>
            <w:tcMar>
              <w:top w:w="40" w:type="dxa"/>
              <w:left w:w="0" w:type="dxa"/>
              <w:bottom w:w="40" w:type="dxa"/>
              <w:right w:w="20" w:type="dxa"/>
            </w:tcMar>
            <w:vAlign w:val="bottom"/>
          </w:tcPr>
          <w:p w14:paraId="22CFCC27"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22CFCC28"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29" w14:textId="77777777" w:rsidR="002661BA" w:rsidRDefault="00D972BC">
            <w:pPr>
              <w:jc w:val="right"/>
              <w:textAlignment w:val="bottom"/>
            </w:pPr>
            <w:r>
              <w:rPr>
                <w:rFonts w:ascii="Arial" w:eastAsia="宋体" w:hAnsi="Arial" w:cs="Arial"/>
                <w:color w:val="000000"/>
                <w:sz w:val="16"/>
                <w:szCs w:val="16"/>
              </w:rPr>
              <w:t>1,000 </w:t>
            </w:r>
          </w:p>
        </w:tc>
        <w:tc>
          <w:tcPr>
            <w:tcW w:w="0" w:type="auto"/>
            <w:shd w:val="clear" w:color="auto" w:fill="DBDBDB"/>
            <w:tcMar>
              <w:top w:w="40" w:type="dxa"/>
              <w:left w:w="0" w:type="dxa"/>
              <w:bottom w:w="40" w:type="dxa"/>
              <w:right w:w="20" w:type="dxa"/>
            </w:tcMar>
            <w:vAlign w:val="bottom"/>
          </w:tcPr>
          <w:p w14:paraId="22CFCC2A"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C2B"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2C" w14:textId="77777777" w:rsidR="002661BA" w:rsidRDefault="00D972BC">
            <w:pPr>
              <w:jc w:val="right"/>
              <w:textAlignment w:val="bottom"/>
            </w:pPr>
            <w:r>
              <w:rPr>
                <w:rFonts w:ascii="Arial" w:eastAsia="宋体" w:hAnsi="Arial" w:cs="Arial"/>
                <w:color w:val="000000"/>
                <w:sz w:val="16"/>
                <w:szCs w:val="16"/>
              </w:rPr>
              <w:t>2.678 </w:t>
            </w:r>
          </w:p>
        </w:tc>
        <w:tc>
          <w:tcPr>
            <w:tcW w:w="0" w:type="auto"/>
            <w:shd w:val="clear" w:color="auto" w:fill="DBDBDB"/>
            <w:tcMar>
              <w:top w:w="40" w:type="dxa"/>
              <w:left w:w="0" w:type="dxa"/>
              <w:bottom w:w="40" w:type="dxa"/>
              <w:right w:w="20" w:type="dxa"/>
            </w:tcMar>
            <w:vAlign w:val="bottom"/>
          </w:tcPr>
          <w:p w14:paraId="22CFCC2D" w14:textId="77777777" w:rsidR="002661BA" w:rsidRDefault="00D972BC">
            <w:pPr>
              <w:jc w:val="right"/>
              <w:textAlignment w:val="bottom"/>
            </w:pPr>
            <w:r>
              <w:rPr>
                <w:rFonts w:ascii="Arial" w:eastAsia="宋体" w:hAnsi="Arial" w:cs="Arial"/>
                <w:color w:val="000000"/>
                <w:sz w:val="16"/>
                <w:szCs w:val="16"/>
              </w:rPr>
              <w:t>%</w:t>
            </w:r>
          </w:p>
        </w:tc>
      </w:tr>
      <w:tr w:rsidR="002661BA" w14:paraId="22CFCC3F" w14:textId="77777777">
        <w:tc>
          <w:tcPr>
            <w:tcW w:w="0" w:type="auto"/>
            <w:gridSpan w:val="3"/>
            <w:shd w:val="clear" w:color="auto" w:fill="FFFFFF"/>
            <w:tcMar>
              <w:top w:w="40" w:type="dxa"/>
              <w:left w:w="155" w:type="dxa"/>
              <w:bottom w:w="40" w:type="dxa"/>
              <w:right w:w="20" w:type="dxa"/>
            </w:tcMar>
            <w:vAlign w:val="bottom"/>
          </w:tcPr>
          <w:p w14:paraId="22CFCC2F" w14:textId="77777777" w:rsidR="002661BA" w:rsidRDefault="00D972BC">
            <w:pPr>
              <w:textAlignment w:val="bottom"/>
            </w:pPr>
            <w:r>
              <w:rPr>
                <w:rFonts w:ascii="Arial" w:eastAsia="宋体" w:hAnsi="Arial" w:cs="Arial"/>
                <w:color w:val="000000"/>
                <w:sz w:val="16"/>
                <w:szCs w:val="16"/>
              </w:rPr>
              <w:t>Senior notes due 2023</w:t>
            </w:r>
          </w:p>
        </w:tc>
        <w:tc>
          <w:tcPr>
            <w:tcW w:w="0" w:type="auto"/>
            <w:gridSpan w:val="3"/>
            <w:shd w:val="clear" w:color="auto" w:fill="FFFFFF"/>
            <w:tcMar>
              <w:top w:w="0" w:type="dxa"/>
              <w:left w:w="20" w:type="dxa"/>
              <w:bottom w:w="0" w:type="dxa"/>
              <w:right w:w="20" w:type="dxa"/>
            </w:tcMar>
            <w:vAlign w:val="bottom"/>
          </w:tcPr>
          <w:p w14:paraId="22CFCC3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31" w14:textId="77777777" w:rsidR="002661BA" w:rsidRDefault="00D972BC">
            <w:pPr>
              <w:jc w:val="right"/>
              <w:textAlignment w:val="bottom"/>
            </w:pPr>
            <w:r>
              <w:rPr>
                <w:rFonts w:ascii="Arial" w:eastAsia="宋体" w:hAnsi="Arial" w:cs="Arial"/>
                <w:color w:val="000000"/>
                <w:sz w:val="16"/>
                <w:szCs w:val="16"/>
              </w:rPr>
              <w:t>2.750 </w:t>
            </w:r>
          </w:p>
        </w:tc>
        <w:tc>
          <w:tcPr>
            <w:tcW w:w="0" w:type="auto"/>
            <w:shd w:val="clear" w:color="auto" w:fill="FFFFFF"/>
            <w:tcMar>
              <w:top w:w="40" w:type="dxa"/>
              <w:left w:w="0" w:type="dxa"/>
              <w:bottom w:w="40" w:type="dxa"/>
              <w:right w:w="20" w:type="dxa"/>
            </w:tcMar>
            <w:vAlign w:val="bottom"/>
          </w:tcPr>
          <w:p w14:paraId="22CFCC32"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22CFCC33"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34" w14:textId="77777777" w:rsidR="002661BA" w:rsidRDefault="00D972BC">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22CFCC3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C36"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37" w14:textId="77777777" w:rsidR="002661BA" w:rsidRDefault="00D972BC">
            <w:pPr>
              <w:jc w:val="right"/>
              <w:textAlignment w:val="bottom"/>
            </w:pPr>
            <w:r>
              <w:rPr>
                <w:rFonts w:ascii="Arial" w:eastAsia="宋体" w:hAnsi="Arial" w:cs="Arial"/>
                <w:color w:val="000000"/>
                <w:sz w:val="16"/>
                <w:szCs w:val="16"/>
              </w:rPr>
              <w:t>2.866 </w:t>
            </w:r>
          </w:p>
        </w:tc>
        <w:tc>
          <w:tcPr>
            <w:tcW w:w="0" w:type="auto"/>
            <w:shd w:val="clear" w:color="auto" w:fill="FFFFFF"/>
            <w:tcMar>
              <w:top w:w="40" w:type="dxa"/>
              <w:left w:w="0" w:type="dxa"/>
              <w:bottom w:w="40" w:type="dxa"/>
              <w:right w:w="20" w:type="dxa"/>
            </w:tcMar>
            <w:vAlign w:val="bottom"/>
          </w:tcPr>
          <w:p w14:paraId="22CFCC38"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22CFCC39"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3A" w14:textId="77777777" w:rsidR="002661BA" w:rsidRDefault="00D972BC">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22CFCC3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C3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3D" w14:textId="77777777" w:rsidR="002661BA" w:rsidRDefault="00D972BC">
            <w:pPr>
              <w:jc w:val="right"/>
              <w:textAlignment w:val="bottom"/>
            </w:pPr>
            <w:r>
              <w:rPr>
                <w:rFonts w:ascii="Arial" w:eastAsia="宋体" w:hAnsi="Arial" w:cs="Arial"/>
                <w:color w:val="000000"/>
                <w:sz w:val="16"/>
                <w:szCs w:val="16"/>
              </w:rPr>
              <w:t>2.866 </w:t>
            </w:r>
          </w:p>
        </w:tc>
        <w:tc>
          <w:tcPr>
            <w:tcW w:w="0" w:type="auto"/>
            <w:shd w:val="clear" w:color="auto" w:fill="FFFFFF"/>
            <w:tcMar>
              <w:top w:w="40" w:type="dxa"/>
              <w:left w:w="0" w:type="dxa"/>
              <w:bottom w:w="40" w:type="dxa"/>
              <w:right w:w="20" w:type="dxa"/>
            </w:tcMar>
            <w:vAlign w:val="bottom"/>
          </w:tcPr>
          <w:p w14:paraId="22CFCC3E" w14:textId="77777777" w:rsidR="002661BA" w:rsidRDefault="00D972BC">
            <w:pPr>
              <w:jc w:val="right"/>
              <w:textAlignment w:val="bottom"/>
            </w:pPr>
            <w:r>
              <w:rPr>
                <w:rFonts w:ascii="Arial" w:eastAsia="宋体" w:hAnsi="Arial" w:cs="Arial"/>
                <w:color w:val="000000"/>
                <w:sz w:val="16"/>
                <w:szCs w:val="16"/>
              </w:rPr>
              <w:t>%</w:t>
            </w:r>
          </w:p>
        </w:tc>
      </w:tr>
      <w:tr w:rsidR="002661BA" w14:paraId="22CFCC50" w14:textId="77777777">
        <w:tc>
          <w:tcPr>
            <w:tcW w:w="0" w:type="auto"/>
            <w:gridSpan w:val="3"/>
            <w:shd w:val="clear" w:color="auto" w:fill="DBDBDB"/>
            <w:tcMar>
              <w:top w:w="40" w:type="dxa"/>
              <w:left w:w="155" w:type="dxa"/>
              <w:bottom w:w="40" w:type="dxa"/>
              <w:right w:w="20" w:type="dxa"/>
            </w:tcMar>
            <w:vAlign w:val="bottom"/>
          </w:tcPr>
          <w:p w14:paraId="22CFCC40" w14:textId="77777777" w:rsidR="002661BA" w:rsidRDefault="00D972BC">
            <w:pPr>
              <w:textAlignment w:val="bottom"/>
            </w:pPr>
            <w:r>
              <w:rPr>
                <w:rFonts w:ascii="Arial" w:eastAsia="宋体" w:hAnsi="Arial" w:cs="Arial"/>
                <w:color w:val="000000"/>
                <w:sz w:val="16"/>
                <w:szCs w:val="16"/>
              </w:rPr>
              <w:t>Senior notes due 2024</w:t>
            </w:r>
          </w:p>
        </w:tc>
        <w:tc>
          <w:tcPr>
            <w:tcW w:w="0" w:type="auto"/>
            <w:gridSpan w:val="3"/>
            <w:shd w:val="clear" w:color="auto" w:fill="DBDBDB"/>
            <w:tcMar>
              <w:top w:w="0" w:type="dxa"/>
              <w:left w:w="20" w:type="dxa"/>
              <w:bottom w:w="0" w:type="dxa"/>
              <w:right w:w="20" w:type="dxa"/>
            </w:tcMar>
            <w:vAlign w:val="bottom"/>
          </w:tcPr>
          <w:p w14:paraId="22CFCC41"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42" w14:textId="77777777" w:rsidR="002661BA" w:rsidRDefault="00D972BC">
            <w:pPr>
              <w:jc w:val="right"/>
              <w:textAlignment w:val="bottom"/>
            </w:pPr>
            <w:r>
              <w:rPr>
                <w:rFonts w:ascii="Arial" w:eastAsia="宋体" w:hAnsi="Arial" w:cs="Arial"/>
                <w:color w:val="000000"/>
                <w:sz w:val="16"/>
                <w:szCs w:val="16"/>
              </w:rPr>
              <w:t>3.450 </w:t>
            </w:r>
          </w:p>
        </w:tc>
        <w:tc>
          <w:tcPr>
            <w:tcW w:w="0" w:type="auto"/>
            <w:shd w:val="clear" w:color="auto" w:fill="DBDBDB"/>
            <w:tcMar>
              <w:top w:w="40" w:type="dxa"/>
              <w:left w:w="0" w:type="dxa"/>
              <w:bottom w:w="40" w:type="dxa"/>
              <w:right w:w="20" w:type="dxa"/>
            </w:tcMar>
            <w:vAlign w:val="bottom"/>
          </w:tcPr>
          <w:p w14:paraId="22CFCC43"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22CFCC44"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45" w14:textId="77777777" w:rsidR="002661BA" w:rsidRDefault="00D972BC">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22CFCC46"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C47"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48" w14:textId="77777777" w:rsidR="002661BA" w:rsidRDefault="00D972BC">
            <w:pPr>
              <w:jc w:val="right"/>
              <w:textAlignment w:val="bottom"/>
            </w:pPr>
            <w:r>
              <w:rPr>
                <w:rFonts w:ascii="Arial" w:eastAsia="宋体" w:hAnsi="Arial" w:cs="Arial"/>
                <w:color w:val="000000"/>
                <w:sz w:val="16"/>
                <w:szCs w:val="16"/>
              </w:rPr>
              <w:t>3.531 </w:t>
            </w:r>
          </w:p>
        </w:tc>
        <w:tc>
          <w:tcPr>
            <w:tcW w:w="0" w:type="auto"/>
            <w:shd w:val="clear" w:color="auto" w:fill="DBDBDB"/>
            <w:tcMar>
              <w:top w:w="40" w:type="dxa"/>
              <w:left w:w="0" w:type="dxa"/>
              <w:bottom w:w="40" w:type="dxa"/>
              <w:right w:w="20" w:type="dxa"/>
            </w:tcMar>
            <w:vAlign w:val="bottom"/>
          </w:tcPr>
          <w:p w14:paraId="22CFCC49"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22CFCC4A"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4B" w14:textId="77777777" w:rsidR="002661BA" w:rsidRDefault="00D972BC">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22CFCC4C"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C4D"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4E" w14:textId="77777777" w:rsidR="002661BA" w:rsidRDefault="00D972BC">
            <w:pPr>
              <w:jc w:val="right"/>
              <w:textAlignment w:val="bottom"/>
            </w:pPr>
            <w:r>
              <w:rPr>
                <w:rFonts w:ascii="Arial" w:eastAsia="宋体" w:hAnsi="Arial" w:cs="Arial"/>
                <w:color w:val="000000"/>
                <w:sz w:val="16"/>
                <w:szCs w:val="16"/>
              </w:rPr>
              <w:t>3.531 </w:t>
            </w:r>
          </w:p>
        </w:tc>
        <w:tc>
          <w:tcPr>
            <w:tcW w:w="0" w:type="auto"/>
            <w:shd w:val="clear" w:color="auto" w:fill="DBDBDB"/>
            <w:tcMar>
              <w:top w:w="40" w:type="dxa"/>
              <w:left w:w="0" w:type="dxa"/>
              <w:bottom w:w="40" w:type="dxa"/>
              <w:right w:w="20" w:type="dxa"/>
            </w:tcMar>
            <w:vAlign w:val="bottom"/>
          </w:tcPr>
          <w:p w14:paraId="22CFCC4F" w14:textId="77777777" w:rsidR="002661BA" w:rsidRDefault="00D972BC">
            <w:pPr>
              <w:jc w:val="right"/>
              <w:textAlignment w:val="bottom"/>
            </w:pPr>
            <w:r>
              <w:rPr>
                <w:rFonts w:ascii="Arial" w:eastAsia="宋体" w:hAnsi="Arial" w:cs="Arial"/>
                <w:color w:val="000000"/>
                <w:sz w:val="16"/>
                <w:szCs w:val="16"/>
              </w:rPr>
              <w:t>%</w:t>
            </w:r>
          </w:p>
        </w:tc>
      </w:tr>
      <w:tr w:rsidR="002661BA" w14:paraId="22CFCC61" w14:textId="77777777">
        <w:tc>
          <w:tcPr>
            <w:tcW w:w="0" w:type="auto"/>
            <w:gridSpan w:val="3"/>
            <w:shd w:val="clear" w:color="auto" w:fill="FFFFFF"/>
            <w:tcMar>
              <w:top w:w="40" w:type="dxa"/>
              <w:left w:w="155" w:type="dxa"/>
              <w:bottom w:w="40" w:type="dxa"/>
              <w:right w:w="20" w:type="dxa"/>
            </w:tcMar>
            <w:vAlign w:val="bottom"/>
          </w:tcPr>
          <w:p w14:paraId="22CFCC51" w14:textId="77777777" w:rsidR="002661BA" w:rsidRDefault="00D972BC">
            <w:pPr>
              <w:textAlignment w:val="bottom"/>
            </w:pPr>
            <w:r>
              <w:rPr>
                <w:rFonts w:ascii="Arial" w:eastAsia="宋体" w:hAnsi="Arial" w:cs="Arial"/>
                <w:color w:val="000000"/>
                <w:sz w:val="16"/>
                <w:szCs w:val="16"/>
              </w:rPr>
              <w:t>Senior notes due 2025</w:t>
            </w:r>
          </w:p>
        </w:tc>
        <w:tc>
          <w:tcPr>
            <w:tcW w:w="0" w:type="auto"/>
            <w:gridSpan w:val="3"/>
            <w:shd w:val="clear" w:color="auto" w:fill="FFFFFF"/>
            <w:tcMar>
              <w:top w:w="0" w:type="dxa"/>
              <w:left w:w="20" w:type="dxa"/>
              <w:bottom w:w="0" w:type="dxa"/>
              <w:right w:w="20" w:type="dxa"/>
            </w:tcMar>
            <w:vAlign w:val="bottom"/>
          </w:tcPr>
          <w:p w14:paraId="22CFCC52"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53" w14:textId="77777777" w:rsidR="002661BA" w:rsidRDefault="00D972BC">
            <w:pPr>
              <w:jc w:val="right"/>
              <w:textAlignment w:val="bottom"/>
            </w:pPr>
            <w:r>
              <w:rPr>
                <w:rFonts w:ascii="Arial" w:eastAsia="宋体" w:hAnsi="Arial" w:cs="Arial"/>
                <w:color w:val="000000"/>
                <w:sz w:val="16"/>
                <w:szCs w:val="16"/>
              </w:rPr>
              <w:t>1.900 </w:t>
            </w:r>
          </w:p>
        </w:tc>
        <w:tc>
          <w:tcPr>
            <w:tcW w:w="0" w:type="auto"/>
            <w:shd w:val="clear" w:color="auto" w:fill="FFFFFF"/>
            <w:tcMar>
              <w:top w:w="40" w:type="dxa"/>
              <w:left w:w="0" w:type="dxa"/>
              <w:bottom w:w="40" w:type="dxa"/>
              <w:right w:w="20" w:type="dxa"/>
            </w:tcMar>
            <w:vAlign w:val="bottom"/>
          </w:tcPr>
          <w:p w14:paraId="22CFCC54"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22CFCC55"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56" w14:textId="77777777" w:rsidR="002661BA" w:rsidRDefault="00D972BC">
            <w:pPr>
              <w:jc w:val="right"/>
              <w:textAlignment w:val="bottom"/>
            </w:pPr>
            <w:r>
              <w:rPr>
                <w:rFonts w:ascii="Arial" w:eastAsia="宋体" w:hAnsi="Arial" w:cs="Arial"/>
                <w:color w:val="000000"/>
                <w:sz w:val="16"/>
                <w:szCs w:val="16"/>
              </w:rPr>
              <w:t>800 </w:t>
            </w:r>
          </w:p>
        </w:tc>
        <w:tc>
          <w:tcPr>
            <w:tcW w:w="0" w:type="auto"/>
            <w:shd w:val="clear" w:color="auto" w:fill="FFFFFF"/>
            <w:tcMar>
              <w:top w:w="40" w:type="dxa"/>
              <w:left w:w="0" w:type="dxa"/>
              <w:bottom w:w="40" w:type="dxa"/>
              <w:right w:w="20" w:type="dxa"/>
            </w:tcMar>
            <w:vAlign w:val="bottom"/>
          </w:tcPr>
          <w:p w14:paraId="22CFCC5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C58"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59" w14:textId="77777777" w:rsidR="002661BA" w:rsidRDefault="00D972BC">
            <w:pPr>
              <w:jc w:val="right"/>
              <w:textAlignment w:val="bottom"/>
            </w:pPr>
            <w:r>
              <w:rPr>
                <w:rFonts w:ascii="Arial" w:eastAsia="宋体" w:hAnsi="Arial" w:cs="Arial"/>
                <w:color w:val="000000"/>
                <w:sz w:val="16"/>
                <w:szCs w:val="16"/>
              </w:rPr>
              <w:t>1.803 </w:t>
            </w:r>
          </w:p>
        </w:tc>
        <w:tc>
          <w:tcPr>
            <w:tcW w:w="0" w:type="auto"/>
            <w:shd w:val="clear" w:color="auto" w:fill="FFFFFF"/>
            <w:tcMar>
              <w:top w:w="40" w:type="dxa"/>
              <w:left w:w="0" w:type="dxa"/>
              <w:bottom w:w="40" w:type="dxa"/>
              <w:right w:w="20" w:type="dxa"/>
            </w:tcMar>
            <w:vAlign w:val="bottom"/>
          </w:tcPr>
          <w:p w14:paraId="22CFCC5A"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22CFCC5B"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5C" w14:textId="77777777" w:rsidR="002661BA" w:rsidRDefault="00D972BC">
            <w:pPr>
              <w:jc w:val="right"/>
              <w:textAlignment w:val="bottom"/>
            </w:pPr>
            <w:r>
              <w:rPr>
                <w:rFonts w:ascii="Arial" w:eastAsia="宋体" w:hAnsi="Arial" w:cs="Arial"/>
                <w:color w:val="000000"/>
                <w:sz w:val="16"/>
                <w:szCs w:val="16"/>
              </w:rPr>
              <w:t>800 </w:t>
            </w:r>
          </w:p>
        </w:tc>
        <w:tc>
          <w:tcPr>
            <w:tcW w:w="0" w:type="auto"/>
            <w:shd w:val="clear" w:color="auto" w:fill="FFFFFF"/>
            <w:tcMar>
              <w:top w:w="40" w:type="dxa"/>
              <w:left w:w="0" w:type="dxa"/>
              <w:bottom w:w="40" w:type="dxa"/>
              <w:right w:w="20" w:type="dxa"/>
            </w:tcMar>
            <w:vAlign w:val="bottom"/>
          </w:tcPr>
          <w:p w14:paraId="22CFCC5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C5E"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5F" w14:textId="77777777" w:rsidR="002661BA" w:rsidRDefault="00D972BC">
            <w:pPr>
              <w:jc w:val="right"/>
              <w:textAlignment w:val="bottom"/>
            </w:pPr>
            <w:r>
              <w:rPr>
                <w:rFonts w:ascii="Arial" w:eastAsia="宋体" w:hAnsi="Arial" w:cs="Arial"/>
                <w:color w:val="000000"/>
                <w:sz w:val="16"/>
                <w:szCs w:val="16"/>
              </w:rPr>
              <w:t>1.803 </w:t>
            </w:r>
          </w:p>
        </w:tc>
        <w:tc>
          <w:tcPr>
            <w:tcW w:w="0" w:type="auto"/>
            <w:shd w:val="clear" w:color="auto" w:fill="FFFFFF"/>
            <w:tcMar>
              <w:top w:w="40" w:type="dxa"/>
              <w:left w:w="0" w:type="dxa"/>
              <w:bottom w:w="40" w:type="dxa"/>
              <w:right w:w="20" w:type="dxa"/>
            </w:tcMar>
            <w:vAlign w:val="bottom"/>
          </w:tcPr>
          <w:p w14:paraId="22CFCC60" w14:textId="77777777" w:rsidR="002661BA" w:rsidRDefault="00D972BC">
            <w:pPr>
              <w:jc w:val="right"/>
              <w:textAlignment w:val="bottom"/>
            </w:pPr>
            <w:r>
              <w:rPr>
                <w:rFonts w:ascii="Arial" w:eastAsia="宋体" w:hAnsi="Arial" w:cs="Arial"/>
                <w:color w:val="000000"/>
                <w:sz w:val="16"/>
                <w:szCs w:val="16"/>
              </w:rPr>
              <w:t>%</w:t>
            </w:r>
          </w:p>
        </w:tc>
      </w:tr>
      <w:tr w:rsidR="002661BA" w14:paraId="22CFCC72" w14:textId="77777777">
        <w:tc>
          <w:tcPr>
            <w:tcW w:w="0" w:type="auto"/>
            <w:gridSpan w:val="3"/>
            <w:shd w:val="clear" w:color="auto" w:fill="DBDBDB"/>
            <w:tcMar>
              <w:top w:w="40" w:type="dxa"/>
              <w:left w:w="155" w:type="dxa"/>
              <w:bottom w:w="40" w:type="dxa"/>
              <w:right w:w="20" w:type="dxa"/>
            </w:tcMar>
            <w:vAlign w:val="bottom"/>
          </w:tcPr>
          <w:p w14:paraId="22CFCC62" w14:textId="77777777" w:rsidR="002661BA" w:rsidRDefault="00D972BC">
            <w:pPr>
              <w:textAlignment w:val="bottom"/>
            </w:pPr>
            <w:r>
              <w:rPr>
                <w:rFonts w:ascii="Arial" w:eastAsia="宋体" w:hAnsi="Arial" w:cs="Arial"/>
                <w:color w:val="000000"/>
                <w:sz w:val="16"/>
                <w:szCs w:val="16"/>
              </w:rPr>
              <w:t>Senior notes due 2026</w:t>
            </w:r>
          </w:p>
        </w:tc>
        <w:tc>
          <w:tcPr>
            <w:tcW w:w="0" w:type="auto"/>
            <w:gridSpan w:val="3"/>
            <w:shd w:val="clear" w:color="auto" w:fill="DBDBDB"/>
            <w:tcMar>
              <w:top w:w="0" w:type="dxa"/>
              <w:left w:w="20" w:type="dxa"/>
              <w:bottom w:w="0" w:type="dxa"/>
              <w:right w:w="20" w:type="dxa"/>
            </w:tcMar>
            <w:vAlign w:val="bottom"/>
          </w:tcPr>
          <w:p w14:paraId="22CFCC63"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64" w14:textId="77777777" w:rsidR="002661BA" w:rsidRDefault="00D972BC">
            <w:pPr>
              <w:jc w:val="right"/>
              <w:textAlignment w:val="bottom"/>
            </w:pPr>
            <w:r>
              <w:rPr>
                <w:rFonts w:ascii="Arial" w:eastAsia="宋体" w:hAnsi="Arial" w:cs="Arial"/>
                <w:color w:val="000000"/>
                <w:sz w:val="16"/>
                <w:szCs w:val="16"/>
              </w:rPr>
              <w:t>1.400 </w:t>
            </w:r>
          </w:p>
        </w:tc>
        <w:tc>
          <w:tcPr>
            <w:tcW w:w="0" w:type="auto"/>
            <w:shd w:val="clear" w:color="auto" w:fill="DBDBDB"/>
            <w:tcMar>
              <w:top w:w="40" w:type="dxa"/>
              <w:left w:w="0" w:type="dxa"/>
              <w:bottom w:w="40" w:type="dxa"/>
              <w:right w:w="20" w:type="dxa"/>
            </w:tcMar>
            <w:vAlign w:val="bottom"/>
          </w:tcPr>
          <w:p w14:paraId="22CFCC65"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22CFCC66"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67" w14:textId="77777777" w:rsidR="002661BA" w:rsidRDefault="00D972BC">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22CFCC68"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C69"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6A" w14:textId="77777777" w:rsidR="002661BA" w:rsidRDefault="00D972BC">
            <w:pPr>
              <w:jc w:val="right"/>
              <w:textAlignment w:val="bottom"/>
            </w:pPr>
            <w:r>
              <w:rPr>
                <w:rFonts w:ascii="Arial" w:eastAsia="宋体" w:hAnsi="Arial" w:cs="Arial"/>
                <w:color w:val="000000"/>
                <w:sz w:val="16"/>
                <w:szCs w:val="16"/>
              </w:rPr>
              <w:t>1.252 </w:t>
            </w:r>
          </w:p>
        </w:tc>
        <w:tc>
          <w:tcPr>
            <w:tcW w:w="0" w:type="auto"/>
            <w:shd w:val="clear" w:color="auto" w:fill="DBDBDB"/>
            <w:tcMar>
              <w:top w:w="40" w:type="dxa"/>
              <w:left w:w="0" w:type="dxa"/>
              <w:bottom w:w="40" w:type="dxa"/>
              <w:right w:w="20" w:type="dxa"/>
            </w:tcMar>
            <w:vAlign w:val="bottom"/>
          </w:tcPr>
          <w:p w14:paraId="22CFCC6B"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22CFCC6C"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6D" w14:textId="77777777" w:rsidR="002661BA" w:rsidRDefault="00D972BC">
            <w:pPr>
              <w:jc w:val="right"/>
              <w:textAlignment w:val="bottom"/>
            </w:pPr>
            <w:r>
              <w:rPr>
                <w:rFonts w:ascii="Arial" w:eastAsia="宋体" w:hAnsi="Arial" w:cs="Arial"/>
                <w:color w:val="000000"/>
                <w:sz w:val="16"/>
                <w:szCs w:val="16"/>
              </w:rPr>
              <w:t>— </w:t>
            </w:r>
          </w:p>
        </w:tc>
        <w:tc>
          <w:tcPr>
            <w:tcW w:w="0" w:type="auto"/>
            <w:shd w:val="clear" w:color="auto" w:fill="DBDBDB"/>
            <w:tcMar>
              <w:top w:w="40" w:type="dxa"/>
              <w:left w:w="0" w:type="dxa"/>
              <w:bottom w:w="40" w:type="dxa"/>
              <w:right w:w="20" w:type="dxa"/>
            </w:tcMar>
            <w:vAlign w:val="bottom"/>
          </w:tcPr>
          <w:p w14:paraId="22CFCC6E"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C6F"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70" w14:textId="77777777" w:rsidR="002661BA" w:rsidRDefault="00D972BC">
            <w:pPr>
              <w:jc w:val="right"/>
              <w:textAlignment w:val="bottom"/>
            </w:pPr>
            <w:r>
              <w:rPr>
                <w:rFonts w:ascii="Arial" w:eastAsia="宋体" w:hAnsi="Arial" w:cs="Arial"/>
                <w:color w:val="000000"/>
                <w:sz w:val="16"/>
                <w:szCs w:val="16"/>
              </w:rPr>
              <w:t>— </w:t>
            </w:r>
          </w:p>
        </w:tc>
        <w:tc>
          <w:tcPr>
            <w:tcW w:w="0" w:type="auto"/>
            <w:shd w:val="clear" w:color="auto" w:fill="DBDBDB"/>
            <w:tcMar>
              <w:top w:w="40" w:type="dxa"/>
              <w:left w:w="0" w:type="dxa"/>
              <w:bottom w:w="40" w:type="dxa"/>
              <w:right w:w="20" w:type="dxa"/>
            </w:tcMar>
            <w:vAlign w:val="bottom"/>
          </w:tcPr>
          <w:p w14:paraId="22CFCC71" w14:textId="77777777" w:rsidR="002661BA" w:rsidRDefault="00D972BC">
            <w:pPr>
              <w:jc w:val="right"/>
              <w:textAlignment w:val="bottom"/>
            </w:pPr>
            <w:r>
              <w:rPr>
                <w:rFonts w:ascii="Arial" w:eastAsia="宋体" w:hAnsi="Arial" w:cs="Arial"/>
                <w:color w:val="000000"/>
                <w:sz w:val="16"/>
                <w:szCs w:val="16"/>
              </w:rPr>
              <w:t>%</w:t>
            </w:r>
          </w:p>
        </w:tc>
      </w:tr>
      <w:tr w:rsidR="002661BA" w14:paraId="22CFCC83" w14:textId="77777777">
        <w:tc>
          <w:tcPr>
            <w:tcW w:w="0" w:type="auto"/>
            <w:gridSpan w:val="3"/>
            <w:shd w:val="clear" w:color="auto" w:fill="FFFFFF"/>
            <w:tcMar>
              <w:top w:w="40" w:type="dxa"/>
              <w:left w:w="155" w:type="dxa"/>
              <w:bottom w:w="40" w:type="dxa"/>
              <w:right w:w="20" w:type="dxa"/>
            </w:tcMar>
            <w:vAlign w:val="bottom"/>
          </w:tcPr>
          <w:p w14:paraId="22CFCC73" w14:textId="77777777" w:rsidR="002661BA" w:rsidRDefault="00D972BC">
            <w:pPr>
              <w:textAlignment w:val="bottom"/>
            </w:pPr>
            <w:r>
              <w:rPr>
                <w:rFonts w:ascii="Arial" w:eastAsia="宋体" w:hAnsi="Arial" w:cs="Arial"/>
                <w:color w:val="000000"/>
                <w:sz w:val="16"/>
                <w:szCs w:val="16"/>
              </w:rPr>
              <w:t>Senior notes due 2027</w:t>
            </w:r>
          </w:p>
        </w:tc>
        <w:tc>
          <w:tcPr>
            <w:tcW w:w="0" w:type="auto"/>
            <w:gridSpan w:val="3"/>
            <w:shd w:val="clear" w:color="auto" w:fill="FFFFFF"/>
            <w:tcMar>
              <w:top w:w="0" w:type="dxa"/>
              <w:left w:w="20" w:type="dxa"/>
              <w:bottom w:w="0" w:type="dxa"/>
              <w:right w:w="20" w:type="dxa"/>
            </w:tcMar>
            <w:vAlign w:val="bottom"/>
          </w:tcPr>
          <w:p w14:paraId="22CFCC74"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75" w14:textId="77777777" w:rsidR="002661BA" w:rsidRDefault="00D972BC">
            <w:pPr>
              <w:jc w:val="right"/>
              <w:textAlignment w:val="bottom"/>
            </w:pPr>
            <w:r>
              <w:rPr>
                <w:rFonts w:ascii="Arial" w:eastAsia="宋体" w:hAnsi="Arial" w:cs="Arial"/>
                <w:color w:val="000000"/>
                <w:sz w:val="16"/>
                <w:szCs w:val="16"/>
              </w:rPr>
              <w:t>3.600 </w:t>
            </w:r>
          </w:p>
        </w:tc>
        <w:tc>
          <w:tcPr>
            <w:tcW w:w="0" w:type="auto"/>
            <w:shd w:val="clear" w:color="auto" w:fill="FFFFFF"/>
            <w:tcMar>
              <w:top w:w="40" w:type="dxa"/>
              <w:left w:w="0" w:type="dxa"/>
              <w:bottom w:w="40" w:type="dxa"/>
              <w:right w:w="20" w:type="dxa"/>
            </w:tcMar>
            <w:vAlign w:val="bottom"/>
          </w:tcPr>
          <w:p w14:paraId="22CFCC76"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22CFCC77"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78" w14:textId="77777777" w:rsidR="002661BA" w:rsidRDefault="00D972BC">
            <w:pPr>
              <w:jc w:val="right"/>
              <w:textAlignment w:val="bottom"/>
            </w:pPr>
            <w:r>
              <w:rPr>
                <w:rFonts w:ascii="Arial" w:eastAsia="宋体" w:hAnsi="Arial" w:cs="Arial"/>
                <w:color w:val="000000"/>
                <w:sz w:val="16"/>
                <w:szCs w:val="16"/>
              </w:rPr>
              <w:t>850 </w:t>
            </w:r>
          </w:p>
        </w:tc>
        <w:tc>
          <w:tcPr>
            <w:tcW w:w="0" w:type="auto"/>
            <w:shd w:val="clear" w:color="auto" w:fill="FFFFFF"/>
            <w:tcMar>
              <w:top w:w="40" w:type="dxa"/>
              <w:left w:w="0" w:type="dxa"/>
              <w:bottom w:w="40" w:type="dxa"/>
              <w:right w:w="20" w:type="dxa"/>
            </w:tcMar>
            <w:vAlign w:val="bottom"/>
          </w:tcPr>
          <w:p w14:paraId="22CFCC7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C7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7B" w14:textId="77777777" w:rsidR="002661BA" w:rsidRDefault="00D972BC">
            <w:pPr>
              <w:jc w:val="right"/>
              <w:textAlignment w:val="bottom"/>
            </w:pPr>
            <w:r>
              <w:rPr>
                <w:rFonts w:ascii="Arial" w:eastAsia="宋体" w:hAnsi="Arial" w:cs="Arial"/>
                <w:color w:val="000000"/>
                <w:sz w:val="16"/>
                <w:szCs w:val="16"/>
              </w:rPr>
              <w:t>3.689 </w:t>
            </w:r>
          </w:p>
        </w:tc>
        <w:tc>
          <w:tcPr>
            <w:tcW w:w="0" w:type="auto"/>
            <w:shd w:val="clear" w:color="auto" w:fill="FFFFFF"/>
            <w:tcMar>
              <w:top w:w="40" w:type="dxa"/>
              <w:left w:w="0" w:type="dxa"/>
              <w:bottom w:w="40" w:type="dxa"/>
              <w:right w:w="20" w:type="dxa"/>
            </w:tcMar>
            <w:vAlign w:val="bottom"/>
          </w:tcPr>
          <w:p w14:paraId="22CFCC7C"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22CFCC7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7E" w14:textId="77777777" w:rsidR="002661BA" w:rsidRDefault="00D972BC">
            <w:pPr>
              <w:jc w:val="right"/>
              <w:textAlignment w:val="bottom"/>
            </w:pPr>
            <w:r>
              <w:rPr>
                <w:rFonts w:ascii="Arial" w:eastAsia="宋体" w:hAnsi="Arial" w:cs="Arial"/>
                <w:color w:val="000000"/>
                <w:sz w:val="16"/>
                <w:szCs w:val="16"/>
              </w:rPr>
              <w:t>850 </w:t>
            </w:r>
          </w:p>
        </w:tc>
        <w:tc>
          <w:tcPr>
            <w:tcW w:w="0" w:type="auto"/>
            <w:shd w:val="clear" w:color="auto" w:fill="FFFFFF"/>
            <w:tcMar>
              <w:top w:w="40" w:type="dxa"/>
              <w:left w:w="0" w:type="dxa"/>
              <w:bottom w:w="40" w:type="dxa"/>
              <w:right w:w="20" w:type="dxa"/>
            </w:tcMar>
            <w:vAlign w:val="bottom"/>
          </w:tcPr>
          <w:p w14:paraId="22CFCC7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C8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81" w14:textId="77777777" w:rsidR="002661BA" w:rsidRDefault="00D972BC">
            <w:pPr>
              <w:jc w:val="right"/>
              <w:textAlignment w:val="bottom"/>
            </w:pPr>
            <w:r>
              <w:rPr>
                <w:rFonts w:ascii="Arial" w:eastAsia="宋体" w:hAnsi="Arial" w:cs="Arial"/>
                <w:color w:val="000000"/>
                <w:sz w:val="16"/>
                <w:szCs w:val="16"/>
              </w:rPr>
              <w:t>3.689 </w:t>
            </w:r>
          </w:p>
        </w:tc>
        <w:tc>
          <w:tcPr>
            <w:tcW w:w="0" w:type="auto"/>
            <w:shd w:val="clear" w:color="auto" w:fill="FFFFFF"/>
            <w:tcMar>
              <w:top w:w="40" w:type="dxa"/>
              <w:left w:w="0" w:type="dxa"/>
              <w:bottom w:w="40" w:type="dxa"/>
              <w:right w:w="20" w:type="dxa"/>
            </w:tcMar>
            <w:vAlign w:val="bottom"/>
          </w:tcPr>
          <w:p w14:paraId="22CFCC82" w14:textId="77777777" w:rsidR="002661BA" w:rsidRDefault="00D972BC">
            <w:pPr>
              <w:jc w:val="right"/>
              <w:textAlignment w:val="bottom"/>
            </w:pPr>
            <w:r>
              <w:rPr>
                <w:rFonts w:ascii="Arial" w:eastAsia="宋体" w:hAnsi="Arial" w:cs="Arial"/>
                <w:color w:val="000000"/>
                <w:sz w:val="16"/>
                <w:szCs w:val="16"/>
              </w:rPr>
              <w:t>%</w:t>
            </w:r>
          </w:p>
        </w:tc>
      </w:tr>
      <w:tr w:rsidR="002661BA" w14:paraId="22CFCC94" w14:textId="77777777">
        <w:tc>
          <w:tcPr>
            <w:tcW w:w="0" w:type="auto"/>
            <w:gridSpan w:val="3"/>
            <w:shd w:val="clear" w:color="auto" w:fill="DBDBDB"/>
            <w:tcMar>
              <w:top w:w="40" w:type="dxa"/>
              <w:left w:w="155" w:type="dxa"/>
              <w:bottom w:w="40" w:type="dxa"/>
              <w:right w:w="20" w:type="dxa"/>
            </w:tcMar>
            <w:vAlign w:val="bottom"/>
          </w:tcPr>
          <w:p w14:paraId="22CFCC84" w14:textId="77777777" w:rsidR="002661BA" w:rsidRDefault="00D972BC">
            <w:pPr>
              <w:textAlignment w:val="bottom"/>
            </w:pPr>
            <w:r>
              <w:rPr>
                <w:rFonts w:ascii="Arial" w:eastAsia="宋体" w:hAnsi="Arial" w:cs="Arial"/>
                <w:color w:val="000000"/>
                <w:sz w:val="16"/>
                <w:szCs w:val="16"/>
              </w:rPr>
              <w:t>Senior notes due 2030</w:t>
            </w:r>
          </w:p>
        </w:tc>
        <w:tc>
          <w:tcPr>
            <w:tcW w:w="0" w:type="auto"/>
            <w:gridSpan w:val="3"/>
            <w:shd w:val="clear" w:color="auto" w:fill="DBDBDB"/>
            <w:tcMar>
              <w:top w:w="0" w:type="dxa"/>
              <w:left w:w="20" w:type="dxa"/>
              <w:bottom w:w="0" w:type="dxa"/>
              <w:right w:w="20" w:type="dxa"/>
            </w:tcMar>
            <w:vAlign w:val="bottom"/>
          </w:tcPr>
          <w:p w14:paraId="22CFCC85"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86" w14:textId="77777777" w:rsidR="002661BA" w:rsidRDefault="00D972BC">
            <w:pPr>
              <w:jc w:val="right"/>
              <w:textAlignment w:val="bottom"/>
            </w:pPr>
            <w:r>
              <w:rPr>
                <w:rFonts w:ascii="Arial" w:eastAsia="宋体" w:hAnsi="Arial" w:cs="Arial"/>
                <w:color w:val="000000"/>
                <w:sz w:val="16"/>
                <w:szCs w:val="16"/>
              </w:rPr>
              <w:t>2.700 </w:t>
            </w:r>
          </w:p>
        </w:tc>
        <w:tc>
          <w:tcPr>
            <w:tcW w:w="0" w:type="auto"/>
            <w:shd w:val="clear" w:color="auto" w:fill="DBDBDB"/>
            <w:tcMar>
              <w:top w:w="40" w:type="dxa"/>
              <w:left w:w="0" w:type="dxa"/>
              <w:bottom w:w="40" w:type="dxa"/>
              <w:right w:w="20" w:type="dxa"/>
            </w:tcMar>
            <w:vAlign w:val="bottom"/>
          </w:tcPr>
          <w:p w14:paraId="22CFCC87"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22CFCC88"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89" w14:textId="77777777" w:rsidR="002661BA" w:rsidRDefault="00D972BC">
            <w:pPr>
              <w:jc w:val="right"/>
              <w:textAlignment w:val="bottom"/>
            </w:pPr>
            <w:r>
              <w:rPr>
                <w:rFonts w:ascii="Arial" w:eastAsia="宋体" w:hAnsi="Arial" w:cs="Arial"/>
                <w:color w:val="000000"/>
                <w:sz w:val="16"/>
                <w:szCs w:val="16"/>
              </w:rPr>
              <w:t>950 </w:t>
            </w:r>
          </w:p>
        </w:tc>
        <w:tc>
          <w:tcPr>
            <w:tcW w:w="0" w:type="auto"/>
            <w:shd w:val="clear" w:color="auto" w:fill="DBDBDB"/>
            <w:tcMar>
              <w:top w:w="40" w:type="dxa"/>
              <w:left w:w="0" w:type="dxa"/>
              <w:bottom w:w="40" w:type="dxa"/>
              <w:right w:w="20" w:type="dxa"/>
            </w:tcMar>
            <w:vAlign w:val="bottom"/>
          </w:tcPr>
          <w:p w14:paraId="22CFCC8A"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C8B"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8C" w14:textId="77777777" w:rsidR="002661BA" w:rsidRDefault="00D972BC">
            <w:pPr>
              <w:jc w:val="right"/>
              <w:textAlignment w:val="bottom"/>
            </w:pPr>
            <w:r>
              <w:rPr>
                <w:rFonts w:ascii="Arial" w:eastAsia="宋体" w:hAnsi="Arial" w:cs="Arial"/>
                <w:color w:val="000000"/>
                <w:sz w:val="16"/>
                <w:szCs w:val="16"/>
              </w:rPr>
              <w:t>2.623 </w:t>
            </w:r>
          </w:p>
        </w:tc>
        <w:tc>
          <w:tcPr>
            <w:tcW w:w="0" w:type="auto"/>
            <w:shd w:val="clear" w:color="auto" w:fill="DBDBDB"/>
            <w:tcMar>
              <w:top w:w="40" w:type="dxa"/>
              <w:left w:w="0" w:type="dxa"/>
              <w:bottom w:w="40" w:type="dxa"/>
              <w:right w:w="20" w:type="dxa"/>
            </w:tcMar>
            <w:vAlign w:val="bottom"/>
          </w:tcPr>
          <w:p w14:paraId="22CFCC8D"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22CFCC8E"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8F" w14:textId="77777777" w:rsidR="002661BA" w:rsidRDefault="00D972BC">
            <w:pPr>
              <w:jc w:val="right"/>
              <w:textAlignment w:val="bottom"/>
            </w:pPr>
            <w:r>
              <w:rPr>
                <w:rFonts w:ascii="Arial" w:eastAsia="宋体" w:hAnsi="Arial" w:cs="Arial"/>
                <w:color w:val="000000"/>
                <w:sz w:val="16"/>
                <w:szCs w:val="16"/>
              </w:rPr>
              <w:t>950 </w:t>
            </w:r>
          </w:p>
        </w:tc>
        <w:tc>
          <w:tcPr>
            <w:tcW w:w="0" w:type="auto"/>
            <w:shd w:val="clear" w:color="auto" w:fill="DBDBDB"/>
            <w:tcMar>
              <w:top w:w="40" w:type="dxa"/>
              <w:left w:w="0" w:type="dxa"/>
              <w:bottom w:w="40" w:type="dxa"/>
              <w:right w:w="20" w:type="dxa"/>
            </w:tcMar>
            <w:vAlign w:val="bottom"/>
          </w:tcPr>
          <w:p w14:paraId="22CFCC90"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C91"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92" w14:textId="77777777" w:rsidR="002661BA" w:rsidRDefault="00D972BC">
            <w:pPr>
              <w:jc w:val="right"/>
              <w:textAlignment w:val="bottom"/>
            </w:pPr>
            <w:r>
              <w:rPr>
                <w:rFonts w:ascii="Arial" w:eastAsia="宋体" w:hAnsi="Arial" w:cs="Arial"/>
                <w:color w:val="000000"/>
                <w:sz w:val="16"/>
                <w:szCs w:val="16"/>
              </w:rPr>
              <w:t>2.623 </w:t>
            </w:r>
          </w:p>
        </w:tc>
        <w:tc>
          <w:tcPr>
            <w:tcW w:w="0" w:type="auto"/>
            <w:shd w:val="clear" w:color="auto" w:fill="DBDBDB"/>
            <w:tcMar>
              <w:top w:w="40" w:type="dxa"/>
              <w:left w:w="0" w:type="dxa"/>
              <w:bottom w:w="40" w:type="dxa"/>
              <w:right w:w="20" w:type="dxa"/>
            </w:tcMar>
            <w:vAlign w:val="bottom"/>
          </w:tcPr>
          <w:p w14:paraId="22CFCC93" w14:textId="77777777" w:rsidR="002661BA" w:rsidRDefault="00D972BC">
            <w:pPr>
              <w:jc w:val="right"/>
              <w:textAlignment w:val="bottom"/>
            </w:pPr>
            <w:r>
              <w:rPr>
                <w:rFonts w:ascii="Arial" w:eastAsia="宋体" w:hAnsi="Arial" w:cs="Arial"/>
                <w:color w:val="000000"/>
                <w:sz w:val="16"/>
                <w:szCs w:val="16"/>
              </w:rPr>
              <w:t>%</w:t>
            </w:r>
          </w:p>
        </w:tc>
      </w:tr>
      <w:tr w:rsidR="002661BA" w14:paraId="22CFCCA5" w14:textId="77777777">
        <w:tc>
          <w:tcPr>
            <w:tcW w:w="0" w:type="auto"/>
            <w:gridSpan w:val="3"/>
            <w:shd w:val="clear" w:color="auto" w:fill="FFFFFF"/>
            <w:tcMar>
              <w:top w:w="40" w:type="dxa"/>
              <w:left w:w="155" w:type="dxa"/>
              <w:bottom w:w="40" w:type="dxa"/>
              <w:right w:w="20" w:type="dxa"/>
            </w:tcMar>
            <w:vAlign w:val="bottom"/>
          </w:tcPr>
          <w:p w14:paraId="22CFCC95" w14:textId="77777777" w:rsidR="002661BA" w:rsidRDefault="00D972BC">
            <w:pPr>
              <w:textAlignment w:val="bottom"/>
            </w:pPr>
            <w:r>
              <w:rPr>
                <w:rFonts w:ascii="Arial" w:eastAsia="宋体" w:hAnsi="Arial" w:cs="Arial"/>
                <w:color w:val="000000"/>
                <w:sz w:val="16"/>
                <w:szCs w:val="16"/>
              </w:rPr>
              <w:t>Senior notes due 2031</w:t>
            </w:r>
          </w:p>
        </w:tc>
        <w:tc>
          <w:tcPr>
            <w:tcW w:w="0" w:type="auto"/>
            <w:gridSpan w:val="3"/>
            <w:shd w:val="clear" w:color="auto" w:fill="FFFFFF"/>
            <w:tcMar>
              <w:top w:w="0" w:type="dxa"/>
              <w:left w:w="20" w:type="dxa"/>
              <w:bottom w:w="0" w:type="dxa"/>
              <w:right w:w="20" w:type="dxa"/>
            </w:tcMar>
            <w:vAlign w:val="bottom"/>
          </w:tcPr>
          <w:p w14:paraId="22CFCC96"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97" w14:textId="77777777" w:rsidR="002661BA" w:rsidRDefault="00D972BC">
            <w:pPr>
              <w:jc w:val="right"/>
              <w:textAlignment w:val="bottom"/>
            </w:pPr>
            <w:r>
              <w:rPr>
                <w:rFonts w:ascii="Arial" w:eastAsia="宋体" w:hAnsi="Arial" w:cs="Arial"/>
                <w:color w:val="000000"/>
                <w:sz w:val="16"/>
                <w:szCs w:val="16"/>
              </w:rPr>
              <w:t>2.600 </w:t>
            </w:r>
          </w:p>
        </w:tc>
        <w:tc>
          <w:tcPr>
            <w:tcW w:w="0" w:type="auto"/>
            <w:shd w:val="clear" w:color="auto" w:fill="FFFFFF"/>
            <w:tcMar>
              <w:top w:w="40" w:type="dxa"/>
              <w:left w:w="0" w:type="dxa"/>
              <w:bottom w:w="40" w:type="dxa"/>
              <w:right w:w="20" w:type="dxa"/>
            </w:tcMar>
            <w:vAlign w:val="bottom"/>
          </w:tcPr>
          <w:p w14:paraId="22CFCC98"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22CFCC99"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9A" w14:textId="77777777" w:rsidR="002661BA" w:rsidRDefault="00D972BC">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22CFCC9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C9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9D" w14:textId="77777777" w:rsidR="002661BA" w:rsidRDefault="00D972BC">
            <w:pPr>
              <w:jc w:val="right"/>
              <w:textAlignment w:val="bottom"/>
            </w:pPr>
            <w:r>
              <w:rPr>
                <w:rFonts w:ascii="Arial" w:eastAsia="宋体" w:hAnsi="Arial" w:cs="Arial"/>
                <w:color w:val="000000"/>
                <w:sz w:val="16"/>
                <w:szCs w:val="16"/>
              </w:rPr>
              <w:t>2.186 </w:t>
            </w:r>
          </w:p>
        </w:tc>
        <w:tc>
          <w:tcPr>
            <w:tcW w:w="0" w:type="auto"/>
            <w:shd w:val="clear" w:color="auto" w:fill="FFFFFF"/>
            <w:tcMar>
              <w:top w:w="40" w:type="dxa"/>
              <w:left w:w="0" w:type="dxa"/>
              <w:bottom w:w="40" w:type="dxa"/>
              <w:right w:w="20" w:type="dxa"/>
            </w:tcMar>
            <w:vAlign w:val="bottom"/>
          </w:tcPr>
          <w:p w14:paraId="22CFCC9E"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22CFCC9F"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A0" w14:textId="77777777" w:rsidR="002661BA" w:rsidRDefault="00D972BC">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22CFCCA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CA2"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A3" w14:textId="77777777" w:rsidR="002661BA" w:rsidRDefault="00D972BC">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22CFCCA4" w14:textId="77777777" w:rsidR="002661BA" w:rsidRDefault="00D972BC">
            <w:pPr>
              <w:jc w:val="right"/>
              <w:textAlignment w:val="bottom"/>
            </w:pPr>
            <w:r>
              <w:rPr>
                <w:rFonts w:ascii="Arial" w:eastAsia="宋体" w:hAnsi="Arial" w:cs="Arial"/>
                <w:color w:val="000000"/>
                <w:sz w:val="16"/>
                <w:szCs w:val="16"/>
              </w:rPr>
              <w:t>%</w:t>
            </w:r>
          </w:p>
        </w:tc>
      </w:tr>
      <w:tr w:rsidR="002661BA" w14:paraId="22CFCCB6" w14:textId="77777777">
        <w:tc>
          <w:tcPr>
            <w:tcW w:w="0" w:type="auto"/>
            <w:gridSpan w:val="3"/>
            <w:shd w:val="clear" w:color="auto" w:fill="DBDBDB"/>
            <w:tcMar>
              <w:top w:w="40" w:type="dxa"/>
              <w:left w:w="155" w:type="dxa"/>
              <w:bottom w:w="40" w:type="dxa"/>
              <w:right w:w="20" w:type="dxa"/>
            </w:tcMar>
            <w:vAlign w:val="bottom"/>
          </w:tcPr>
          <w:p w14:paraId="22CFCCA6" w14:textId="77777777" w:rsidR="002661BA" w:rsidRDefault="00D972BC">
            <w:pPr>
              <w:textAlignment w:val="bottom"/>
            </w:pPr>
            <w:r>
              <w:rPr>
                <w:rFonts w:ascii="Arial" w:eastAsia="宋体" w:hAnsi="Arial" w:cs="Arial"/>
                <w:color w:val="000000"/>
                <w:sz w:val="16"/>
                <w:szCs w:val="16"/>
              </w:rPr>
              <w:t>Senior notes due 2042</w:t>
            </w:r>
          </w:p>
        </w:tc>
        <w:tc>
          <w:tcPr>
            <w:tcW w:w="0" w:type="auto"/>
            <w:gridSpan w:val="3"/>
            <w:shd w:val="clear" w:color="auto" w:fill="DBDBDB"/>
            <w:tcMar>
              <w:top w:w="0" w:type="dxa"/>
              <w:left w:w="20" w:type="dxa"/>
              <w:bottom w:w="0" w:type="dxa"/>
              <w:right w:w="20" w:type="dxa"/>
            </w:tcMar>
            <w:vAlign w:val="bottom"/>
          </w:tcPr>
          <w:p w14:paraId="22CFCCA7"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A8" w14:textId="77777777" w:rsidR="002661BA" w:rsidRDefault="00D972BC">
            <w:pPr>
              <w:jc w:val="right"/>
              <w:textAlignment w:val="bottom"/>
            </w:pPr>
            <w:r>
              <w:rPr>
                <w:rFonts w:ascii="Arial" w:eastAsia="宋体" w:hAnsi="Arial" w:cs="Arial"/>
                <w:color w:val="000000"/>
                <w:sz w:val="16"/>
                <w:szCs w:val="16"/>
              </w:rPr>
              <w:t>4.000 </w:t>
            </w:r>
          </w:p>
        </w:tc>
        <w:tc>
          <w:tcPr>
            <w:tcW w:w="0" w:type="auto"/>
            <w:shd w:val="clear" w:color="auto" w:fill="DBDBDB"/>
            <w:tcMar>
              <w:top w:w="40" w:type="dxa"/>
              <w:left w:w="0" w:type="dxa"/>
              <w:bottom w:w="40" w:type="dxa"/>
              <w:right w:w="20" w:type="dxa"/>
            </w:tcMar>
            <w:vAlign w:val="bottom"/>
          </w:tcPr>
          <w:p w14:paraId="22CFCCA9"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22CFCCAA"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AB" w14:textId="77777777" w:rsidR="002661BA" w:rsidRDefault="00D972BC">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22CFCCAC"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CAD"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AE" w14:textId="77777777" w:rsidR="002661BA" w:rsidRDefault="00D972BC">
            <w:pPr>
              <w:jc w:val="right"/>
              <w:textAlignment w:val="bottom"/>
            </w:pPr>
            <w:r>
              <w:rPr>
                <w:rFonts w:ascii="Arial" w:eastAsia="宋体" w:hAnsi="Arial" w:cs="Arial"/>
                <w:color w:val="000000"/>
                <w:sz w:val="16"/>
                <w:szCs w:val="16"/>
              </w:rPr>
              <w:t>4.114 </w:t>
            </w:r>
          </w:p>
        </w:tc>
        <w:tc>
          <w:tcPr>
            <w:tcW w:w="0" w:type="auto"/>
            <w:shd w:val="clear" w:color="auto" w:fill="DBDBDB"/>
            <w:tcMar>
              <w:top w:w="40" w:type="dxa"/>
              <w:left w:w="0" w:type="dxa"/>
              <w:bottom w:w="40" w:type="dxa"/>
              <w:right w:w="20" w:type="dxa"/>
            </w:tcMar>
            <w:vAlign w:val="bottom"/>
          </w:tcPr>
          <w:p w14:paraId="22CFCCAF"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22CFCCB0"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B1" w14:textId="77777777" w:rsidR="002661BA" w:rsidRDefault="00D972BC">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22CFCCB2"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CB3"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B4" w14:textId="77777777" w:rsidR="002661BA" w:rsidRDefault="00D972BC">
            <w:pPr>
              <w:jc w:val="right"/>
              <w:textAlignment w:val="bottom"/>
            </w:pPr>
            <w:r>
              <w:rPr>
                <w:rFonts w:ascii="Arial" w:eastAsia="宋体" w:hAnsi="Arial" w:cs="Arial"/>
                <w:color w:val="000000"/>
                <w:sz w:val="16"/>
                <w:szCs w:val="16"/>
              </w:rPr>
              <w:t>4.114 </w:t>
            </w:r>
          </w:p>
        </w:tc>
        <w:tc>
          <w:tcPr>
            <w:tcW w:w="0" w:type="auto"/>
            <w:shd w:val="clear" w:color="auto" w:fill="DBDBDB"/>
            <w:tcMar>
              <w:top w:w="40" w:type="dxa"/>
              <w:left w:w="0" w:type="dxa"/>
              <w:bottom w:w="40" w:type="dxa"/>
              <w:right w:w="20" w:type="dxa"/>
            </w:tcMar>
            <w:vAlign w:val="bottom"/>
          </w:tcPr>
          <w:p w14:paraId="22CFCCB5" w14:textId="77777777" w:rsidR="002661BA" w:rsidRDefault="00D972BC">
            <w:pPr>
              <w:jc w:val="right"/>
              <w:textAlignment w:val="bottom"/>
            </w:pPr>
            <w:r>
              <w:rPr>
                <w:rFonts w:ascii="Arial" w:eastAsia="宋体" w:hAnsi="Arial" w:cs="Arial"/>
                <w:color w:val="000000"/>
                <w:sz w:val="16"/>
                <w:szCs w:val="16"/>
              </w:rPr>
              <w:t>%</w:t>
            </w:r>
          </w:p>
        </w:tc>
      </w:tr>
      <w:tr w:rsidR="002661BA" w14:paraId="22CFCCC7" w14:textId="77777777">
        <w:tc>
          <w:tcPr>
            <w:tcW w:w="0" w:type="auto"/>
            <w:gridSpan w:val="3"/>
            <w:shd w:val="clear" w:color="auto" w:fill="FFFFFF"/>
            <w:tcMar>
              <w:top w:w="40" w:type="dxa"/>
              <w:left w:w="155" w:type="dxa"/>
              <w:bottom w:w="40" w:type="dxa"/>
              <w:right w:w="20" w:type="dxa"/>
            </w:tcMar>
            <w:vAlign w:val="bottom"/>
          </w:tcPr>
          <w:p w14:paraId="22CFCCB7" w14:textId="77777777" w:rsidR="002661BA" w:rsidRDefault="00D972BC">
            <w:pPr>
              <w:textAlignment w:val="bottom"/>
            </w:pPr>
            <w:r>
              <w:rPr>
                <w:rFonts w:ascii="Arial" w:eastAsia="宋体" w:hAnsi="Arial" w:cs="Arial"/>
                <w:color w:val="000000"/>
                <w:sz w:val="16"/>
                <w:szCs w:val="16"/>
              </w:rPr>
              <w:t>Senior notes due 2051</w:t>
            </w:r>
          </w:p>
        </w:tc>
        <w:tc>
          <w:tcPr>
            <w:tcW w:w="0" w:type="auto"/>
            <w:gridSpan w:val="3"/>
            <w:shd w:val="clear" w:color="auto" w:fill="FFFFFF"/>
            <w:tcMar>
              <w:top w:w="0" w:type="dxa"/>
              <w:left w:w="20" w:type="dxa"/>
              <w:bottom w:w="0" w:type="dxa"/>
              <w:right w:w="20" w:type="dxa"/>
            </w:tcMar>
            <w:vAlign w:val="bottom"/>
          </w:tcPr>
          <w:p w14:paraId="22CFCCB8"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B9" w14:textId="77777777" w:rsidR="002661BA" w:rsidRDefault="00D972BC">
            <w:pPr>
              <w:jc w:val="right"/>
              <w:textAlignment w:val="bottom"/>
            </w:pPr>
            <w:r>
              <w:rPr>
                <w:rFonts w:ascii="Arial" w:eastAsia="宋体" w:hAnsi="Arial" w:cs="Arial"/>
                <w:color w:val="000000"/>
                <w:sz w:val="16"/>
                <w:szCs w:val="16"/>
              </w:rPr>
              <w:t>3.650 </w:t>
            </w:r>
          </w:p>
        </w:tc>
        <w:tc>
          <w:tcPr>
            <w:tcW w:w="0" w:type="auto"/>
            <w:shd w:val="clear" w:color="auto" w:fill="FFFFFF"/>
            <w:tcMar>
              <w:top w:w="40" w:type="dxa"/>
              <w:left w:w="0" w:type="dxa"/>
              <w:bottom w:w="40" w:type="dxa"/>
              <w:right w:w="20" w:type="dxa"/>
            </w:tcMar>
            <w:vAlign w:val="bottom"/>
          </w:tcPr>
          <w:p w14:paraId="22CFCCBA"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22CFCCBB"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BC" w14:textId="77777777" w:rsidR="002661BA" w:rsidRDefault="00D972BC">
            <w:pPr>
              <w:jc w:val="right"/>
              <w:textAlignment w:val="bottom"/>
            </w:pPr>
            <w:r>
              <w:rPr>
                <w:rFonts w:ascii="Arial" w:eastAsia="宋体" w:hAnsi="Arial" w:cs="Arial"/>
                <w:color w:val="000000"/>
                <w:sz w:val="16"/>
                <w:szCs w:val="16"/>
              </w:rPr>
              <w:t>1,000 </w:t>
            </w:r>
          </w:p>
        </w:tc>
        <w:tc>
          <w:tcPr>
            <w:tcW w:w="0" w:type="auto"/>
            <w:shd w:val="clear" w:color="auto" w:fill="FFFFFF"/>
            <w:tcMar>
              <w:top w:w="40" w:type="dxa"/>
              <w:left w:w="0" w:type="dxa"/>
              <w:bottom w:w="40" w:type="dxa"/>
              <w:right w:w="20" w:type="dxa"/>
            </w:tcMar>
            <w:vAlign w:val="bottom"/>
          </w:tcPr>
          <w:p w14:paraId="22CFCCB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CBE"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BF" w14:textId="77777777" w:rsidR="002661BA" w:rsidRDefault="00D972BC">
            <w:pPr>
              <w:jc w:val="right"/>
              <w:textAlignment w:val="bottom"/>
            </w:pPr>
            <w:r>
              <w:rPr>
                <w:rFonts w:ascii="Arial" w:eastAsia="宋体" w:hAnsi="Arial" w:cs="Arial"/>
                <w:color w:val="000000"/>
                <w:sz w:val="16"/>
                <w:szCs w:val="16"/>
              </w:rPr>
              <w:t>2.517 </w:t>
            </w:r>
          </w:p>
        </w:tc>
        <w:tc>
          <w:tcPr>
            <w:tcW w:w="0" w:type="auto"/>
            <w:shd w:val="clear" w:color="auto" w:fill="FFFFFF"/>
            <w:tcMar>
              <w:top w:w="40" w:type="dxa"/>
              <w:left w:w="0" w:type="dxa"/>
              <w:bottom w:w="40" w:type="dxa"/>
              <w:right w:w="20" w:type="dxa"/>
            </w:tcMar>
            <w:vAlign w:val="bottom"/>
          </w:tcPr>
          <w:p w14:paraId="22CFCCC0"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22CFCCC1"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C2" w14:textId="77777777" w:rsidR="002661BA" w:rsidRDefault="00D972BC">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22CFCCC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CC4"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C5" w14:textId="77777777" w:rsidR="002661BA" w:rsidRDefault="00D972BC">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22CFCCC6" w14:textId="77777777" w:rsidR="002661BA" w:rsidRDefault="00D972BC">
            <w:pPr>
              <w:jc w:val="right"/>
              <w:textAlignment w:val="bottom"/>
            </w:pPr>
            <w:r>
              <w:rPr>
                <w:rFonts w:ascii="Arial" w:eastAsia="宋体" w:hAnsi="Arial" w:cs="Arial"/>
                <w:color w:val="000000"/>
                <w:sz w:val="16"/>
                <w:szCs w:val="16"/>
              </w:rPr>
              <w:t>%</w:t>
            </w:r>
          </w:p>
        </w:tc>
      </w:tr>
      <w:tr w:rsidR="002661BA" w14:paraId="22CFCCD8" w14:textId="77777777">
        <w:tc>
          <w:tcPr>
            <w:tcW w:w="0" w:type="auto"/>
            <w:gridSpan w:val="3"/>
            <w:shd w:val="clear" w:color="auto" w:fill="DBDBDB"/>
            <w:tcMar>
              <w:top w:w="40" w:type="dxa"/>
              <w:left w:w="155" w:type="dxa"/>
              <w:bottom w:w="40" w:type="dxa"/>
              <w:right w:w="20" w:type="dxa"/>
            </w:tcMar>
            <w:vAlign w:val="bottom"/>
          </w:tcPr>
          <w:p w14:paraId="22CFCCC8" w14:textId="77777777" w:rsidR="002661BA" w:rsidRDefault="00D972BC">
            <w:pPr>
              <w:textAlignment w:val="bottom"/>
            </w:pPr>
            <w:r>
              <w:rPr>
                <w:rFonts w:ascii="Arial" w:eastAsia="宋体" w:hAnsi="Arial" w:cs="Arial"/>
                <w:color w:val="000000"/>
                <w:sz w:val="16"/>
                <w:szCs w:val="16"/>
              </w:rPr>
              <w:t>Senior notes due 2056</w:t>
            </w:r>
          </w:p>
        </w:tc>
        <w:tc>
          <w:tcPr>
            <w:tcW w:w="0" w:type="auto"/>
            <w:gridSpan w:val="3"/>
            <w:shd w:val="clear" w:color="auto" w:fill="DBDBDB"/>
            <w:tcMar>
              <w:top w:w="0" w:type="dxa"/>
              <w:left w:w="20" w:type="dxa"/>
              <w:bottom w:w="0" w:type="dxa"/>
              <w:right w:w="20" w:type="dxa"/>
            </w:tcMar>
            <w:vAlign w:val="bottom"/>
          </w:tcPr>
          <w:p w14:paraId="22CFCCC9"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CA" w14:textId="77777777" w:rsidR="002661BA" w:rsidRDefault="00D972BC">
            <w:pPr>
              <w:jc w:val="right"/>
              <w:textAlignment w:val="bottom"/>
            </w:pPr>
            <w:r>
              <w:rPr>
                <w:rFonts w:ascii="Arial" w:eastAsia="宋体" w:hAnsi="Arial" w:cs="Arial"/>
                <w:color w:val="000000"/>
                <w:sz w:val="16"/>
                <w:szCs w:val="16"/>
              </w:rPr>
              <w:t>6.000 </w:t>
            </w:r>
          </w:p>
        </w:tc>
        <w:tc>
          <w:tcPr>
            <w:tcW w:w="0" w:type="auto"/>
            <w:shd w:val="clear" w:color="auto" w:fill="DBDBDB"/>
            <w:tcMar>
              <w:top w:w="40" w:type="dxa"/>
              <w:left w:w="0" w:type="dxa"/>
              <w:bottom w:w="40" w:type="dxa"/>
              <w:right w:w="20" w:type="dxa"/>
            </w:tcMar>
            <w:vAlign w:val="bottom"/>
          </w:tcPr>
          <w:p w14:paraId="22CFCCCB"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22CFCCCC"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CD" w14:textId="77777777" w:rsidR="002661BA" w:rsidRDefault="00D972BC">
            <w:pPr>
              <w:jc w:val="right"/>
              <w:textAlignment w:val="bottom"/>
            </w:pPr>
            <w:r>
              <w:rPr>
                <w:rFonts w:ascii="Arial" w:eastAsia="宋体" w:hAnsi="Arial" w:cs="Arial"/>
                <w:color w:val="000000"/>
                <w:sz w:val="16"/>
                <w:szCs w:val="16"/>
              </w:rPr>
              <w:t>— </w:t>
            </w:r>
          </w:p>
        </w:tc>
        <w:tc>
          <w:tcPr>
            <w:tcW w:w="0" w:type="auto"/>
            <w:shd w:val="clear" w:color="auto" w:fill="DBDBDB"/>
            <w:tcMar>
              <w:top w:w="40" w:type="dxa"/>
              <w:left w:w="0" w:type="dxa"/>
              <w:bottom w:w="40" w:type="dxa"/>
              <w:right w:w="20" w:type="dxa"/>
            </w:tcMar>
            <w:vAlign w:val="bottom"/>
          </w:tcPr>
          <w:p w14:paraId="22CFCCCE"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CCF"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D0" w14:textId="77777777" w:rsidR="002661BA" w:rsidRDefault="00D972BC">
            <w:pPr>
              <w:jc w:val="right"/>
              <w:textAlignment w:val="bottom"/>
            </w:pPr>
            <w:r>
              <w:rPr>
                <w:rFonts w:ascii="Arial" w:eastAsia="宋体" w:hAnsi="Arial" w:cs="Arial"/>
                <w:color w:val="000000"/>
                <w:sz w:val="16"/>
                <w:szCs w:val="16"/>
              </w:rPr>
              <w:t>— </w:t>
            </w:r>
          </w:p>
        </w:tc>
        <w:tc>
          <w:tcPr>
            <w:tcW w:w="0" w:type="auto"/>
            <w:shd w:val="clear" w:color="auto" w:fill="DBDBDB"/>
            <w:tcMar>
              <w:top w:w="40" w:type="dxa"/>
              <w:left w:w="0" w:type="dxa"/>
              <w:bottom w:w="40" w:type="dxa"/>
              <w:right w:w="20" w:type="dxa"/>
            </w:tcMar>
            <w:vAlign w:val="bottom"/>
          </w:tcPr>
          <w:p w14:paraId="22CFCCD1" w14:textId="77777777" w:rsidR="002661BA" w:rsidRDefault="00D972BC">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22CFCCD2"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D3" w14:textId="77777777" w:rsidR="002661BA" w:rsidRDefault="00D972BC">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22CFCCD4"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CD5"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D6" w14:textId="77777777" w:rsidR="002661BA" w:rsidRDefault="00D972BC">
            <w:pPr>
              <w:jc w:val="right"/>
              <w:textAlignment w:val="bottom"/>
            </w:pPr>
            <w:r>
              <w:rPr>
                <w:rFonts w:ascii="Arial" w:eastAsia="宋体" w:hAnsi="Arial" w:cs="Arial"/>
                <w:color w:val="000000"/>
                <w:sz w:val="16"/>
                <w:szCs w:val="16"/>
              </w:rPr>
              <w:t>6.547 </w:t>
            </w:r>
          </w:p>
        </w:tc>
        <w:tc>
          <w:tcPr>
            <w:tcW w:w="0" w:type="auto"/>
            <w:shd w:val="clear" w:color="auto" w:fill="DBDBDB"/>
            <w:tcMar>
              <w:top w:w="40" w:type="dxa"/>
              <w:left w:w="0" w:type="dxa"/>
              <w:bottom w:w="40" w:type="dxa"/>
              <w:right w:w="20" w:type="dxa"/>
            </w:tcMar>
            <w:vAlign w:val="bottom"/>
          </w:tcPr>
          <w:p w14:paraId="22CFCCD7" w14:textId="77777777" w:rsidR="002661BA" w:rsidRDefault="00D972BC">
            <w:pPr>
              <w:jc w:val="right"/>
              <w:textAlignment w:val="bottom"/>
            </w:pPr>
            <w:r>
              <w:rPr>
                <w:rFonts w:ascii="Arial" w:eastAsia="宋体" w:hAnsi="Arial" w:cs="Arial"/>
                <w:color w:val="000000"/>
                <w:sz w:val="16"/>
                <w:szCs w:val="16"/>
              </w:rPr>
              <w:t>%</w:t>
            </w:r>
          </w:p>
        </w:tc>
      </w:tr>
      <w:tr w:rsidR="002661BA" w14:paraId="22CFCCE6" w14:textId="77777777">
        <w:tc>
          <w:tcPr>
            <w:tcW w:w="0" w:type="auto"/>
            <w:gridSpan w:val="3"/>
            <w:shd w:val="clear" w:color="auto" w:fill="FFFFFF"/>
            <w:tcMar>
              <w:top w:w="40" w:type="dxa"/>
              <w:left w:w="380" w:type="dxa"/>
              <w:bottom w:w="40" w:type="dxa"/>
              <w:right w:w="20" w:type="dxa"/>
            </w:tcMar>
            <w:vAlign w:val="bottom"/>
          </w:tcPr>
          <w:p w14:paraId="22CFCCD9" w14:textId="77777777" w:rsidR="002661BA" w:rsidRDefault="00D972BC">
            <w:pPr>
              <w:textAlignment w:val="bottom"/>
            </w:pPr>
            <w:r>
              <w:rPr>
                <w:rFonts w:ascii="Arial" w:eastAsia="宋体" w:hAnsi="Arial" w:cs="Arial"/>
                <w:color w:val="000000"/>
                <w:sz w:val="16"/>
                <w:szCs w:val="16"/>
              </w:rPr>
              <w:t>Total senior notes</w:t>
            </w:r>
          </w:p>
        </w:tc>
        <w:tc>
          <w:tcPr>
            <w:tcW w:w="0" w:type="auto"/>
            <w:gridSpan w:val="3"/>
            <w:shd w:val="clear" w:color="auto" w:fill="FFFFFF"/>
            <w:tcMar>
              <w:top w:w="0" w:type="dxa"/>
              <w:left w:w="20" w:type="dxa"/>
              <w:bottom w:w="0" w:type="dxa"/>
              <w:right w:w="20" w:type="dxa"/>
            </w:tcMar>
            <w:vAlign w:val="bottom"/>
          </w:tcPr>
          <w:p w14:paraId="22CFCCDA"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CDB"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CDC"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CDD" w14:textId="77777777" w:rsidR="002661BA" w:rsidRDefault="00D972BC">
            <w:pPr>
              <w:jc w:val="right"/>
              <w:textAlignment w:val="bottom"/>
            </w:pPr>
            <w:r>
              <w:rPr>
                <w:rFonts w:ascii="Arial" w:eastAsia="宋体" w:hAnsi="Arial" w:cs="Arial"/>
                <w:color w:val="000000"/>
                <w:sz w:val="16"/>
                <w:szCs w:val="16"/>
              </w:rPr>
              <w:t>9,105 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CD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CDF"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CE0"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CE1"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CE2" w14:textId="77777777" w:rsidR="002661BA" w:rsidRDefault="00D972BC">
            <w:pPr>
              <w:jc w:val="right"/>
              <w:textAlignment w:val="bottom"/>
            </w:pPr>
            <w:r>
              <w:rPr>
                <w:rFonts w:ascii="Arial" w:eastAsia="宋体" w:hAnsi="Arial" w:cs="Arial"/>
                <w:color w:val="000000"/>
                <w:sz w:val="16"/>
                <w:szCs w:val="16"/>
              </w:rPr>
              <w:t>7,750 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CE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CE4"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CE5" w14:textId="77777777" w:rsidR="002661BA" w:rsidRDefault="002661BA">
            <w:pPr>
              <w:rPr>
                <w:rFonts w:ascii="宋体"/>
              </w:rPr>
            </w:pPr>
          </w:p>
        </w:tc>
      </w:tr>
      <w:tr w:rsidR="002661BA" w14:paraId="22CFCCF4" w14:textId="77777777">
        <w:tc>
          <w:tcPr>
            <w:tcW w:w="0" w:type="auto"/>
            <w:gridSpan w:val="3"/>
            <w:shd w:val="clear" w:color="auto" w:fill="DBDBDB"/>
            <w:tcMar>
              <w:top w:w="40" w:type="dxa"/>
              <w:left w:w="20" w:type="dxa"/>
              <w:bottom w:w="40" w:type="dxa"/>
              <w:right w:w="20" w:type="dxa"/>
            </w:tcMar>
            <w:vAlign w:val="bottom"/>
          </w:tcPr>
          <w:p w14:paraId="22CFCCE7" w14:textId="77777777" w:rsidR="002661BA" w:rsidRDefault="00D972BC">
            <w:pPr>
              <w:textAlignment w:val="bottom"/>
            </w:pPr>
            <w:r>
              <w:rPr>
                <w:rFonts w:ascii="Arial" w:eastAsia="宋体" w:hAnsi="Arial" w:cs="Arial"/>
                <w:color w:val="000000"/>
                <w:sz w:val="16"/>
                <w:szCs w:val="16"/>
              </w:rPr>
              <w:t xml:space="preserve">Hedge accounting fair value adjustments </w:t>
            </w:r>
            <w:r>
              <w:rPr>
                <w:rFonts w:ascii="Arial" w:eastAsia="宋体" w:hAnsi="Arial" w:cs="Arial"/>
                <w:color w:val="000000"/>
                <w:sz w:val="10"/>
                <w:szCs w:val="10"/>
              </w:rPr>
              <w:t>(1)</w:t>
            </w:r>
          </w:p>
        </w:tc>
        <w:tc>
          <w:tcPr>
            <w:tcW w:w="0" w:type="auto"/>
            <w:gridSpan w:val="3"/>
            <w:shd w:val="clear" w:color="auto" w:fill="DBDBDB"/>
            <w:tcMar>
              <w:top w:w="0" w:type="dxa"/>
              <w:left w:w="20" w:type="dxa"/>
              <w:bottom w:w="0" w:type="dxa"/>
              <w:right w:w="20" w:type="dxa"/>
            </w:tcMar>
            <w:vAlign w:val="bottom"/>
          </w:tcPr>
          <w:p w14:paraId="22CFCCE8"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CE9"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CEA"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EB" w14:textId="77777777" w:rsidR="002661BA" w:rsidRDefault="00D972BC">
            <w:pPr>
              <w:jc w:val="right"/>
              <w:textAlignment w:val="bottom"/>
            </w:pPr>
            <w:r>
              <w:rPr>
                <w:rFonts w:ascii="Arial" w:eastAsia="宋体" w:hAnsi="Arial" w:cs="Arial"/>
                <w:color w:val="000000"/>
                <w:sz w:val="16"/>
                <w:szCs w:val="16"/>
              </w:rPr>
              <w:t>7 </w:t>
            </w:r>
          </w:p>
        </w:tc>
        <w:tc>
          <w:tcPr>
            <w:tcW w:w="0" w:type="auto"/>
            <w:shd w:val="clear" w:color="auto" w:fill="DBDBDB"/>
            <w:tcMar>
              <w:top w:w="40" w:type="dxa"/>
              <w:left w:w="0" w:type="dxa"/>
              <w:bottom w:w="40" w:type="dxa"/>
              <w:right w:w="20" w:type="dxa"/>
            </w:tcMar>
            <w:vAlign w:val="bottom"/>
          </w:tcPr>
          <w:p w14:paraId="22CFCCEC"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CED"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CEE"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CEF"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CF0" w14:textId="77777777" w:rsidR="002661BA" w:rsidRDefault="00D972BC">
            <w:pPr>
              <w:jc w:val="right"/>
              <w:textAlignment w:val="bottom"/>
            </w:pPr>
            <w:r>
              <w:rPr>
                <w:rFonts w:ascii="Arial" w:eastAsia="宋体" w:hAnsi="Arial" w:cs="Arial"/>
                <w:color w:val="000000"/>
                <w:sz w:val="16"/>
                <w:szCs w:val="16"/>
              </w:rPr>
              <w:t>10 </w:t>
            </w:r>
          </w:p>
        </w:tc>
        <w:tc>
          <w:tcPr>
            <w:tcW w:w="0" w:type="auto"/>
            <w:shd w:val="clear" w:color="auto" w:fill="DBDBDB"/>
            <w:tcMar>
              <w:top w:w="40" w:type="dxa"/>
              <w:left w:w="0" w:type="dxa"/>
              <w:bottom w:w="40" w:type="dxa"/>
              <w:right w:w="20" w:type="dxa"/>
            </w:tcMar>
            <w:vAlign w:val="bottom"/>
          </w:tcPr>
          <w:p w14:paraId="22CFCCF1"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CF2"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CF3" w14:textId="77777777" w:rsidR="002661BA" w:rsidRDefault="002661BA">
            <w:pPr>
              <w:rPr>
                <w:rFonts w:ascii="宋体"/>
              </w:rPr>
            </w:pPr>
          </w:p>
        </w:tc>
      </w:tr>
      <w:tr w:rsidR="002661BA" w14:paraId="22CFCD02" w14:textId="77777777">
        <w:tc>
          <w:tcPr>
            <w:tcW w:w="0" w:type="auto"/>
            <w:gridSpan w:val="3"/>
            <w:shd w:val="clear" w:color="auto" w:fill="FFFFFF"/>
            <w:tcMar>
              <w:top w:w="40" w:type="dxa"/>
              <w:left w:w="20" w:type="dxa"/>
              <w:bottom w:w="40" w:type="dxa"/>
              <w:right w:w="20" w:type="dxa"/>
            </w:tcMar>
            <w:vAlign w:val="bottom"/>
          </w:tcPr>
          <w:p w14:paraId="22CFCCF5" w14:textId="77777777" w:rsidR="002661BA" w:rsidRDefault="00D972BC">
            <w:pPr>
              <w:textAlignment w:val="bottom"/>
            </w:pPr>
            <w:r>
              <w:rPr>
                <w:rFonts w:ascii="Arial" w:eastAsia="宋体" w:hAnsi="Arial" w:cs="Arial"/>
                <w:color w:val="000000"/>
                <w:sz w:val="16"/>
                <w:szCs w:val="16"/>
              </w:rPr>
              <w:t xml:space="preserve">Unamortized premium/(discount) and debt </w:t>
            </w:r>
            <w:r>
              <w:rPr>
                <w:rFonts w:ascii="Arial" w:eastAsia="宋体" w:hAnsi="Arial" w:cs="Arial"/>
                <w:color w:val="000000"/>
                <w:sz w:val="16"/>
                <w:szCs w:val="16"/>
              </w:rPr>
              <w:t>issuance costs</w:t>
            </w:r>
          </w:p>
        </w:tc>
        <w:tc>
          <w:tcPr>
            <w:tcW w:w="0" w:type="auto"/>
            <w:gridSpan w:val="3"/>
            <w:shd w:val="clear" w:color="auto" w:fill="FFFFFF"/>
            <w:tcMar>
              <w:top w:w="0" w:type="dxa"/>
              <w:left w:w="20" w:type="dxa"/>
              <w:bottom w:w="0" w:type="dxa"/>
              <w:right w:w="20" w:type="dxa"/>
            </w:tcMar>
            <w:vAlign w:val="bottom"/>
          </w:tcPr>
          <w:p w14:paraId="22CFCCF6"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CF7"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CF8"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F9" w14:textId="77777777" w:rsidR="002661BA" w:rsidRDefault="00D972BC">
            <w:pPr>
              <w:jc w:val="right"/>
              <w:textAlignment w:val="bottom"/>
            </w:pPr>
            <w:r>
              <w:rPr>
                <w:rFonts w:ascii="Arial" w:eastAsia="宋体" w:hAnsi="Arial" w:cs="Arial"/>
                <w:color w:val="000000"/>
                <w:sz w:val="16"/>
                <w:szCs w:val="16"/>
              </w:rPr>
              <w:t>(30)</w:t>
            </w:r>
          </w:p>
        </w:tc>
        <w:tc>
          <w:tcPr>
            <w:tcW w:w="0" w:type="auto"/>
            <w:shd w:val="clear" w:color="auto" w:fill="FFFFFF"/>
            <w:tcMar>
              <w:top w:w="40" w:type="dxa"/>
              <w:left w:w="0" w:type="dxa"/>
              <w:bottom w:w="40" w:type="dxa"/>
              <w:right w:w="20" w:type="dxa"/>
            </w:tcMar>
            <w:vAlign w:val="bottom"/>
          </w:tcPr>
          <w:p w14:paraId="22CFCCFA"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CFB"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CF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CF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CFE" w14:textId="77777777" w:rsidR="002661BA" w:rsidRDefault="00D972BC">
            <w:pPr>
              <w:jc w:val="right"/>
              <w:textAlignment w:val="bottom"/>
            </w:pPr>
            <w:r>
              <w:rPr>
                <w:rFonts w:ascii="Arial" w:eastAsia="宋体" w:hAnsi="Arial" w:cs="Arial"/>
                <w:color w:val="000000"/>
                <w:sz w:val="16"/>
                <w:szCs w:val="16"/>
              </w:rPr>
              <w:t>(20)</w:t>
            </w:r>
          </w:p>
        </w:tc>
        <w:tc>
          <w:tcPr>
            <w:tcW w:w="0" w:type="auto"/>
            <w:shd w:val="clear" w:color="auto" w:fill="FFFFFF"/>
            <w:tcMar>
              <w:top w:w="40" w:type="dxa"/>
              <w:left w:w="0" w:type="dxa"/>
              <w:bottom w:w="40" w:type="dxa"/>
              <w:right w:w="20" w:type="dxa"/>
            </w:tcMar>
            <w:vAlign w:val="bottom"/>
          </w:tcPr>
          <w:p w14:paraId="22CFCCF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D00"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01" w14:textId="77777777" w:rsidR="002661BA" w:rsidRDefault="002661BA">
            <w:pPr>
              <w:rPr>
                <w:rFonts w:ascii="宋体"/>
              </w:rPr>
            </w:pPr>
          </w:p>
        </w:tc>
      </w:tr>
      <w:tr w:rsidR="002661BA" w14:paraId="22CFCD0E" w14:textId="77777777">
        <w:trPr>
          <w:hidden/>
        </w:trPr>
        <w:tc>
          <w:tcPr>
            <w:tcW w:w="0" w:type="auto"/>
            <w:gridSpan w:val="3"/>
            <w:shd w:val="clear" w:color="auto" w:fill="auto"/>
            <w:vAlign w:val="bottom"/>
          </w:tcPr>
          <w:p w14:paraId="22CFCD03" w14:textId="77777777" w:rsidR="002661BA" w:rsidRDefault="002661BA">
            <w:pPr>
              <w:rPr>
                <w:rFonts w:ascii="宋体"/>
                <w:vanish/>
              </w:rPr>
            </w:pPr>
          </w:p>
        </w:tc>
        <w:tc>
          <w:tcPr>
            <w:tcW w:w="0" w:type="auto"/>
            <w:gridSpan w:val="3"/>
            <w:shd w:val="clear" w:color="auto" w:fill="auto"/>
            <w:vAlign w:val="bottom"/>
          </w:tcPr>
          <w:p w14:paraId="22CFCD04" w14:textId="77777777" w:rsidR="002661BA" w:rsidRDefault="002661BA">
            <w:pPr>
              <w:rPr>
                <w:rFonts w:ascii="宋体"/>
                <w:vanish/>
              </w:rPr>
            </w:pPr>
          </w:p>
        </w:tc>
        <w:tc>
          <w:tcPr>
            <w:tcW w:w="0" w:type="auto"/>
            <w:gridSpan w:val="3"/>
            <w:shd w:val="clear" w:color="auto" w:fill="auto"/>
            <w:vAlign w:val="bottom"/>
          </w:tcPr>
          <w:p w14:paraId="22CFCD05" w14:textId="77777777" w:rsidR="002661BA" w:rsidRDefault="002661BA">
            <w:pPr>
              <w:rPr>
                <w:rFonts w:ascii="宋体"/>
                <w:vanish/>
              </w:rPr>
            </w:pPr>
          </w:p>
        </w:tc>
        <w:tc>
          <w:tcPr>
            <w:tcW w:w="0" w:type="auto"/>
            <w:gridSpan w:val="3"/>
            <w:shd w:val="clear" w:color="auto" w:fill="auto"/>
            <w:vAlign w:val="bottom"/>
          </w:tcPr>
          <w:p w14:paraId="22CFCD06" w14:textId="77777777" w:rsidR="002661BA" w:rsidRDefault="002661BA">
            <w:pPr>
              <w:rPr>
                <w:rFonts w:ascii="宋体"/>
                <w:vanish/>
              </w:rPr>
            </w:pPr>
          </w:p>
        </w:tc>
        <w:tc>
          <w:tcPr>
            <w:tcW w:w="0" w:type="auto"/>
            <w:gridSpan w:val="3"/>
            <w:shd w:val="clear" w:color="auto" w:fill="auto"/>
            <w:vAlign w:val="bottom"/>
          </w:tcPr>
          <w:p w14:paraId="22CFCD07" w14:textId="77777777" w:rsidR="002661BA" w:rsidRDefault="002661BA">
            <w:pPr>
              <w:rPr>
                <w:rFonts w:ascii="宋体"/>
                <w:vanish/>
              </w:rPr>
            </w:pPr>
          </w:p>
        </w:tc>
        <w:tc>
          <w:tcPr>
            <w:tcW w:w="0" w:type="auto"/>
            <w:gridSpan w:val="3"/>
            <w:shd w:val="clear" w:color="auto" w:fill="auto"/>
            <w:vAlign w:val="bottom"/>
          </w:tcPr>
          <w:p w14:paraId="22CFCD08" w14:textId="77777777" w:rsidR="002661BA" w:rsidRDefault="002661BA">
            <w:pPr>
              <w:rPr>
                <w:rFonts w:ascii="宋体"/>
                <w:vanish/>
              </w:rPr>
            </w:pPr>
          </w:p>
        </w:tc>
        <w:tc>
          <w:tcPr>
            <w:tcW w:w="0" w:type="auto"/>
            <w:gridSpan w:val="3"/>
            <w:shd w:val="clear" w:color="auto" w:fill="auto"/>
            <w:vAlign w:val="bottom"/>
          </w:tcPr>
          <w:p w14:paraId="22CFCD09" w14:textId="77777777" w:rsidR="002661BA" w:rsidRDefault="002661BA">
            <w:pPr>
              <w:rPr>
                <w:rFonts w:ascii="宋体"/>
                <w:vanish/>
              </w:rPr>
            </w:pPr>
          </w:p>
        </w:tc>
        <w:tc>
          <w:tcPr>
            <w:tcW w:w="0" w:type="auto"/>
            <w:gridSpan w:val="3"/>
            <w:shd w:val="clear" w:color="auto" w:fill="auto"/>
            <w:vAlign w:val="bottom"/>
          </w:tcPr>
          <w:p w14:paraId="22CFCD0A" w14:textId="77777777" w:rsidR="002661BA" w:rsidRDefault="002661BA">
            <w:pPr>
              <w:rPr>
                <w:rFonts w:ascii="宋体"/>
                <w:vanish/>
              </w:rPr>
            </w:pPr>
          </w:p>
        </w:tc>
        <w:tc>
          <w:tcPr>
            <w:tcW w:w="0" w:type="auto"/>
            <w:gridSpan w:val="3"/>
            <w:shd w:val="clear" w:color="auto" w:fill="auto"/>
            <w:vAlign w:val="bottom"/>
          </w:tcPr>
          <w:p w14:paraId="22CFCD0B" w14:textId="77777777" w:rsidR="002661BA" w:rsidRDefault="002661BA">
            <w:pPr>
              <w:rPr>
                <w:rFonts w:ascii="宋体"/>
                <w:vanish/>
              </w:rPr>
            </w:pPr>
          </w:p>
        </w:tc>
        <w:tc>
          <w:tcPr>
            <w:tcW w:w="0" w:type="auto"/>
            <w:gridSpan w:val="3"/>
            <w:shd w:val="clear" w:color="auto" w:fill="auto"/>
            <w:vAlign w:val="bottom"/>
          </w:tcPr>
          <w:p w14:paraId="22CFCD0C" w14:textId="77777777" w:rsidR="002661BA" w:rsidRDefault="002661BA">
            <w:pPr>
              <w:rPr>
                <w:rFonts w:ascii="宋体"/>
                <w:vanish/>
              </w:rPr>
            </w:pPr>
          </w:p>
        </w:tc>
        <w:tc>
          <w:tcPr>
            <w:tcW w:w="0" w:type="auto"/>
            <w:gridSpan w:val="3"/>
            <w:shd w:val="clear" w:color="auto" w:fill="auto"/>
            <w:vAlign w:val="bottom"/>
          </w:tcPr>
          <w:p w14:paraId="22CFCD0D" w14:textId="77777777" w:rsidR="002661BA" w:rsidRDefault="002661BA">
            <w:pPr>
              <w:rPr>
                <w:rFonts w:ascii="宋体"/>
                <w:vanish/>
              </w:rPr>
            </w:pPr>
          </w:p>
        </w:tc>
      </w:tr>
      <w:tr w:rsidR="002661BA" w14:paraId="22CFCD1C" w14:textId="77777777">
        <w:tc>
          <w:tcPr>
            <w:tcW w:w="0" w:type="auto"/>
            <w:gridSpan w:val="3"/>
            <w:shd w:val="clear" w:color="auto" w:fill="DBDBDB"/>
            <w:tcMar>
              <w:top w:w="40" w:type="dxa"/>
              <w:left w:w="20" w:type="dxa"/>
              <w:bottom w:w="40" w:type="dxa"/>
              <w:right w:w="20" w:type="dxa"/>
            </w:tcMar>
            <w:vAlign w:val="bottom"/>
          </w:tcPr>
          <w:p w14:paraId="22CFCD0F" w14:textId="77777777" w:rsidR="002661BA" w:rsidRDefault="00D972BC">
            <w:pPr>
              <w:textAlignment w:val="bottom"/>
            </w:pPr>
            <w:r>
              <w:rPr>
                <w:rFonts w:ascii="Arial" w:eastAsia="宋体" w:hAnsi="Arial" w:cs="Arial"/>
                <w:color w:val="000000"/>
                <w:sz w:val="16"/>
                <w:szCs w:val="16"/>
              </w:rPr>
              <w:t>Less: Current portion of long-term debt</w:t>
            </w:r>
          </w:p>
        </w:tc>
        <w:tc>
          <w:tcPr>
            <w:tcW w:w="0" w:type="auto"/>
            <w:gridSpan w:val="3"/>
            <w:shd w:val="clear" w:color="auto" w:fill="DBDBDB"/>
            <w:tcMar>
              <w:top w:w="0" w:type="dxa"/>
              <w:left w:w="20" w:type="dxa"/>
              <w:bottom w:w="0" w:type="dxa"/>
              <w:right w:w="20" w:type="dxa"/>
            </w:tcMar>
            <w:vAlign w:val="bottom"/>
          </w:tcPr>
          <w:p w14:paraId="22CFCD10"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11"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12"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D13" w14:textId="77777777" w:rsidR="002661BA" w:rsidRDefault="00D972BC">
            <w:pPr>
              <w:jc w:val="right"/>
              <w:textAlignment w:val="bottom"/>
            </w:pPr>
            <w:r>
              <w:rPr>
                <w:rFonts w:ascii="Arial" w:eastAsia="宋体" w:hAnsi="Arial" w:cs="Arial"/>
                <w:color w:val="000000"/>
                <w:sz w:val="16"/>
                <w:szCs w:val="16"/>
              </w:rPr>
              <w:t>(1,355)</w:t>
            </w:r>
          </w:p>
        </w:tc>
        <w:tc>
          <w:tcPr>
            <w:tcW w:w="0" w:type="auto"/>
            <w:shd w:val="clear" w:color="auto" w:fill="DBDBDB"/>
            <w:tcMar>
              <w:top w:w="40" w:type="dxa"/>
              <w:left w:w="0" w:type="dxa"/>
              <w:bottom w:w="40" w:type="dxa"/>
              <w:right w:w="20" w:type="dxa"/>
            </w:tcMar>
            <w:vAlign w:val="bottom"/>
          </w:tcPr>
          <w:p w14:paraId="22CFCD14"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D15"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16"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17"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D18" w14:textId="77777777" w:rsidR="002661BA" w:rsidRDefault="00D972BC">
            <w:pPr>
              <w:jc w:val="right"/>
              <w:textAlignment w:val="bottom"/>
            </w:pPr>
            <w:r>
              <w:rPr>
                <w:rFonts w:ascii="Arial" w:eastAsia="宋体" w:hAnsi="Arial" w:cs="Arial"/>
                <w:color w:val="000000"/>
                <w:sz w:val="16"/>
                <w:szCs w:val="16"/>
              </w:rPr>
              <w:t>— </w:t>
            </w:r>
          </w:p>
        </w:tc>
        <w:tc>
          <w:tcPr>
            <w:tcW w:w="0" w:type="auto"/>
            <w:shd w:val="clear" w:color="auto" w:fill="DBDBDB"/>
            <w:tcMar>
              <w:top w:w="40" w:type="dxa"/>
              <w:left w:w="0" w:type="dxa"/>
              <w:bottom w:w="40" w:type="dxa"/>
              <w:right w:w="20" w:type="dxa"/>
            </w:tcMar>
            <w:vAlign w:val="bottom"/>
          </w:tcPr>
          <w:p w14:paraId="22CFCD19"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D1A"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1B" w14:textId="77777777" w:rsidR="002661BA" w:rsidRDefault="002661BA">
            <w:pPr>
              <w:rPr>
                <w:rFonts w:ascii="宋体"/>
              </w:rPr>
            </w:pPr>
          </w:p>
        </w:tc>
      </w:tr>
      <w:tr w:rsidR="002661BA" w14:paraId="22CFCD2A" w14:textId="77777777">
        <w:tc>
          <w:tcPr>
            <w:tcW w:w="0" w:type="auto"/>
            <w:gridSpan w:val="3"/>
            <w:shd w:val="clear" w:color="auto" w:fill="FFFFFF"/>
            <w:tcMar>
              <w:top w:w="40" w:type="dxa"/>
              <w:left w:w="380" w:type="dxa"/>
              <w:bottom w:w="40" w:type="dxa"/>
              <w:right w:w="20" w:type="dxa"/>
            </w:tcMar>
            <w:vAlign w:val="bottom"/>
          </w:tcPr>
          <w:p w14:paraId="22CFCD1D" w14:textId="77777777" w:rsidR="002661BA" w:rsidRDefault="00D972BC">
            <w:pPr>
              <w:textAlignment w:val="bottom"/>
            </w:pPr>
            <w:r>
              <w:rPr>
                <w:rFonts w:ascii="Arial" w:eastAsia="宋体" w:hAnsi="Arial" w:cs="Arial"/>
                <w:color w:val="000000"/>
                <w:sz w:val="16"/>
                <w:szCs w:val="16"/>
              </w:rPr>
              <w:t>Total long-term debt</w:t>
            </w:r>
          </w:p>
        </w:tc>
        <w:tc>
          <w:tcPr>
            <w:tcW w:w="0" w:type="auto"/>
            <w:gridSpan w:val="3"/>
            <w:shd w:val="clear" w:color="auto" w:fill="FFFFFF"/>
            <w:tcMar>
              <w:top w:w="0" w:type="dxa"/>
              <w:left w:w="20" w:type="dxa"/>
              <w:bottom w:w="0" w:type="dxa"/>
              <w:right w:w="20" w:type="dxa"/>
            </w:tcMar>
            <w:vAlign w:val="bottom"/>
          </w:tcPr>
          <w:p w14:paraId="22CFCD1E"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1F"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20"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D21" w14:textId="77777777" w:rsidR="002661BA" w:rsidRDefault="00D972BC">
            <w:pPr>
              <w:jc w:val="right"/>
              <w:textAlignment w:val="bottom"/>
            </w:pPr>
            <w:r>
              <w:rPr>
                <w:rFonts w:ascii="Arial" w:eastAsia="宋体" w:hAnsi="Arial" w:cs="Arial"/>
                <w:color w:val="000000"/>
                <w:sz w:val="16"/>
                <w:szCs w:val="16"/>
              </w:rPr>
              <w:t>7,727 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D2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D23"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24"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25"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CD26" w14:textId="77777777" w:rsidR="002661BA" w:rsidRDefault="00D972BC">
            <w:pPr>
              <w:jc w:val="right"/>
              <w:textAlignment w:val="bottom"/>
            </w:pPr>
            <w:r>
              <w:rPr>
                <w:rFonts w:ascii="Arial" w:eastAsia="宋体" w:hAnsi="Arial" w:cs="Arial"/>
                <w:color w:val="000000"/>
                <w:sz w:val="16"/>
                <w:szCs w:val="16"/>
              </w:rPr>
              <w:t>7,740 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CD2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D28"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29" w14:textId="77777777" w:rsidR="002661BA" w:rsidRDefault="002661BA">
            <w:pPr>
              <w:rPr>
                <w:rFonts w:ascii="宋体"/>
              </w:rPr>
            </w:pPr>
          </w:p>
        </w:tc>
      </w:tr>
      <w:tr w:rsidR="002661BA" w14:paraId="22CFCD36" w14:textId="77777777">
        <w:trPr>
          <w:trHeight w:val="240"/>
        </w:trPr>
        <w:tc>
          <w:tcPr>
            <w:tcW w:w="0" w:type="auto"/>
            <w:gridSpan w:val="3"/>
            <w:shd w:val="clear" w:color="auto" w:fill="DBDBDB"/>
            <w:tcMar>
              <w:top w:w="0" w:type="dxa"/>
              <w:left w:w="20" w:type="dxa"/>
              <w:bottom w:w="0" w:type="dxa"/>
              <w:right w:w="20" w:type="dxa"/>
            </w:tcMar>
            <w:vAlign w:val="bottom"/>
          </w:tcPr>
          <w:p w14:paraId="22CFCD2B"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2C"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2D"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2E" w14:textId="77777777" w:rsidR="002661BA" w:rsidRDefault="002661BA">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22CFCD2F"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30"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31"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32" w14:textId="77777777" w:rsidR="002661BA" w:rsidRDefault="002661BA">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22CFCD33"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34"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35" w14:textId="77777777" w:rsidR="002661BA" w:rsidRDefault="002661BA">
            <w:pPr>
              <w:rPr>
                <w:rFonts w:ascii="宋体"/>
              </w:rPr>
            </w:pPr>
          </w:p>
        </w:tc>
      </w:tr>
      <w:tr w:rsidR="002661BA" w14:paraId="22CFCD42" w14:textId="77777777">
        <w:tc>
          <w:tcPr>
            <w:tcW w:w="0" w:type="auto"/>
            <w:gridSpan w:val="3"/>
            <w:shd w:val="clear" w:color="auto" w:fill="FFFFFF"/>
            <w:tcMar>
              <w:top w:w="40" w:type="dxa"/>
              <w:left w:w="20" w:type="dxa"/>
              <w:bottom w:w="40" w:type="dxa"/>
              <w:right w:w="20" w:type="dxa"/>
            </w:tcMar>
            <w:vAlign w:val="bottom"/>
          </w:tcPr>
          <w:p w14:paraId="22CFCD37" w14:textId="77777777" w:rsidR="002661BA" w:rsidRDefault="00D972BC">
            <w:pPr>
              <w:textAlignment w:val="bottom"/>
            </w:pPr>
            <w:r>
              <w:rPr>
                <w:rFonts w:ascii="Arial" w:eastAsia="宋体" w:hAnsi="Arial" w:cs="Arial"/>
                <w:b/>
                <w:bCs/>
                <w:color w:val="000000"/>
                <w:sz w:val="16"/>
                <w:szCs w:val="16"/>
              </w:rPr>
              <w:t>Short-Term Debt</w:t>
            </w:r>
          </w:p>
        </w:tc>
        <w:tc>
          <w:tcPr>
            <w:tcW w:w="0" w:type="auto"/>
            <w:gridSpan w:val="3"/>
            <w:shd w:val="clear" w:color="auto" w:fill="FFFFFF"/>
            <w:tcMar>
              <w:top w:w="0" w:type="dxa"/>
              <w:left w:w="20" w:type="dxa"/>
              <w:bottom w:w="0" w:type="dxa"/>
              <w:right w:w="20" w:type="dxa"/>
            </w:tcMar>
            <w:vAlign w:val="bottom"/>
          </w:tcPr>
          <w:p w14:paraId="22CFCD38"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39"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3A"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3B"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3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3D"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3E"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3F"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40"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41" w14:textId="77777777" w:rsidR="002661BA" w:rsidRDefault="002661BA">
            <w:pPr>
              <w:rPr>
                <w:rFonts w:ascii="宋体"/>
              </w:rPr>
            </w:pPr>
          </w:p>
        </w:tc>
      </w:tr>
      <w:tr w:rsidR="002661BA" w14:paraId="22CFCD50" w14:textId="77777777">
        <w:tc>
          <w:tcPr>
            <w:tcW w:w="0" w:type="auto"/>
            <w:gridSpan w:val="3"/>
            <w:shd w:val="clear" w:color="auto" w:fill="DBDBDB"/>
            <w:tcMar>
              <w:top w:w="40" w:type="dxa"/>
              <w:left w:w="35" w:type="dxa"/>
              <w:bottom w:w="40" w:type="dxa"/>
              <w:right w:w="20" w:type="dxa"/>
            </w:tcMar>
            <w:vAlign w:val="bottom"/>
          </w:tcPr>
          <w:p w14:paraId="22CFCD43" w14:textId="77777777" w:rsidR="002661BA" w:rsidRDefault="00D972BC">
            <w:pPr>
              <w:textAlignment w:val="bottom"/>
            </w:pPr>
            <w:r>
              <w:rPr>
                <w:rFonts w:ascii="Arial" w:eastAsia="宋体" w:hAnsi="Arial" w:cs="Arial"/>
                <w:color w:val="000000"/>
                <w:sz w:val="16"/>
                <w:szCs w:val="16"/>
              </w:rPr>
              <w:t>Current portion of long-term debt</w:t>
            </w:r>
          </w:p>
        </w:tc>
        <w:tc>
          <w:tcPr>
            <w:tcW w:w="0" w:type="auto"/>
            <w:gridSpan w:val="3"/>
            <w:shd w:val="clear" w:color="auto" w:fill="DBDBDB"/>
            <w:tcMar>
              <w:top w:w="0" w:type="dxa"/>
              <w:left w:w="20" w:type="dxa"/>
              <w:bottom w:w="0" w:type="dxa"/>
              <w:right w:w="20" w:type="dxa"/>
            </w:tcMar>
            <w:vAlign w:val="bottom"/>
          </w:tcPr>
          <w:p w14:paraId="22CFCD44"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45"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46"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D47" w14:textId="77777777" w:rsidR="002661BA" w:rsidRDefault="00D972BC">
            <w:pPr>
              <w:jc w:val="right"/>
              <w:textAlignment w:val="bottom"/>
            </w:pPr>
            <w:r>
              <w:rPr>
                <w:rFonts w:ascii="Arial" w:eastAsia="宋体" w:hAnsi="Arial" w:cs="Arial"/>
                <w:color w:val="000000"/>
                <w:sz w:val="16"/>
                <w:szCs w:val="16"/>
              </w:rPr>
              <w:t>1,355 </w:t>
            </w:r>
          </w:p>
        </w:tc>
        <w:tc>
          <w:tcPr>
            <w:tcW w:w="0" w:type="auto"/>
            <w:shd w:val="clear" w:color="auto" w:fill="DBDBDB"/>
            <w:tcMar>
              <w:top w:w="40" w:type="dxa"/>
              <w:left w:w="0" w:type="dxa"/>
              <w:bottom w:w="40" w:type="dxa"/>
              <w:right w:w="20" w:type="dxa"/>
            </w:tcMar>
            <w:vAlign w:val="bottom"/>
          </w:tcPr>
          <w:p w14:paraId="22CFCD48"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D49"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4A"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4B"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D4C" w14:textId="77777777" w:rsidR="002661BA" w:rsidRDefault="00D972BC">
            <w:pPr>
              <w:jc w:val="right"/>
              <w:textAlignment w:val="bottom"/>
            </w:pPr>
            <w:r>
              <w:rPr>
                <w:rFonts w:ascii="Arial" w:eastAsia="宋体" w:hAnsi="Arial" w:cs="Arial"/>
                <w:color w:val="000000"/>
                <w:sz w:val="16"/>
                <w:szCs w:val="16"/>
              </w:rPr>
              <w:t>— </w:t>
            </w:r>
          </w:p>
        </w:tc>
        <w:tc>
          <w:tcPr>
            <w:tcW w:w="0" w:type="auto"/>
            <w:shd w:val="clear" w:color="auto" w:fill="DBDBDB"/>
            <w:tcMar>
              <w:top w:w="40" w:type="dxa"/>
              <w:left w:w="0" w:type="dxa"/>
              <w:bottom w:w="40" w:type="dxa"/>
              <w:right w:w="20" w:type="dxa"/>
            </w:tcMar>
            <w:vAlign w:val="bottom"/>
          </w:tcPr>
          <w:p w14:paraId="22CFCD4D"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D4E"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4F" w14:textId="77777777" w:rsidR="002661BA" w:rsidRDefault="002661BA">
            <w:pPr>
              <w:rPr>
                <w:rFonts w:ascii="宋体"/>
              </w:rPr>
            </w:pPr>
          </w:p>
        </w:tc>
      </w:tr>
      <w:tr w:rsidR="002661BA" w14:paraId="22CFCD5C" w14:textId="77777777">
        <w:trPr>
          <w:hidden/>
        </w:trPr>
        <w:tc>
          <w:tcPr>
            <w:tcW w:w="0" w:type="auto"/>
            <w:gridSpan w:val="3"/>
            <w:shd w:val="clear" w:color="auto" w:fill="auto"/>
            <w:vAlign w:val="bottom"/>
          </w:tcPr>
          <w:p w14:paraId="22CFCD51" w14:textId="77777777" w:rsidR="002661BA" w:rsidRDefault="002661BA">
            <w:pPr>
              <w:rPr>
                <w:rFonts w:ascii="宋体"/>
                <w:vanish/>
              </w:rPr>
            </w:pPr>
          </w:p>
        </w:tc>
        <w:tc>
          <w:tcPr>
            <w:tcW w:w="0" w:type="auto"/>
            <w:gridSpan w:val="3"/>
            <w:shd w:val="clear" w:color="auto" w:fill="auto"/>
            <w:vAlign w:val="bottom"/>
          </w:tcPr>
          <w:p w14:paraId="22CFCD52" w14:textId="77777777" w:rsidR="002661BA" w:rsidRDefault="002661BA">
            <w:pPr>
              <w:rPr>
                <w:rFonts w:ascii="宋体"/>
                <w:vanish/>
              </w:rPr>
            </w:pPr>
          </w:p>
        </w:tc>
        <w:tc>
          <w:tcPr>
            <w:tcW w:w="0" w:type="auto"/>
            <w:gridSpan w:val="3"/>
            <w:shd w:val="clear" w:color="auto" w:fill="auto"/>
            <w:vAlign w:val="bottom"/>
          </w:tcPr>
          <w:p w14:paraId="22CFCD53" w14:textId="77777777" w:rsidR="002661BA" w:rsidRDefault="002661BA">
            <w:pPr>
              <w:rPr>
                <w:rFonts w:ascii="宋体"/>
                <w:vanish/>
              </w:rPr>
            </w:pPr>
          </w:p>
        </w:tc>
        <w:tc>
          <w:tcPr>
            <w:tcW w:w="0" w:type="auto"/>
            <w:gridSpan w:val="3"/>
            <w:shd w:val="clear" w:color="auto" w:fill="auto"/>
            <w:vAlign w:val="bottom"/>
          </w:tcPr>
          <w:p w14:paraId="22CFCD54" w14:textId="77777777" w:rsidR="002661BA" w:rsidRDefault="002661BA">
            <w:pPr>
              <w:rPr>
                <w:rFonts w:ascii="宋体"/>
                <w:vanish/>
              </w:rPr>
            </w:pPr>
          </w:p>
        </w:tc>
        <w:tc>
          <w:tcPr>
            <w:tcW w:w="0" w:type="auto"/>
            <w:gridSpan w:val="3"/>
            <w:shd w:val="clear" w:color="auto" w:fill="auto"/>
            <w:vAlign w:val="bottom"/>
          </w:tcPr>
          <w:p w14:paraId="22CFCD55" w14:textId="77777777" w:rsidR="002661BA" w:rsidRDefault="002661BA">
            <w:pPr>
              <w:rPr>
                <w:rFonts w:ascii="宋体"/>
                <w:vanish/>
              </w:rPr>
            </w:pPr>
          </w:p>
        </w:tc>
        <w:tc>
          <w:tcPr>
            <w:tcW w:w="0" w:type="auto"/>
            <w:gridSpan w:val="3"/>
            <w:shd w:val="clear" w:color="auto" w:fill="auto"/>
            <w:vAlign w:val="bottom"/>
          </w:tcPr>
          <w:p w14:paraId="22CFCD56" w14:textId="77777777" w:rsidR="002661BA" w:rsidRDefault="002661BA">
            <w:pPr>
              <w:rPr>
                <w:rFonts w:ascii="宋体"/>
                <w:vanish/>
              </w:rPr>
            </w:pPr>
          </w:p>
        </w:tc>
        <w:tc>
          <w:tcPr>
            <w:tcW w:w="0" w:type="auto"/>
            <w:gridSpan w:val="3"/>
            <w:shd w:val="clear" w:color="auto" w:fill="auto"/>
            <w:vAlign w:val="bottom"/>
          </w:tcPr>
          <w:p w14:paraId="22CFCD57" w14:textId="77777777" w:rsidR="002661BA" w:rsidRDefault="002661BA">
            <w:pPr>
              <w:rPr>
                <w:rFonts w:ascii="宋体"/>
                <w:vanish/>
              </w:rPr>
            </w:pPr>
          </w:p>
        </w:tc>
        <w:tc>
          <w:tcPr>
            <w:tcW w:w="0" w:type="auto"/>
            <w:gridSpan w:val="3"/>
            <w:shd w:val="clear" w:color="auto" w:fill="auto"/>
            <w:vAlign w:val="bottom"/>
          </w:tcPr>
          <w:p w14:paraId="22CFCD58" w14:textId="77777777" w:rsidR="002661BA" w:rsidRDefault="002661BA">
            <w:pPr>
              <w:rPr>
                <w:rFonts w:ascii="宋体"/>
                <w:vanish/>
              </w:rPr>
            </w:pPr>
          </w:p>
        </w:tc>
        <w:tc>
          <w:tcPr>
            <w:tcW w:w="0" w:type="auto"/>
            <w:gridSpan w:val="3"/>
            <w:shd w:val="clear" w:color="auto" w:fill="auto"/>
            <w:vAlign w:val="bottom"/>
          </w:tcPr>
          <w:p w14:paraId="22CFCD59" w14:textId="77777777" w:rsidR="002661BA" w:rsidRDefault="002661BA">
            <w:pPr>
              <w:rPr>
                <w:rFonts w:ascii="宋体"/>
                <w:vanish/>
              </w:rPr>
            </w:pPr>
          </w:p>
        </w:tc>
        <w:tc>
          <w:tcPr>
            <w:tcW w:w="0" w:type="auto"/>
            <w:gridSpan w:val="3"/>
            <w:shd w:val="clear" w:color="auto" w:fill="auto"/>
            <w:vAlign w:val="bottom"/>
          </w:tcPr>
          <w:p w14:paraId="22CFCD5A" w14:textId="77777777" w:rsidR="002661BA" w:rsidRDefault="002661BA">
            <w:pPr>
              <w:rPr>
                <w:rFonts w:ascii="宋体"/>
                <w:vanish/>
              </w:rPr>
            </w:pPr>
          </w:p>
        </w:tc>
        <w:tc>
          <w:tcPr>
            <w:tcW w:w="0" w:type="auto"/>
            <w:gridSpan w:val="3"/>
            <w:shd w:val="clear" w:color="auto" w:fill="auto"/>
            <w:vAlign w:val="bottom"/>
          </w:tcPr>
          <w:p w14:paraId="22CFCD5B" w14:textId="77777777" w:rsidR="002661BA" w:rsidRDefault="002661BA">
            <w:pPr>
              <w:rPr>
                <w:rFonts w:ascii="宋体"/>
                <w:vanish/>
              </w:rPr>
            </w:pPr>
          </w:p>
        </w:tc>
      </w:tr>
      <w:tr w:rsidR="002661BA" w14:paraId="22CFCD68" w14:textId="77777777">
        <w:trPr>
          <w:hidden/>
        </w:trPr>
        <w:tc>
          <w:tcPr>
            <w:tcW w:w="0" w:type="auto"/>
            <w:gridSpan w:val="3"/>
            <w:shd w:val="clear" w:color="auto" w:fill="auto"/>
            <w:vAlign w:val="bottom"/>
          </w:tcPr>
          <w:p w14:paraId="22CFCD5D" w14:textId="77777777" w:rsidR="002661BA" w:rsidRDefault="002661BA">
            <w:pPr>
              <w:rPr>
                <w:rFonts w:ascii="宋体"/>
                <w:vanish/>
              </w:rPr>
            </w:pPr>
          </w:p>
        </w:tc>
        <w:tc>
          <w:tcPr>
            <w:tcW w:w="0" w:type="auto"/>
            <w:gridSpan w:val="3"/>
            <w:shd w:val="clear" w:color="auto" w:fill="auto"/>
            <w:vAlign w:val="bottom"/>
          </w:tcPr>
          <w:p w14:paraId="22CFCD5E" w14:textId="77777777" w:rsidR="002661BA" w:rsidRDefault="002661BA">
            <w:pPr>
              <w:rPr>
                <w:rFonts w:ascii="宋体"/>
                <w:vanish/>
              </w:rPr>
            </w:pPr>
          </w:p>
        </w:tc>
        <w:tc>
          <w:tcPr>
            <w:tcW w:w="0" w:type="auto"/>
            <w:gridSpan w:val="3"/>
            <w:shd w:val="clear" w:color="auto" w:fill="auto"/>
            <w:vAlign w:val="bottom"/>
          </w:tcPr>
          <w:p w14:paraId="22CFCD5F" w14:textId="77777777" w:rsidR="002661BA" w:rsidRDefault="002661BA">
            <w:pPr>
              <w:rPr>
                <w:rFonts w:ascii="宋体"/>
                <w:vanish/>
              </w:rPr>
            </w:pPr>
          </w:p>
        </w:tc>
        <w:tc>
          <w:tcPr>
            <w:tcW w:w="0" w:type="auto"/>
            <w:gridSpan w:val="3"/>
            <w:shd w:val="clear" w:color="auto" w:fill="auto"/>
            <w:vAlign w:val="bottom"/>
          </w:tcPr>
          <w:p w14:paraId="22CFCD60" w14:textId="77777777" w:rsidR="002661BA" w:rsidRDefault="002661BA">
            <w:pPr>
              <w:rPr>
                <w:rFonts w:ascii="宋体"/>
                <w:vanish/>
              </w:rPr>
            </w:pPr>
          </w:p>
        </w:tc>
        <w:tc>
          <w:tcPr>
            <w:tcW w:w="0" w:type="auto"/>
            <w:gridSpan w:val="3"/>
            <w:shd w:val="clear" w:color="auto" w:fill="auto"/>
            <w:vAlign w:val="bottom"/>
          </w:tcPr>
          <w:p w14:paraId="22CFCD61" w14:textId="77777777" w:rsidR="002661BA" w:rsidRDefault="002661BA">
            <w:pPr>
              <w:rPr>
                <w:rFonts w:ascii="宋体"/>
                <w:vanish/>
              </w:rPr>
            </w:pPr>
          </w:p>
        </w:tc>
        <w:tc>
          <w:tcPr>
            <w:tcW w:w="0" w:type="auto"/>
            <w:gridSpan w:val="3"/>
            <w:shd w:val="clear" w:color="auto" w:fill="auto"/>
            <w:vAlign w:val="bottom"/>
          </w:tcPr>
          <w:p w14:paraId="22CFCD62" w14:textId="77777777" w:rsidR="002661BA" w:rsidRDefault="002661BA">
            <w:pPr>
              <w:rPr>
                <w:rFonts w:ascii="宋体"/>
                <w:vanish/>
              </w:rPr>
            </w:pPr>
          </w:p>
        </w:tc>
        <w:tc>
          <w:tcPr>
            <w:tcW w:w="0" w:type="auto"/>
            <w:gridSpan w:val="3"/>
            <w:shd w:val="clear" w:color="auto" w:fill="auto"/>
            <w:vAlign w:val="bottom"/>
          </w:tcPr>
          <w:p w14:paraId="22CFCD63" w14:textId="77777777" w:rsidR="002661BA" w:rsidRDefault="002661BA">
            <w:pPr>
              <w:rPr>
                <w:rFonts w:ascii="宋体"/>
                <w:vanish/>
              </w:rPr>
            </w:pPr>
          </w:p>
        </w:tc>
        <w:tc>
          <w:tcPr>
            <w:tcW w:w="0" w:type="auto"/>
            <w:gridSpan w:val="3"/>
            <w:shd w:val="clear" w:color="auto" w:fill="auto"/>
            <w:vAlign w:val="bottom"/>
          </w:tcPr>
          <w:p w14:paraId="22CFCD64" w14:textId="77777777" w:rsidR="002661BA" w:rsidRDefault="002661BA">
            <w:pPr>
              <w:rPr>
                <w:rFonts w:ascii="宋体"/>
                <w:vanish/>
              </w:rPr>
            </w:pPr>
          </w:p>
        </w:tc>
        <w:tc>
          <w:tcPr>
            <w:tcW w:w="0" w:type="auto"/>
            <w:gridSpan w:val="3"/>
            <w:shd w:val="clear" w:color="auto" w:fill="auto"/>
            <w:vAlign w:val="bottom"/>
          </w:tcPr>
          <w:p w14:paraId="22CFCD65" w14:textId="77777777" w:rsidR="002661BA" w:rsidRDefault="002661BA">
            <w:pPr>
              <w:rPr>
                <w:rFonts w:ascii="宋体"/>
                <w:vanish/>
              </w:rPr>
            </w:pPr>
          </w:p>
        </w:tc>
        <w:tc>
          <w:tcPr>
            <w:tcW w:w="0" w:type="auto"/>
            <w:gridSpan w:val="3"/>
            <w:shd w:val="clear" w:color="auto" w:fill="auto"/>
            <w:vAlign w:val="bottom"/>
          </w:tcPr>
          <w:p w14:paraId="22CFCD66" w14:textId="77777777" w:rsidR="002661BA" w:rsidRDefault="002661BA">
            <w:pPr>
              <w:rPr>
                <w:rFonts w:ascii="宋体"/>
                <w:vanish/>
              </w:rPr>
            </w:pPr>
          </w:p>
        </w:tc>
        <w:tc>
          <w:tcPr>
            <w:tcW w:w="0" w:type="auto"/>
            <w:gridSpan w:val="3"/>
            <w:shd w:val="clear" w:color="auto" w:fill="auto"/>
            <w:vAlign w:val="bottom"/>
          </w:tcPr>
          <w:p w14:paraId="22CFCD67" w14:textId="77777777" w:rsidR="002661BA" w:rsidRDefault="002661BA">
            <w:pPr>
              <w:rPr>
                <w:rFonts w:ascii="宋体"/>
                <w:vanish/>
              </w:rPr>
            </w:pPr>
          </w:p>
        </w:tc>
      </w:tr>
      <w:tr w:rsidR="002661BA" w14:paraId="22CFCD76" w14:textId="77777777">
        <w:tc>
          <w:tcPr>
            <w:tcW w:w="0" w:type="auto"/>
            <w:gridSpan w:val="3"/>
            <w:shd w:val="clear" w:color="auto" w:fill="FFFFFF"/>
            <w:tcMar>
              <w:top w:w="40" w:type="dxa"/>
              <w:left w:w="35" w:type="dxa"/>
              <w:bottom w:w="40" w:type="dxa"/>
              <w:right w:w="20" w:type="dxa"/>
            </w:tcMar>
            <w:vAlign w:val="bottom"/>
          </w:tcPr>
          <w:p w14:paraId="22CFCD69" w14:textId="77777777" w:rsidR="002661BA" w:rsidRDefault="00D972BC">
            <w:pPr>
              <w:textAlignment w:val="bottom"/>
            </w:pPr>
            <w:r>
              <w:rPr>
                <w:rFonts w:ascii="Arial" w:eastAsia="宋体" w:hAnsi="Arial" w:cs="Arial"/>
                <w:color w:val="000000"/>
                <w:sz w:val="16"/>
                <w:szCs w:val="16"/>
              </w:rPr>
              <w:t>Other short-term borrowings</w:t>
            </w:r>
          </w:p>
        </w:tc>
        <w:tc>
          <w:tcPr>
            <w:tcW w:w="0" w:type="auto"/>
            <w:gridSpan w:val="3"/>
            <w:shd w:val="clear" w:color="auto" w:fill="FFFFFF"/>
            <w:tcMar>
              <w:top w:w="0" w:type="dxa"/>
              <w:left w:w="20" w:type="dxa"/>
              <w:bottom w:w="0" w:type="dxa"/>
              <w:right w:w="20" w:type="dxa"/>
            </w:tcMar>
            <w:vAlign w:val="bottom"/>
          </w:tcPr>
          <w:p w14:paraId="22CFCD6A"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6B"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6C"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D6D" w14:textId="77777777" w:rsidR="002661BA" w:rsidRDefault="00D972BC">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22CFCD6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D6F"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70"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71"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D72" w14:textId="77777777" w:rsidR="002661BA" w:rsidRDefault="00D972BC">
            <w:pPr>
              <w:jc w:val="right"/>
              <w:textAlignment w:val="bottom"/>
            </w:pPr>
            <w:r>
              <w:rPr>
                <w:rFonts w:ascii="Arial" w:eastAsia="宋体" w:hAnsi="Arial" w:cs="Arial"/>
                <w:color w:val="000000"/>
                <w:sz w:val="16"/>
                <w:szCs w:val="16"/>
              </w:rPr>
              <w:t>6 </w:t>
            </w:r>
          </w:p>
        </w:tc>
        <w:tc>
          <w:tcPr>
            <w:tcW w:w="0" w:type="auto"/>
            <w:shd w:val="clear" w:color="auto" w:fill="FFFFFF"/>
            <w:tcMar>
              <w:top w:w="40" w:type="dxa"/>
              <w:left w:w="0" w:type="dxa"/>
              <w:bottom w:w="40" w:type="dxa"/>
              <w:right w:w="20" w:type="dxa"/>
            </w:tcMar>
            <w:vAlign w:val="bottom"/>
          </w:tcPr>
          <w:p w14:paraId="22CFCD7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D74"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75" w14:textId="77777777" w:rsidR="002661BA" w:rsidRDefault="002661BA">
            <w:pPr>
              <w:rPr>
                <w:rFonts w:ascii="宋体"/>
              </w:rPr>
            </w:pPr>
          </w:p>
        </w:tc>
      </w:tr>
      <w:tr w:rsidR="002661BA" w14:paraId="22CFCD84" w14:textId="77777777">
        <w:tc>
          <w:tcPr>
            <w:tcW w:w="0" w:type="auto"/>
            <w:gridSpan w:val="3"/>
            <w:shd w:val="clear" w:color="auto" w:fill="DBDBDB"/>
            <w:tcMar>
              <w:top w:w="40" w:type="dxa"/>
              <w:left w:w="380" w:type="dxa"/>
              <w:bottom w:w="40" w:type="dxa"/>
              <w:right w:w="20" w:type="dxa"/>
            </w:tcMar>
            <w:vAlign w:val="bottom"/>
          </w:tcPr>
          <w:p w14:paraId="22CFCD77" w14:textId="77777777" w:rsidR="002661BA" w:rsidRDefault="00D972BC">
            <w:pPr>
              <w:textAlignment w:val="bottom"/>
            </w:pPr>
            <w:r>
              <w:rPr>
                <w:rFonts w:ascii="Arial" w:eastAsia="宋体" w:hAnsi="Arial" w:cs="Arial"/>
                <w:color w:val="000000"/>
                <w:sz w:val="16"/>
                <w:szCs w:val="16"/>
              </w:rPr>
              <w:t>Total short-term debt</w:t>
            </w:r>
          </w:p>
        </w:tc>
        <w:tc>
          <w:tcPr>
            <w:tcW w:w="0" w:type="auto"/>
            <w:gridSpan w:val="3"/>
            <w:shd w:val="clear" w:color="auto" w:fill="DBDBDB"/>
            <w:tcMar>
              <w:top w:w="0" w:type="dxa"/>
              <w:left w:w="20" w:type="dxa"/>
              <w:bottom w:w="0" w:type="dxa"/>
              <w:right w:w="20" w:type="dxa"/>
            </w:tcMar>
            <w:vAlign w:val="bottom"/>
          </w:tcPr>
          <w:p w14:paraId="22CFCD78"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79"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7A"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CD7B" w14:textId="77777777" w:rsidR="002661BA" w:rsidRDefault="00D972BC">
            <w:pPr>
              <w:jc w:val="right"/>
              <w:textAlignment w:val="bottom"/>
            </w:pPr>
            <w:r>
              <w:rPr>
                <w:rFonts w:ascii="Arial" w:eastAsia="宋体" w:hAnsi="Arial" w:cs="Arial"/>
                <w:color w:val="000000"/>
                <w:sz w:val="16"/>
                <w:szCs w:val="16"/>
              </w:rPr>
              <w:t>1,355 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CD7C"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D7D"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7E"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7F" w14:textId="77777777" w:rsidR="002661BA" w:rsidRDefault="002661BA">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22CFCD80" w14:textId="77777777" w:rsidR="002661BA" w:rsidRDefault="00D972BC">
            <w:pPr>
              <w:jc w:val="right"/>
              <w:textAlignment w:val="bottom"/>
            </w:pPr>
            <w:r>
              <w:rPr>
                <w:rFonts w:ascii="Arial" w:eastAsia="宋体" w:hAnsi="Arial" w:cs="Arial"/>
                <w:color w:val="000000"/>
                <w:sz w:val="16"/>
                <w:szCs w:val="16"/>
              </w:rPr>
              <w:t>6 </w:t>
            </w:r>
          </w:p>
        </w:tc>
        <w:tc>
          <w:tcPr>
            <w:tcW w:w="0" w:type="auto"/>
            <w:tcBorders>
              <w:top w:val="single" w:sz="8" w:space="0" w:color="000000"/>
            </w:tcBorders>
            <w:shd w:val="clear" w:color="auto" w:fill="DBDBDB"/>
            <w:tcMar>
              <w:top w:w="40" w:type="dxa"/>
              <w:left w:w="0" w:type="dxa"/>
              <w:bottom w:w="40" w:type="dxa"/>
              <w:right w:w="20" w:type="dxa"/>
            </w:tcMar>
            <w:vAlign w:val="bottom"/>
          </w:tcPr>
          <w:p w14:paraId="22CFCD81"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D82"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D83" w14:textId="77777777" w:rsidR="002661BA" w:rsidRDefault="002661BA">
            <w:pPr>
              <w:rPr>
                <w:rFonts w:ascii="宋体"/>
              </w:rPr>
            </w:pPr>
          </w:p>
        </w:tc>
      </w:tr>
      <w:tr w:rsidR="002661BA" w14:paraId="22CFCD94" w14:textId="77777777">
        <w:tc>
          <w:tcPr>
            <w:tcW w:w="0" w:type="auto"/>
            <w:gridSpan w:val="3"/>
            <w:shd w:val="clear" w:color="auto" w:fill="FFFFFF"/>
            <w:tcMar>
              <w:top w:w="40" w:type="dxa"/>
              <w:left w:w="155" w:type="dxa"/>
              <w:bottom w:w="40" w:type="dxa"/>
              <w:right w:w="20" w:type="dxa"/>
            </w:tcMar>
            <w:vAlign w:val="bottom"/>
          </w:tcPr>
          <w:p w14:paraId="22CFCD85" w14:textId="77777777" w:rsidR="002661BA" w:rsidRDefault="00D972BC">
            <w:pPr>
              <w:textAlignment w:val="bottom"/>
            </w:pPr>
            <w:r>
              <w:rPr>
                <w:rFonts w:ascii="Arial" w:eastAsia="宋体" w:hAnsi="Arial" w:cs="Arial"/>
                <w:b/>
                <w:bCs/>
                <w:color w:val="000000"/>
                <w:sz w:val="16"/>
                <w:szCs w:val="16"/>
              </w:rPr>
              <w:t xml:space="preserve">Total </w:t>
            </w:r>
            <w:r>
              <w:rPr>
                <w:rFonts w:ascii="Arial" w:eastAsia="宋体" w:hAnsi="Arial" w:cs="Arial"/>
                <w:b/>
                <w:bCs/>
                <w:color w:val="000000"/>
                <w:sz w:val="16"/>
                <w:szCs w:val="16"/>
              </w:rPr>
              <w:t>Debt</w:t>
            </w:r>
          </w:p>
        </w:tc>
        <w:tc>
          <w:tcPr>
            <w:tcW w:w="0" w:type="auto"/>
            <w:gridSpan w:val="3"/>
            <w:shd w:val="clear" w:color="auto" w:fill="FFFFFF"/>
            <w:tcMar>
              <w:top w:w="0" w:type="dxa"/>
              <w:left w:w="20" w:type="dxa"/>
              <w:bottom w:w="0" w:type="dxa"/>
              <w:right w:w="20" w:type="dxa"/>
            </w:tcMar>
            <w:vAlign w:val="bottom"/>
          </w:tcPr>
          <w:p w14:paraId="22CFCD86"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87"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88"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D89" w14:textId="77777777" w:rsidR="002661BA" w:rsidRDefault="00D972BC">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D8A" w14:textId="77777777" w:rsidR="002661BA" w:rsidRDefault="00D972BC">
            <w:pPr>
              <w:jc w:val="right"/>
              <w:textAlignment w:val="bottom"/>
            </w:pPr>
            <w:r>
              <w:rPr>
                <w:rFonts w:ascii="Arial" w:eastAsia="宋体" w:hAnsi="Arial" w:cs="Arial"/>
                <w:color w:val="000000"/>
                <w:sz w:val="16"/>
                <w:szCs w:val="16"/>
              </w:rPr>
              <w:t>9,082 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D8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D8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8D"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8E"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D8F" w14:textId="77777777" w:rsidR="002661BA" w:rsidRDefault="00D972BC">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D90" w14:textId="77777777" w:rsidR="002661BA" w:rsidRDefault="00D972BC">
            <w:pPr>
              <w:jc w:val="right"/>
              <w:textAlignment w:val="bottom"/>
            </w:pPr>
            <w:r>
              <w:rPr>
                <w:rFonts w:ascii="Arial" w:eastAsia="宋体" w:hAnsi="Arial" w:cs="Arial"/>
                <w:color w:val="000000"/>
                <w:sz w:val="16"/>
                <w:szCs w:val="16"/>
              </w:rPr>
              <w:t>7,746 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D9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D92"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D93" w14:textId="77777777" w:rsidR="002661BA" w:rsidRDefault="002661BA">
            <w:pPr>
              <w:rPr>
                <w:rFonts w:ascii="宋体"/>
              </w:rPr>
            </w:pPr>
          </w:p>
        </w:tc>
      </w:tr>
    </w:tbl>
    <w:p w14:paraId="22CFCD95" w14:textId="77777777" w:rsidR="002661BA" w:rsidRDefault="00D972BC">
      <w:pPr>
        <w:ind w:hanging="360"/>
      </w:pPr>
      <w:r>
        <w:rPr>
          <w:rFonts w:ascii="Arial" w:eastAsia="宋体" w:hAnsi="Arial" w:cs="Arial"/>
          <w:color w:val="000000"/>
          <w:sz w:val="16"/>
          <w:szCs w:val="16"/>
        </w:rPr>
        <w:t>(1)</w:t>
      </w:r>
      <w:r>
        <w:rPr>
          <w:rFonts w:ascii="Times New Roman" w:eastAsia="宋体" w:hAnsi="Times New Roman"/>
          <w:color w:val="000000"/>
          <w:sz w:val="20"/>
          <w:szCs w:val="20"/>
        </w:rPr>
        <w:t>    </w:t>
      </w:r>
      <w:r>
        <w:rPr>
          <w:rFonts w:ascii="Arial" w:eastAsia="宋体" w:hAnsi="Arial" w:cs="Arial"/>
          <w:color w:val="000000"/>
          <w:sz w:val="16"/>
          <w:szCs w:val="16"/>
        </w:rPr>
        <w:t>Includes the fair value adjustments to debt associated with terminated interest rate swaps which are being recorded as a reduction to interest expense over the remaining term of the related notes.</w:t>
      </w:r>
    </w:p>
    <w:p w14:paraId="22CFCD96" w14:textId="77777777" w:rsidR="002661BA" w:rsidRDefault="002661BA"/>
    <w:p w14:paraId="22CFCD97" w14:textId="77777777" w:rsidR="002661BA" w:rsidRDefault="00D972BC">
      <w:pPr>
        <w:ind w:firstLine="270"/>
      </w:pPr>
      <w:r>
        <w:rPr>
          <w:rFonts w:ascii="Arial" w:eastAsia="宋体" w:hAnsi="Arial" w:cs="Arial"/>
          <w:b/>
          <w:bCs/>
          <w:i/>
          <w:iCs/>
          <w:color w:val="000000"/>
          <w:sz w:val="20"/>
          <w:szCs w:val="20"/>
        </w:rPr>
        <w:t>Senior No</w:t>
      </w:r>
      <w:r>
        <w:rPr>
          <w:rFonts w:ascii="Arial" w:eastAsia="宋体" w:hAnsi="Arial" w:cs="Arial"/>
          <w:b/>
          <w:bCs/>
          <w:i/>
          <w:iCs/>
          <w:color w:val="000000"/>
          <w:sz w:val="20"/>
          <w:szCs w:val="20"/>
        </w:rPr>
        <w:t xml:space="preserve">tes </w:t>
      </w:r>
    </w:p>
    <w:p w14:paraId="22CFCD98" w14:textId="77777777" w:rsidR="002661BA" w:rsidRDefault="002661BA">
      <w:pPr>
        <w:jc w:val="both"/>
      </w:pPr>
    </w:p>
    <w:p w14:paraId="22CFCD99" w14:textId="77777777" w:rsidR="002661BA" w:rsidRDefault="00D972BC">
      <w:pPr>
        <w:ind w:firstLine="540"/>
        <w:jc w:val="both"/>
      </w:pPr>
      <w:r>
        <w:rPr>
          <w:rFonts w:ascii="Arial" w:eastAsia="宋体" w:hAnsi="Arial" w:cs="Arial"/>
          <w:color w:val="000000"/>
          <w:sz w:val="20"/>
          <w:szCs w:val="20"/>
        </w:rPr>
        <w:t>Effective March 1, 2021, the company redeemed the $750 million aggregate principal amount of the 6.000% senior notes due 2056. Total cash consideration paid was $750 million, as the redemption price was equal to 100% of the principal amount. In addit</w:t>
      </w:r>
      <w:r>
        <w:rPr>
          <w:rFonts w:ascii="Arial" w:eastAsia="宋体" w:hAnsi="Arial" w:cs="Arial"/>
          <w:color w:val="000000"/>
          <w:sz w:val="20"/>
          <w:szCs w:val="20"/>
        </w:rPr>
        <w:t>ion, we paid accrued and unpaid interest on the principal amount.</w:t>
      </w:r>
    </w:p>
    <w:p w14:paraId="22CFCD9A" w14:textId="77777777" w:rsidR="002661BA" w:rsidRDefault="002661BA">
      <w:pPr>
        <w:ind w:firstLine="540"/>
        <w:jc w:val="both"/>
      </w:pPr>
    </w:p>
    <w:p w14:paraId="22CFCD9B" w14:textId="77777777" w:rsidR="002661BA" w:rsidRDefault="00D972BC">
      <w:pPr>
        <w:ind w:firstLine="540"/>
        <w:jc w:val="both"/>
      </w:pPr>
      <w:r>
        <w:rPr>
          <w:rFonts w:ascii="Arial" w:eastAsia="宋体" w:hAnsi="Arial" w:cs="Arial"/>
          <w:color w:val="000000"/>
          <w:sz w:val="20"/>
          <w:szCs w:val="20"/>
        </w:rPr>
        <w:t>In March 2021, we settled cash tender offers with holders of approximately 39% of the total outstanding $1 billion aggregate principal amount of the 2.600% senior fixed rate notes due 2022.</w:t>
      </w:r>
      <w:r>
        <w:rPr>
          <w:rFonts w:ascii="Arial" w:eastAsia="宋体" w:hAnsi="Arial" w:cs="Arial"/>
          <w:color w:val="000000"/>
          <w:sz w:val="20"/>
          <w:szCs w:val="20"/>
        </w:rPr>
        <w:t xml:space="preserve"> Total cash consideration paid for these purchases was $405 million and the carrying amount of the notes was $395 million, resulting in a loss on extinguishment of $10 million (including immaterial fees and other costs associated with the tender), which wa</w:t>
      </w:r>
      <w:r>
        <w:rPr>
          <w:rFonts w:ascii="Arial" w:eastAsia="宋体" w:hAnsi="Arial" w:cs="Arial"/>
          <w:color w:val="000000"/>
          <w:sz w:val="20"/>
          <w:szCs w:val="20"/>
        </w:rPr>
        <w:t>s recorded in interest and other, net in our consolidated statement of income. In addition, we paid any accrued interest on the tendered notes up to, but not including the date of settlement.</w:t>
      </w:r>
    </w:p>
    <w:p w14:paraId="22CFCD9C" w14:textId="77777777" w:rsidR="002661BA" w:rsidRDefault="002661BA">
      <w:pPr>
        <w:ind w:firstLine="540"/>
        <w:jc w:val="both"/>
      </w:pPr>
    </w:p>
    <w:p w14:paraId="22CFCD9D" w14:textId="77777777" w:rsidR="002661BA" w:rsidRDefault="00D972BC">
      <w:pPr>
        <w:ind w:firstLine="540"/>
        <w:jc w:val="both"/>
      </w:pPr>
      <w:r>
        <w:rPr>
          <w:rFonts w:ascii="Arial" w:eastAsia="宋体" w:hAnsi="Arial" w:cs="Arial"/>
          <w:color w:val="000000"/>
          <w:sz w:val="20"/>
          <w:szCs w:val="20"/>
        </w:rPr>
        <w:t xml:space="preserve">In May 2021, we issued senior notes, in an aggregate principal </w:t>
      </w:r>
      <w:r>
        <w:rPr>
          <w:rFonts w:ascii="Arial" w:eastAsia="宋体" w:hAnsi="Arial" w:cs="Arial"/>
          <w:color w:val="000000"/>
          <w:sz w:val="20"/>
          <w:szCs w:val="20"/>
        </w:rPr>
        <w:t xml:space="preserve">amount of $2.5 billion, which consisted of $750 million of 1.400% fixed rate notes due 2026, $750 million of 2.600% fixed rate notes due to 2031 and $1.0 billion of 3.650% fixed rate notes due 2051. </w:t>
      </w:r>
    </w:p>
    <w:p w14:paraId="22CFCD9E" w14:textId="77777777" w:rsidR="002661BA" w:rsidRDefault="002661BA">
      <w:pPr>
        <w:ind w:firstLine="540"/>
        <w:jc w:val="both"/>
      </w:pPr>
    </w:p>
    <w:p w14:paraId="22CFCD9F" w14:textId="77777777" w:rsidR="002661BA" w:rsidRDefault="00D972BC">
      <w:pPr>
        <w:jc w:val="center"/>
      </w:pPr>
      <w:r>
        <w:rPr>
          <w:rFonts w:ascii="Arial" w:eastAsia="宋体" w:hAnsi="Arial" w:cs="Arial"/>
          <w:color w:val="000000"/>
          <w:sz w:val="18"/>
          <w:szCs w:val="18"/>
        </w:rPr>
        <w:t>96</w:t>
      </w:r>
    </w:p>
    <w:p w14:paraId="22CFCDA0" w14:textId="77777777" w:rsidR="002661BA" w:rsidRDefault="00D972BC">
      <w:r>
        <w:pict w14:anchorId="22CFE511">
          <v:rect id="_x0000_i1120" style="width:415.3pt;height:1.5pt" o:hralign="center" o:hrstd="t" o:hr="t" fillcolor="#a0a0a0" stroked="f"/>
        </w:pict>
      </w:r>
    </w:p>
    <w:p w14:paraId="22CFCDA1" w14:textId="77777777" w:rsidR="002661BA" w:rsidRDefault="00D972BC">
      <w:hyperlink r:id="rId131" w:anchor="id0d7a71b05ce452ea9fdb54f3cb359c7_7" w:history="1">
        <w:r>
          <w:rPr>
            <w:rStyle w:val="a5"/>
            <w:rFonts w:ascii="Arial" w:eastAsia="宋体" w:hAnsi="Arial" w:cs="Arial"/>
            <w:sz w:val="18"/>
            <w:szCs w:val="18"/>
          </w:rPr>
          <w:t>Table of Contents</w:t>
        </w:r>
      </w:hyperlink>
    </w:p>
    <w:p w14:paraId="22CFCDA2" w14:textId="77777777" w:rsidR="002661BA" w:rsidRDefault="00D972BC">
      <w:pPr>
        <w:jc w:val="center"/>
      </w:pPr>
      <w:r>
        <w:rPr>
          <w:rFonts w:ascii="Arial" w:eastAsia="宋体" w:hAnsi="Arial" w:cs="Arial"/>
          <w:b/>
          <w:bCs/>
          <w:color w:val="000000"/>
          <w:sz w:val="20"/>
          <w:szCs w:val="20"/>
        </w:rPr>
        <w:t>eBay Inc.</w:t>
      </w:r>
    </w:p>
    <w:p w14:paraId="22CFCDA3"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DA4" w14:textId="77777777" w:rsidR="002661BA" w:rsidRDefault="00D972BC">
      <w:pPr>
        <w:ind w:firstLine="540"/>
        <w:jc w:val="both"/>
      </w:pPr>
      <w:r>
        <w:rPr>
          <w:rFonts w:ascii="Arial" w:eastAsia="宋体" w:hAnsi="Arial" w:cs="Arial"/>
          <w:color w:val="000000"/>
          <w:sz w:val="20"/>
          <w:szCs w:val="20"/>
        </w:rPr>
        <w:t>In March 2020, we is</w:t>
      </w:r>
      <w:r>
        <w:rPr>
          <w:rFonts w:ascii="Arial" w:eastAsia="宋体" w:hAnsi="Arial" w:cs="Arial"/>
          <w:color w:val="000000"/>
          <w:sz w:val="20"/>
          <w:szCs w:val="20"/>
        </w:rPr>
        <w:t>sued $500 million of 1.900% fixed rate notes due 2025 and $500 million of 2.700% fixed rate notes due 2030. In June 2020, we issued $300 million of additional 1.900% fixed rate notes due 2025 and $450 million of additional 2.700% fixed rate notes due 2030.</w:t>
      </w:r>
      <w:r>
        <w:rPr>
          <w:rFonts w:ascii="Arial" w:eastAsia="宋体" w:hAnsi="Arial" w:cs="Arial"/>
          <w:color w:val="000000"/>
          <w:sz w:val="20"/>
          <w:szCs w:val="20"/>
        </w:rPr>
        <w:t xml:space="preserve"> </w:t>
      </w:r>
    </w:p>
    <w:p w14:paraId="22CFCDA5" w14:textId="77777777" w:rsidR="002661BA" w:rsidRDefault="002661BA">
      <w:pPr>
        <w:ind w:firstLine="540"/>
        <w:jc w:val="both"/>
      </w:pPr>
    </w:p>
    <w:p w14:paraId="22CFCDA6" w14:textId="77777777" w:rsidR="002661BA" w:rsidRDefault="00D972BC">
      <w:pPr>
        <w:ind w:firstLine="540"/>
        <w:jc w:val="both"/>
      </w:pPr>
      <w:r>
        <w:rPr>
          <w:rFonts w:ascii="Arial" w:eastAsia="宋体" w:hAnsi="Arial" w:cs="Arial"/>
          <w:color w:val="000000"/>
          <w:sz w:val="20"/>
          <w:szCs w:val="20"/>
        </w:rPr>
        <w:t>We used a portion of these proceeds to complete a tender offer to purchase any and all of the $750 million aggregate principal amount of our 2.875% senior fixed rate notes due in 2021 for aggregate cash consideration paid of $771 million. The loss on ex</w:t>
      </w:r>
      <w:r>
        <w:rPr>
          <w:rFonts w:ascii="Arial" w:eastAsia="宋体" w:hAnsi="Arial" w:cs="Arial"/>
          <w:color w:val="000000"/>
          <w:sz w:val="20"/>
          <w:szCs w:val="20"/>
        </w:rPr>
        <w:t>tinguishment of $10 million (including an immaterial amount of fees and other costs associated with the tender) and the premium of $11 million were recorded in interest and other, net in our consolidated statement of income. In addition, we paid accrued in</w:t>
      </w:r>
      <w:r>
        <w:rPr>
          <w:rFonts w:ascii="Arial" w:eastAsia="宋体" w:hAnsi="Arial" w:cs="Arial"/>
          <w:color w:val="000000"/>
          <w:sz w:val="20"/>
          <w:szCs w:val="20"/>
        </w:rPr>
        <w:t xml:space="preserve">terest up to the settlement date. </w:t>
      </w:r>
    </w:p>
    <w:p w14:paraId="22CFCDA7" w14:textId="77777777" w:rsidR="002661BA" w:rsidRDefault="002661BA">
      <w:pPr>
        <w:ind w:firstLine="540"/>
        <w:jc w:val="both"/>
      </w:pPr>
    </w:p>
    <w:p w14:paraId="22CFCDA8" w14:textId="77777777" w:rsidR="002661BA" w:rsidRDefault="00D972BC">
      <w:pPr>
        <w:ind w:firstLine="540"/>
        <w:jc w:val="both"/>
      </w:pPr>
      <w:r>
        <w:rPr>
          <w:rFonts w:ascii="Arial" w:eastAsia="宋体" w:hAnsi="Arial" w:cs="Arial"/>
          <w:color w:val="000000"/>
          <w:sz w:val="20"/>
          <w:szCs w:val="20"/>
        </w:rPr>
        <w:t xml:space="preserve">In June 2020, $500 million of our 2.150% senior fixed rate notes matured and were repaid. </w:t>
      </w:r>
    </w:p>
    <w:p w14:paraId="22CFCDA9" w14:textId="77777777" w:rsidR="002661BA" w:rsidRDefault="002661BA">
      <w:pPr>
        <w:ind w:firstLine="540"/>
        <w:jc w:val="both"/>
      </w:pPr>
    </w:p>
    <w:p w14:paraId="22CFCDAA" w14:textId="77777777" w:rsidR="002661BA" w:rsidRDefault="00D972BC">
      <w:pPr>
        <w:ind w:firstLine="540"/>
        <w:jc w:val="both"/>
      </w:pPr>
      <w:r>
        <w:rPr>
          <w:rFonts w:ascii="Arial" w:eastAsia="宋体" w:hAnsi="Arial" w:cs="Arial"/>
          <w:color w:val="000000"/>
          <w:sz w:val="20"/>
          <w:szCs w:val="20"/>
        </w:rPr>
        <w:t>In July 2020, we exercised our option to redeem in whole the 3.250% senior fixed rate notes due in 2020 at a price equal to 100%</w:t>
      </w:r>
      <w:r>
        <w:rPr>
          <w:rFonts w:ascii="Arial" w:eastAsia="宋体" w:hAnsi="Arial" w:cs="Arial"/>
          <w:color w:val="000000"/>
          <w:sz w:val="20"/>
          <w:szCs w:val="20"/>
        </w:rPr>
        <w:t xml:space="preserve"> of the principal amount of $500 million, plus accrued interest. </w:t>
      </w:r>
    </w:p>
    <w:p w14:paraId="22CFCDAB" w14:textId="77777777" w:rsidR="002661BA" w:rsidRDefault="002661BA">
      <w:pPr>
        <w:ind w:firstLine="540"/>
        <w:jc w:val="both"/>
      </w:pPr>
    </w:p>
    <w:p w14:paraId="22CFCDAC" w14:textId="77777777" w:rsidR="002661BA" w:rsidRDefault="00D972BC">
      <w:pPr>
        <w:ind w:firstLine="540"/>
        <w:jc w:val="both"/>
      </w:pPr>
      <w:r>
        <w:rPr>
          <w:rFonts w:ascii="Arial" w:eastAsia="宋体" w:hAnsi="Arial" w:cs="Arial"/>
          <w:color w:val="000000"/>
          <w:sz w:val="20"/>
          <w:szCs w:val="20"/>
        </w:rPr>
        <w:t xml:space="preserve">In 2019, $400 million of floating rate notes and $1.15 billion of 2.200% fixed rate notes matured and were repaid. </w:t>
      </w:r>
    </w:p>
    <w:p w14:paraId="22CFCDAD" w14:textId="77777777" w:rsidR="002661BA" w:rsidRDefault="002661BA">
      <w:pPr>
        <w:jc w:val="both"/>
      </w:pPr>
    </w:p>
    <w:p w14:paraId="22CFCDAE" w14:textId="77777777" w:rsidR="002661BA" w:rsidRDefault="00D972BC">
      <w:pPr>
        <w:ind w:firstLine="540"/>
        <w:jc w:val="both"/>
      </w:pPr>
      <w:r>
        <w:rPr>
          <w:rFonts w:ascii="Arial" w:eastAsia="宋体" w:hAnsi="Arial" w:cs="Arial"/>
          <w:color w:val="000000"/>
          <w:sz w:val="20"/>
          <w:szCs w:val="20"/>
        </w:rPr>
        <w:t>None of the floating rate notes are redeemable prior to maturity. We may</w:t>
      </w:r>
      <w:r>
        <w:rPr>
          <w:rFonts w:ascii="Arial" w:eastAsia="宋体" w:hAnsi="Arial" w:cs="Arial"/>
          <w:color w:val="000000"/>
          <w:sz w:val="20"/>
          <w:szCs w:val="20"/>
        </w:rPr>
        <w:t xml:space="preserve"> redeem some or all of the other fixed rate notes of each series at any time and from time to time prior to their maturity, generally at a make-whole redemption price, plus accrued and unpaid interest. </w:t>
      </w:r>
    </w:p>
    <w:p w14:paraId="22CFCDAF" w14:textId="77777777" w:rsidR="002661BA" w:rsidRDefault="002661BA">
      <w:pPr>
        <w:ind w:firstLine="540"/>
        <w:jc w:val="both"/>
      </w:pPr>
    </w:p>
    <w:p w14:paraId="22CFCDB0" w14:textId="77777777" w:rsidR="002661BA" w:rsidRDefault="00D972BC">
      <w:pPr>
        <w:ind w:firstLine="540"/>
        <w:jc w:val="both"/>
      </w:pPr>
      <w:r>
        <w:rPr>
          <w:rFonts w:ascii="Arial" w:eastAsia="宋体" w:hAnsi="Arial" w:cs="Arial"/>
          <w:color w:val="000000"/>
          <w:sz w:val="20"/>
          <w:szCs w:val="20"/>
        </w:rPr>
        <w:t xml:space="preserve">If a change of control triggering event (as defined </w:t>
      </w:r>
      <w:r>
        <w:rPr>
          <w:rFonts w:ascii="Arial" w:eastAsia="宋体" w:hAnsi="Arial" w:cs="Arial"/>
          <w:color w:val="000000"/>
          <w:sz w:val="20"/>
          <w:szCs w:val="20"/>
        </w:rPr>
        <w:t>in the applicable senior notes) occurs with respect to the 3.800% fixed rate notes due 2022, the floating rate notes due 2023, the 2.750% fixed rate notes due 2023, the 1.900% fixed rate notes due 2025, the 1.400% fixed rate notes due 2026, the 3.600% fixe</w:t>
      </w:r>
      <w:r>
        <w:rPr>
          <w:rFonts w:ascii="Arial" w:eastAsia="宋体" w:hAnsi="Arial" w:cs="Arial"/>
          <w:color w:val="000000"/>
          <w:sz w:val="20"/>
          <w:szCs w:val="20"/>
        </w:rPr>
        <w:t>d rate notes due 2027, the 2.700% fixed rate notes due 2030, the 2.600% fixed rate notes due 2031 or the 3.650% fixed rate notes due 2051, we must, subject to certain exceptions, offer to repurchase all of the notes of the applicable series at a price equa</w:t>
      </w:r>
      <w:r>
        <w:rPr>
          <w:rFonts w:ascii="Arial" w:eastAsia="宋体" w:hAnsi="Arial" w:cs="Arial"/>
          <w:color w:val="000000"/>
          <w:sz w:val="20"/>
          <w:szCs w:val="20"/>
        </w:rPr>
        <w:t xml:space="preserve">l to 101% of the principal amount, plus accrued and unpaid interest. </w:t>
      </w:r>
    </w:p>
    <w:p w14:paraId="22CFCDB1" w14:textId="77777777" w:rsidR="002661BA" w:rsidRDefault="002661BA">
      <w:pPr>
        <w:ind w:firstLine="540"/>
        <w:jc w:val="both"/>
      </w:pPr>
    </w:p>
    <w:p w14:paraId="22CFCDB2" w14:textId="77777777" w:rsidR="002661BA" w:rsidRDefault="00D972BC">
      <w:pPr>
        <w:ind w:firstLine="540"/>
        <w:jc w:val="both"/>
      </w:pPr>
      <w:r>
        <w:rPr>
          <w:rFonts w:ascii="Arial" w:eastAsia="宋体" w:hAnsi="Arial" w:cs="Arial"/>
          <w:color w:val="000000"/>
          <w:sz w:val="20"/>
          <w:szCs w:val="20"/>
        </w:rPr>
        <w:t>The indenture pursuant to which the senior notes were issued includes customary covenants that, among other things and subject to exceptions, limit our ability to incur, assume or guara</w:t>
      </w:r>
      <w:r>
        <w:rPr>
          <w:rFonts w:ascii="Arial" w:eastAsia="宋体" w:hAnsi="Arial" w:cs="Arial"/>
          <w:color w:val="000000"/>
          <w:sz w:val="20"/>
          <w:szCs w:val="20"/>
        </w:rPr>
        <w:t>ntee debt secured by liens on specified assets or enter into sale and lease-back transactions with respect to specified properties, and also includes customary events of default with customary grace periods in certain circumstances, including payment defau</w:t>
      </w:r>
      <w:r>
        <w:rPr>
          <w:rFonts w:ascii="Arial" w:eastAsia="宋体" w:hAnsi="Arial" w:cs="Arial"/>
          <w:color w:val="000000"/>
          <w:sz w:val="20"/>
          <w:szCs w:val="20"/>
        </w:rPr>
        <w:t xml:space="preserve">lts and bankruptcy-related defaults. </w:t>
      </w:r>
    </w:p>
    <w:p w14:paraId="22CFCDB3" w14:textId="77777777" w:rsidR="002661BA" w:rsidRDefault="002661BA">
      <w:pPr>
        <w:ind w:firstLine="540"/>
        <w:jc w:val="both"/>
      </w:pPr>
    </w:p>
    <w:p w14:paraId="22CFCDB4" w14:textId="77777777" w:rsidR="002661BA" w:rsidRDefault="00D972BC">
      <w:pPr>
        <w:ind w:firstLine="540"/>
        <w:jc w:val="both"/>
      </w:pPr>
      <w:r>
        <w:rPr>
          <w:rFonts w:ascii="Arial" w:eastAsia="宋体" w:hAnsi="Arial" w:cs="Arial"/>
          <w:color w:val="000000"/>
          <w:sz w:val="20"/>
          <w:szCs w:val="20"/>
        </w:rPr>
        <w:t>To help achieve our interest rate risk management objectives, during the second quarter of 2020, we entered into interest rate swap agreements that effectively converted $400 million of our LIBOR-based floating-rate d</w:t>
      </w:r>
      <w:r>
        <w:rPr>
          <w:rFonts w:ascii="Arial" w:eastAsia="宋体" w:hAnsi="Arial" w:cs="Arial"/>
          <w:color w:val="000000"/>
          <w:sz w:val="20"/>
          <w:szCs w:val="20"/>
        </w:rPr>
        <w:t>ebt to a fixed-rate basis. These swaps were designated as cash flow hedges and have maturity dates in 2023.</w:t>
      </w:r>
    </w:p>
    <w:p w14:paraId="22CFCDB5" w14:textId="77777777" w:rsidR="002661BA" w:rsidRDefault="002661BA">
      <w:pPr>
        <w:ind w:firstLine="540"/>
        <w:jc w:val="both"/>
      </w:pPr>
    </w:p>
    <w:p w14:paraId="22CFCDB6" w14:textId="77777777" w:rsidR="002661BA" w:rsidRDefault="00D972BC">
      <w:pPr>
        <w:ind w:firstLine="540"/>
        <w:jc w:val="both"/>
      </w:pPr>
      <w:r>
        <w:rPr>
          <w:rFonts w:ascii="Arial" w:eastAsia="宋体" w:hAnsi="Arial" w:cs="Arial"/>
          <w:color w:val="000000"/>
          <w:sz w:val="20"/>
          <w:szCs w:val="20"/>
        </w:rPr>
        <w:t>The effective interest rates for our senior notes include the interest payable, the amortization of debt issuance costs and the amortization of any</w:t>
      </w:r>
      <w:r>
        <w:rPr>
          <w:rFonts w:ascii="Arial" w:eastAsia="宋体" w:hAnsi="Arial" w:cs="Arial"/>
          <w:color w:val="000000"/>
          <w:sz w:val="20"/>
          <w:szCs w:val="20"/>
        </w:rPr>
        <w:t xml:space="preserve"> original issue discount and premium on these senior notes. Interest on these senior notes is payable either quarterly or semiannually. Interest expense associated with these senior notes, including amortization of debt issuance costs, during the years end</w:t>
      </w:r>
      <w:r>
        <w:rPr>
          <w:rFonts w:ascii="Arial" w:eastAsia="宋体" w:hAnsi="Arial" w:cs="Arial"/>
          <w:color w:val="000000"/>
          <w:sz w:val="20"/>
          <w:szCs w:val="20"/>
        </w:rPr>
        <w:t>ed December 31, 2021, 2020 and 2019 was approximately $257 million, $284 million and $301 million, respectively. As of December 31, 2021 and 2020, the estimated fair value of these senior notes, using Level 2 inputs, was approximately $9.5 billion and $8.3</w:t>
      </w:r>
      <w:r>
        <w:rPr>
          <w:rFonts w:ascii="Arial" w:eastAsia="宋体" w:hAnsi="Arial" w:cs="Arial"/>
          <w:color w:val="000000"/>
          <w:sz w:val="20"/>
          <w:szCs w:val="20"/>
        </w:rPr>
        <w:t xml:space="preserve"> billion, respectively.</w:t>
      </w:r>
    </w:p>
    <w:p w14:paraId="22CFCDB7" w14:textId="77777777" w:rsidR="002661BA" w:rsidRDefault="002661BA">
      <w:pPr>
        <w:jc w:val="both"/>
      </w:pPr>
    </w:p>
    <w:p w14:paraId="22CFCDB8" w14:textId="77777777" w:rsidR="002661BA" w:rsidRDefault="00D972BC">
      <w:pPr>
        <w:ind w:firstLine="270"/>
        <w:jc w:val="both"/>
      </w:pPr>
      <w:r>
        <w:rPr>
          <w:rFonts w:ascii="Arial" w:eastAsia="宋体" w:hAnsi="Arial" w:cs="Arial"/>
          <w:b/>
          <w:bCs/>
          <w:i/>
          <w:iCs/>
          <w:color w:val="000000"/>
          <w:sz w:val="20"/>
          <w:szCs w:val="20"/>
        </w:rPr>
        <w:t>Commercial Paper</w:t>
      </w:r>
    </w:p>
    <w:p w14:paraId="22CFCDB9" w14:textId="77777777" w:rsidR="002661BA" w:rsidRDefault="002661BA">
      <w:pPr>
        <w:jc w:val="both"/>
      </w:pPr>
    </w:p>
    <w:p w14:paraId="22CFCDBA" w14:textId="77777777" w:rsidR="002661BA" w:rsidRDefault="00D972BC">
      <w:pPr>
        <w:ind w:firstLine="540"/>
        <w:jc w:val="both"/>
      </w:pPr>
      <w:r>
        <w:rPr>
          <w:rFonts w:ascii="Arial" w:eastAsia="宋体" w:hAnsi="Arial" w:cs="Arial"/>
          <w:color w:val="000000"/>
          <w:sz w:val="20"/>
          <w:szCs w:val="20"/>
        </w:rPr>
        <w:t xml:space="preserve">We have a commercial paper program pursuant to which we may issue commercial paper notes in an aggregate principal amount at maturity of up to $1.5 billion outstanding at any time with maturities of up to 397 </w:t>
      </w:r>
      <w:r>
        <w:rPr>
          <w:rFonts w:ascii="Arial" w:eastAsia="宋体" w:hAnsi="Arial" w:cs="Arial"/>
          <w:color w:val="000000"/>
          <w:sz w:val="20"/>
          <w:szCs w:val="20"/>
        </w:rPr>
        <w:t>days from the date of issue. As of December 31, 2021 and 2020, there were no commercial paper notes outstanding.</w:t>
      </w:r>
    </w:p>
    <w:p w14:paraId="22CFCDBB" w14:textId="77777777" w:rsidR="002661BA" w:rsidRDefault="002661BA">
      <w:pPr>
        <w:ind w:firstLine="540"/>
        <w:jc w:val="both"/>
      </w:pPr>
    </w:p>
    <w:p w14:paraId="22CFCDBC" w14:textId="77777777" w:rsidR="002661BA" w:rsidRDefault="00D972BC">
      <w:pPr>
        <w:ind w:firstLine="270"/>
        <w:jc w:val="both"/>
      </w:pPr>
      <w:r>
        <w:rPr>
          <w:rFonts w:ascii="Arial" w:eastAsia="宋体" w:hAnsi="Arial" w:cs="Arial"/>
          <w:b/>
          <w:bCs/>
          <w:i/>
          <w:iCs/>
          <w:color w:val="000000"/>
          <w:sz w:val="20"/>
          <w:szCs w:val="20"/>
        </w:rPr>
        <w:t xml:space="preserve">Credit Agreement </w:t>
      </w:r>
    </w:p>
    <w:p w14:paraId="22CFCDBD" w14:textId="77777777" w:rsidR="002661BA" w:rsidRDefault="002661BA">
      <w:pPr>
        <w:jc w:val="both"/>
      </w:pPr>
    </w:p>
    <w:p w14:paraId="22CFCDBE" w14:textId="77777777" w:rsidR="002661BA" w:rsidRDefault="00D972BC">
      <w:pPr>
        <w:ind w:firstLine="540"/>
        <w:jc w:val="both"/>
      </w:pPr>
      <w:r>
        <w:rPr>
          <w:rFonts w:ascii="Arial" w:eastAsia="宋体" w:hAnsi="Arial" w:cs="Arial"/>
          <w:color w:val="000000"/>
          <w:sz w:val="20"/>
          <w:szCs w:val="20"/>
        </w:rPr>
        <w:t>In March 2020, we entered into a credit agreement that provides for an unsecured $2 billion five-year credit facility. We m</w:t>
      </w:r>
      <w:r>
        <w:rPr>
          <w:rFonts w:ascii="Arial" w:eastAsia="宋体" w:hAnsi="Arial" w:cs="Arial"/>
          <w:color w:val="000000"/>
          <w:sz w:val="20"/>
          <w:szCs w:val="20"/>
        </w:rPr>
        <w:t xml:space="preserve">ay also, subject to the agreement of the applicable lenders, increase commitments under the revolving </w:t>
      </w:r>
    </w:p>
    <w:p w14:paraId="22CFCDBF" w14:textId="77777777" w:rsidR="002661BA" w:rsidRDefault="00D972BC">
      <w:pPr>
        <w:jc w:val="center"/>
      </w:pPr>
      <w:r>
        <w:rPr>
          <w:rFonts w:ascii="Arial" w:eastAsia="宋体" w:hAnsi="Arial" w:cs="Arial"/>
          <w:color w:val="000000"/>
          <w:sz w:val="18"/>
          <w:szCs w:val="18"/>
        </w:rPr>
        <w:t>97</w:t>
      </w:r>
    </w:p>
    <w:p w14:paraId="22CFCDC0" w14:textId="77777777" w:rsidR="002661BA" w:rsidRDefault="00D972BC">
      <w:r>
        <w:pict w14:anchorId="22CFE512">
          <v:rect id="_x0000_i1121" style="width:415.3pt;height:1.5pt" o:hralign="center" o:hrstd="t" o:hr="t" fillcolor="#a0a0a0" stroked="f"/>
        </w:pict>
      </w:r>
    </w:p>
    <w:p w14:paraId="22CFCDC1" w14:textId="77777777" w:rsidR="002661BA" w:rsidRDefault="00D972BC">
      <w:hyperlink r:id="rId132" w:anchor="id0d7a71b05ce452ea9fdb54f3cb359c7_7" w:history="1">
        <w:r>
          <w:rPr>
            <w:rStyle w:val="a5"/>
            <w:rFonts w:ascii="Arial" w:eastAsia="宋体" w:hAnsi="Arial" w:cs="Arial"/>
            <w:sz w:val="18"/>
            <w:szCs w:val="18"/>
          </w:rPr>
          <w:t>Table of Contents</w:t>
        </w:r>
      </w:hyperlink>
    </w:p>
    <w:p w14:paraId="22CFCDC2" w14:textId="77777777" w:rsidR="002661BA" w:rsidRDefault="00D972BC">
      <w:pPr>
        <w:jc w:val="center"/>
      </w:pPr>
      <w:r>
        <w:rPr>
          <w:rFonts w:ascii="Arial" w:eastAsia="宋体" w:hAnsi="Arial" w:cs="Arial"/>
          <w:b/>
          <w:bCs/>
          <w:color w:val="000000"/>
          <w:sz w:val="20"/>
          <w:szCs w:val="20"/>
        </w:rPr>
        <w:t>eBay Inc.</w:t>
      </w:r>
    </w:p>
    <w:p w14:paraId="22CFCDC3"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DC4" w14:textId="77777777" w:rsidR="002661BA" w:rsidRDefault="00D972BC">
      <w:pPr>
        <w:jc w:val="both"/>
      </w:pPr>
      <w:r>
        <w:rPr>
          <w:rFonts w:ascii="Arial" w:eastAsia="宋体" w:hAnsi="Arial" w:cs="Arial"/>
          <w:color w:val="000000"/>
          <w:sz w:val="20"/>
          <w:szCs w:val="20"/>
        </w:rPr>
        <w:t>credit facility by u</w:t>
      </w:r>
      <w:r>
        <w:rPr>
          <w:rFonts w:ascii="Arial" w:eastAsia="宋体" w:hAnsi="Arial" w:cs="Arial"/>
          <w:color w:val="000000"/>
          <w:sz w:val="20"/>
          <w:szCs w:val="20"/>
        </w:rPr>
        <w:t>p to $1 billion. Funds borrowed under the credit agreement may be used for working capital, capital expenditures, acquisitions and other general corporate purposes. The credit agreement replaced our prior $2 billion unsecured revolving credit agreement dat</w:t>
      </w:r>
      <w:r>
        <w:rPr>
          <w:rFonts w:ascii="Arial" w:eastAsia="宋体" w:hAnsi="Arial" w:cs="Arial"/>
          <w:color w:val="000000"/>
          <w:sz w:val="20"/>
          <w:szCs w:val="20"/>
        </w:rPr>
        <w:t>ed November 2015, which was terminated effective March 2020.</w:t>
      </w:r>
    </w:p>
    <w:p w14:paraId="22CFCDC5" w14:textId="77777777" w:rsidR="002661BA" w:rsidRDefault="002661BA">
      <w:pPr>
        <w:ind w:firstLine="540"/>
        <w:jc w:val="both"/>
      </w:pPr>
    </w:p>
    <w:p w14:paraId="22CFCDC6" w14:textId="77777777" w:rsidR="002661BA" w:rsidRDefault="00D972BC">
      <w:pPr>
        <w:ind w:firstLine="540"/>
        <w:jc w:val="both"/>
      </w:pPr>
      <w:r>
        <w:rPr>
          <w:rFonts w:ascii="Arial" w:eastAsia="宋体" w:hAnsi="Arial" w:cs="Arial"/>
          <w:color w:val="000000"/>
          <w:sz w:val="20"/>
          <w:szCs w:val="20"/>
        </w:rPr>
        <w:t>As of December 31, 2021, no borrowings were outstanding under our $2 billion credit agreement. However, as described above, we have an up to $1.5 billion commercial paper program and are require</w:t>
      </w:r>
      <w:r>
        <w:rPr>
          <w:rFonts w:ascii="Arial" w:eastAsia="宋体" w:hAnsi="Arial" w:cs="Arial"/>
          <w:color w:val="000000"/>
          <w:sz w:val="20"/>
          <w:szCs w:val="20"/>
        </w:rPr>
        <w:t xml:space="preserve">d to maintain available borrowing capacity under our credit agreement in order to repay commercial paper borrowings in the event we are unable to repay those borrowings from other sources when they become due, in an aggregate amount of $1.5 billion. As of </w:t>
      </w:r>
      <w:r>
        <w:rPr>
          <w:rFonts w:ascii="Arial" w:eastAsia="宋体" w:hAnsi="Arial" w:cs="Arial"/>
          <w:color w:val="000000"/>
          <w:sz w:val="20"/>
          <w:szCs w:val="20"/>
        </w:rPr>
        <w:t>December 31, 2021, no borrowings were outstanding under our commercial paper program; therefore, $2 billion of borrowing capacity was available for other purposes permitted by the credit agreement, subject to customary conditions to borrowing. The credit a</w:t>
      </w:r>
      <w:r>
        <w:rPr>
          <w:rFonts w:ascii="Arial" w:eastAsia="宋体" w:hAnsi="Arial" w:cs="Arial"/>
          <w:color w:val="000000"/>
          <w:sz w:val="20"/>
          <w:szCs w:val="20"/>
        </w:rPr>
        <w:t>greement includes a covenant limiting our consolidated leverage ratio to no more than 4.0:1.0, subject to, upon the occurrence of a qualified material acquisition, if so elected by us, a step-up to 4.5:1.0 for the four fiscal quarters completed following s</w:t>
      </w:r>
      <w:r>
        <w:rPr>
          <w:rFonts w:ascii="Arial" w:eastAsia="宋体" w:hAnsi="Arial" w:cs="Arial"/>
          <w:color w:val="000000"/>
          <w:sz w:val="20"/>
          <w:szCs w:val="20"/>
        </w:rPr>
        <w:t>uch qualified material acquisition. The credit agreement includes customary events of default, with corresponding grace periods in certain circumstances, including payment defaults, cross-defaults and bankruptcy-related defaults.</w:t>
      </w:r>
      <w:r>
        <w:rPr>
          <w:rFonts w:ascii="Arial" w:eastAsia="宋体" w:hAnsi="Arial" w:cs="Arial"/>
          <w:color w:val="000000"/>
        </w:rPr>
        <w:t xml:space="preserve"> </w:t>
      </w:r>
      <w:r>
        <w:rPr>
          <w:rFonts w:ascii="Arial" w:eastAsia="宋体" w:hAnsi="Arial" w:cs="Arial"/>
          <w:color w:val="000000"/>
          <w:sz w:val="20"/>
          <w:szCs w:val="20"/>
        </w:rPr>
        <w:t>In addition, the credit ag</w:t>
      </w:r>
      <w:r>
        <w:rPr>
          <w:rFonts w:ascii="Arial" w:eastAsia="宋体" w:hAnsi="Arial" w:cs="Arial"/>
          <w:color w:val="000000"/>
          <w:sz w:val="20"/>
          <w:szCs w:val="20"/>
        </w:rPr>
        <w:t>reement contains customary affirmative and negative covenants, including restrictions regarding the incurrence of liens and subsidiary indebtedness, in each case, subject to customary exceptions. The credit agreement also contains customary representations</w:t>
      </w:r>
      <w:r>
        <w:rPr>
          <w:rFonts w:ascii="Arial" w:eastAsia="宋体" w:hAnsi="Arial" w:cs="Arial"/>
          <w:color w:val="000000"/>
          <w:sz w:val="20"/>
          <w:szCs w:val="20"/>
        </w:rPr>
        <w:t xml:space="preserve"> and warranties. </w:t>
      </w:r>
    </w:p>
    <w:p w14:paraId="22CFCDC7" w14:textId="77777777" w:rsidR="002661BA" w:rsidRDefault="002661BA">
      <w:pPr>
        <w:ind w:firstLine="540"/>
        <w:jc w:val="both"/>
      </w:pPr>
    </w:p>
    <w:p w14:paraId="22CFCDC8" w14:textId="77777777" w:rsidR="002661BA" w:rsidRDefault="00D972BC">
      <w:pPr>
        <w:ind w:firstLine="540"/>
        <w:jc w:val="both"/>
      </w:pPr>
      <w:r>
        <w:rPr>
          <w:rFonts w:ascii="Arial" w:eastAsia="宋体" w:hAnsi="Arial" w:cs="Arial"/>
          <w:color w:val="000000"/>
          <w:sz w:val="20"/>
          <w:szCs w:val="20"/>
        </w:rPr>
        <w:t>We were in compliance with all financial covenants in our outstanding debt instruments for the period ended December 31, 2021.</w:t>
      </w:r>
    </w:p>
    <w:p w14:paraId="22CFCDC9" w14:textId="77777777" w:rsidR="002661BA" w:rsidRDefault="002661BA">
      <w:pPr>
        <w:jc w:val="both"/>
      </w:pPr>
    </w:p>
    <w:p w14:paraId="22CFCDCA" w14:textId="77777777" w:rsidR="002661BA" w:rsidRDefault="00D972BC">
      <w:pPr>
        <w:ind w:firstLine="270"/>
        <w:jc w:val="both"/>
      </w:pPr>
      <w:r>
        <w:rPr>
          <w:rFonts w:ascii="Arial" w:eastAsia="宋体" w:hAnsi="Arial" w:cs="Arial"/>
          <w:b/>
          <w:bCs/>
          <w:i/>
          <w:iCs/>
          <w:color w:val="000000"/>
          <w:sz w:val="20"/>
          <w:szCs w:val="20"/>
        </w:rPr>
        <w:t xml:space="preserve">Future Maturities </w:t>
      </w:r>
    </w:p>
    <w:p w14:paraId="22CFCDCB" w14:textId="77777777" w:rsidR="002661BA" w:rsidRDefault="002661BA">
      <w:pPr>
        <w:jc w:val="both"/>
      </w:pPr>
    </w:p>
    <w:p w14:paraId="22CFCDCC" w14:textId="77777777" w:rsidR="002661BA" w:rsidRDefault="00D972BC">
      <w:pPr>
        <w:spacing w:after="120"/>
        <w:ind w:firstLine="540"/>
        <w:jc w:val="both"/>
      </w:pPr>
      <w:r>
        <w:rPr>
          <w:rFonts w:ascii="Arial" w:eastAsia="宋体" w:hAnsi="Arial" w:cs="Arial"/>
          <w:color w:val="000000"/>
          <w:sz w:val="20"/>
          <w:szCs w:val="20"/>
        </w:rPr>
        <w:t>The following table presents expected future principal maturities as of the date indicate</w:t>
      </w:r>
      <w:r>
        <w:rPr>
          <w:rFonts w:ascii="Arial" w:eastAsia="宋体" w:hAnsi="Arial" w:cs="Arial"/>
          <w:color w:val="000000"/>
          <w:sz w:val="20"/>
          <w:szCs w:val="20"/>
        </w:rPr>
        <w:t>d (in millions):</w:t>
      </w:r>
    </w:p>
    <w:tbl>
      <w:tblPr>
        <w:tblW w:w="5000" w:type="pct"/>
        <w:tblCellMar>
          <w:top w:w="15" w:type="dxa"/>
          <w:left w:w="15" w:type="dxa"/>
          <w:bottom w:w="15" w:type="dxa"/>
          <w:right w:w="15" w:type="dxa"/>
        </w:tblCellMar>
        <w:tblLook w:val="04A0" w:firstRow="1" w:lastRow="0" w:firstColumn="1" w:lastColumn="0" w:noHBand="0" w:noVBand="1"/>
      </w:tblPr>
      <w:tblGrid>
        <w:gridCol w:w="51"/>
        <w:gridCol w:w="7152"/>
        <w:gridCol w:w="38"/>
        <w:gridCol w:w="122"/>
        <w:gridCol w:w="937"/>
        <w:gridCol w:w="36"/>
      </w:tblGrid>
      <w:tr w:rsidR="002661BA" w14:paraId="22CFCDD3" w14:textId="77777777">
        <w:tc>
          <w:tcPr>
            <w:tcW w:w="50" w:type="pct"/>
            <w:shd w:val="clear" w:color="auto" w:fill="auto"/>
            <w:vAlign w:val="bottom"/>
          </w:tcPr>
          <w:p w14:paraId="22CFCDCD" w14:textId="77777777" w:rsidR="002661BA" w:rsidRDefault="002661BA">
            <w:pPr>
              <w:rPr>
                <w:rFonts w:ascii="宋体"/>
              </w:rPr>
            </w:pPr>
          </w:p>
        </w:tc>
        <w:tc>
          <w:tcPr>
            <w:tcW w:w="4309" w:type="pct"/>
            <w:shd w:val="clear" w:color="auto" w:fill="auto"/>
            <w:vAlign w:val="bottom"/>
          </w:tcPr>
          <w:p w14:paraId="22CFCDCE" w14:textId="77777777" w:rsidR="002661BA" w:rsidRDefault="002661BA">
            <w:pPr>
              <w:rPr>
                <w:rFonts w:ascii="宋体"/>
              </w:rPr>
            </w:pPr>
          </w:p>
        </w:tc>
        <w:tc>
          <w:tcPr>
            <w:tcW w:w="5" w:type="pct"/>
            <w:shd w:val="clear" w:color="auto" w:fill="auto"/>
            <w:vAlign w:val="bottom"/>
          </w:tcPr>
          <w:p w14:paraId="22CFCDCF" w14:textId="77777777" w:rsidR="002661BA" w:rsidRDefault="002661BA">
            <w:pPr>
              <w:rPr>
                <w:rFonts w:ascii="宋体"/>
              </w:rPr>
            </w:pPr>
          </w:p>
        </w:tc>
        <w:tc>
          <w:tcPr>
            <w:tcW w:w="50" w:type="pct"/>
            <w:shd w:val="clear" w:color="auto" w:fill="auto"/>
            <w:vAlign w:val="bottom"/>
          </w:tcPr>
          <w:p w14:paraId="22CFCDD0" w14:textId="77777777" w:rsidR="002661BA" w:rsidRDefault="002661BA">
            <w:pPr>
              <w:rPr>
                <w:rFonts w:ascii="宋体"/>
              </w:rPr>
            </w:pPr>
          </w:p>
        </w:tc>
        <w:tc>
          <w:tcPr>
            <w:tcW w:w="581" w:type="pct"/>
            <w:shd w:val="clear" w:color="auto" w:fill="auto"/>
            <w:vAlign w:val="bottom"/>
          </w:tcPr>
          <w:p w14:paraId="22CFCDD1" w14:textId="77777777" w:rsidR="002661BA" w:rsidRDefault="002661BA">
            <w:pPr>
              <w:rPr>
                <w:rFonts w:ascii="宋体"/>
              </w:rPr>
            </w:pPr>
          </w:p>
        </w:tc>
        <w:tc>
          <w:tcPr>
            <w:tcW w:w="5" w:type="pct"/>
            <w:shd w:val="clear" w:color="auto" w:fill="auto"/>
            <w:vAlign w:val="bottom"/>
          </w:tcPr>
          <w:p w14:paraId="22CFCDD2" w14:textId="77777777" w:rsidR="002661BA" w:rsidRDefault="002661BA">
            <w:pPr>
              <w:rPr>
                <w:rFonts w:ascii="宋体"/>
              </w:rPr>
            </w:pPr>
          </w:p>
        </w:tc>
      </w:tr>
      <w:tr w:rsidR="002661BA" w14:paraId="22CFCDD6" w14:textId="77777777">
        <w:tc>
          <w:tcPr>
            <w:tcW w:w="0" w:type="auto"/>
            <w:gridSpan w:val="3"/>
            <w:shd w:val="clear" w:color="auto" w:fill="auto"/>
            <w:tcMar>
              <w:top w:w="0" w:type="dxa"/>
              <w:left w:w="20" w:type="dxa"/>
              <w:bottom w:w="0" w:type="dxa"/>
              <w:right w:w="20" w:type="dxa"/>
            </w:tcMar>
            <w:vAlign w:val="bottom"/>
          </w:tcPr>
          <w:p w14:paraId="22CFCDD4"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DD5" w14:textId="77777777" w:rsidR="002661BA" w:rsidRDefault="00D972BC">
            <w:pPr>
              <w:jc w:val="center"/>
              <w:textAlignment w:val="bottom"/>
            </w:pPr>
            <w:r>
              <w:rPr>
                <w:rFonts w:ascii="Arial" w:eastAsia="宋体" w:hAnsi="Arial" w:cs="Arial"/>
                <w:b/>
                <w:bCs/>
                <w:color w:val="000000"/>
                <w:sz w:val="17"/>
                <w:szCs w:val="17"/>
              </w:rPr>
              <w:t>December 31, 2021</w:t>
            </w:r>
          </w:p>
        </w:tc>
      </w:tr>
      <w:tr w:rsidR="002661BA" w14:paraId="22CFCDD9" w14:textId="77777777">
        <w:tc>
          <w:tcPr>
            <w:tcW w:w="0" w:type="auto"/>
            <w:gridSpan w:val="3"/>
            <w:shd w:val="clear" w:color="auto" w:fill="DBDBDB"/>
            <w:tcMar>
              <w:top w:w="40" w:type="dxa"/>
              <w:left w:w="20" w:type="dxa"/>
              <w:bottom w:w="40" w:type="dxa"/>
              <w:right w:w="20" w:type="dxa"/>
            </w:tcMar>
            <w:vAlign w:val="bottom"/>
          </w:tcPr>
          <w:p w14:paraId="22CFCDD7" w14:textId="77777777" w:rsidR="002661BA" w:rsidRDefault="00D972BC">
            <w:pPr>
              <w:textAlignment w:val="bottom"/>
            </w:pPr>
            <w:r>
              <w:rPr>
                <w:rFonts w:ascii="Arial" w:eastAsia="宋体" w:hAnsi="Arial" w:cs="Arial"/>
                <w:color w:val="000000"/>
                <w:sz w:val="18"/>
                <w:szCs w:val="18"/>
              </w:rPr>
              <w:t>Fiscal Years:</w:t>
            </w: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22CFCDD8" w14:textId="77777777" w:rsidR="002661BA" w:rsidRDefault="002661BA">
            <w:pPr>
              <w:rPr>
                <w:rFonts w:ascii="宋体"/>
              </w:rPr>
            </w:pPr>
          </w:p>
        </w:tc>
      </w:tr>
      <w:tr w:rsidR="002661BA" w14:paraId="22CFCDDE" w14:textId="77777777">
        <w:tc>
          <w:tcPr>
            <w:tcW w:w="0" w:type="auto"/>
            <w:gridSpan w:val="3"/>
            <w:shd w:val="clear" w:color="auto" w:fill="FFFFFF"/>
            <w:tcMar>
              <w:top w:w="40" w:type="dxa"/>
              <w:left w:w="20" w:type="dxa"/>
              <w:bottom w:w="40" w:type="dxa"/>
              <w:right w:w="20" w:type="dxa"/>
            </w:tcMar>
            <w:vAlign w:val="bottom"/>
          </w:tcPr>
          <w:p w14:paraId="22CFCDDA" w14:textId="77777777" w:rsidR="002661BA" w:rsidRDefault="00D972BC">
            <w:pPr>
              <w:textAlignment w:val="bottom"/>
            </w:pPr>
            <w:r>
              <w:rPr>
                <w:rFonts w:ascii="Arial" w:eastAsia="宋体" w:hAnsi="Arial" w:cs="Arial"/>
                <w:color w:val="000000"/>
                <w:sz w:val="18"/>
                <w:szCs w:val="18"/>
              </w:rPr>
              <w:t>2022</w:t>
            </w:r>
          </w:p>
        </w:tc>
        <w:tc>
          <w:tcPr>
            <w:tcW w:w="0" w:type="auto"/>
            <w:shd w:val="clear" w:color="auto" w:fill="FFFFFF"/>
            <w:tcMar>
              <w:top w:w="40" w:type="dxa"/>
              <w:left w:w="20" w:type="dxa"/>
              <w:bottom w:w="40" w:type="dxa"/>
              <w:right w:w="0" w:type="dxa"/>
            </w:tcMar>
            <w:vAlign w:val="bottom"/>
          </w:tcPr>
          <w:p w14:paraId="22CFCDDB"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DDC" w14:textId="77777777" w:rsidR="002661BA" w:rsidRDefault="00D972BC">
            <w:pPr>
              <w:jc w:val="right"/>
              <w:textAlignment w:val="bottom"/>
            </w:pPr>
            <w:r>
              <w:rPr>
                <w:rFonts w:ascii="Arial" w:eastAsia="宋体" w:hAnsi="Arial" w:cs="Arial"/>
                <w:color w:val="000000"/>
                <w:sz w:val="18"/>
                <w:szCs w:val="18"/>
              </w:rPr>
              <w:t>1,355 </w:t>
            </w:r>
          </w:p>
        </w:tc>
        <w:tc>
          <w:tcPr>
            <w:tcW w:w="0" w:type="auto"/>
            <w:shd w:val="clear" w:color="auto" w:fill="FFFFFF"/>
            <w:tcMar>
              <w:top w:w="40" w:type="dxa"/>
              <w:left w:w="0" w:type="dxa"/>
              <w:bottom w:w="40" w:type="dxa"/>
              <w:right w:w="20" w:type="dxa"/>
            </w:tcMar>
            <w:vAlign w:val="bottom"/>
          </w:tcPr>
          <w:p w14:paraId="22CFCDDD" w14:textId="77777777" w:rsidR="002661BA" w:rsidRDefault="002661BA">
            <w:pPr>
              <w:jc w:val="right"/>
              <w:rPr>
                <w:rFonts w:ascii="宋体"/>
              </w:rPr>
            </w:pPr>
          </w:p>
        </w:tc>
      </w:tr>
      <w:tr w:rsidR="002661BA" w14:paraId="22CFCDE2" w14:textId="77777777">
        <w:tc>
          <w:tcPr>
            <w:tcW w:w="0" w:type="auto"/>
            <w:gridSpan w:val="3"/>
            <w:shd w:val="clear" w:color="auto" w:fill="DBDBDB"/>
            <w:tcMar>
              <w:top w:w="40" w:type="dxa"/>
              <w:left w:w="20" w:type="dxa"/>
              <w:bottom w:w="40" w:type="dxa"/>
              <w:right w:w="20" w:type="dxa"/>
            </w:tcMar>
            <w:vAlign w:val="bottom"/>
          </w:tcPr>
          <w:p w14:paraId="22CFCDDF" w14:textId="77777777" w:rsidR="002661BA" w:rsidRDefault="00D972BC">
            <w:pPr>
              <w:textAlignment w:val="bottom"/>
            </w:pPr>
            <w:r>
              <w:rPr>
                <w:rFonts w:ascii="Arial" w:eastAsia="宋体" w:hAnsi="Arial" w:cs="Arial"/>
                <w:color w:val="000000"/>
                <w:sz w:val="18"/>
                <w:szCs w:val="18"/>
              </w:rPr>
              <w:t>2023</w:t>
            </w:r>
          </w:p>
        </w:tc>
        <w:tc>
          <w:tcPr>
            <w:tcW w:w="0" w:type="auto"/>
            <w:gridSpan w:val="2"/>
            <w:shd w:val="clear" w:color="auto" w:fill="DBDBDB"/>
            <w:tcMar>
              <w:top w:w="40" w:type="dxa"/>
              <w:left w:w="20" w:type="dxa"/>
              <w:bottom w:w="40" w:type="dxa"/>
              <w:right w:w="0" w:type="dxa"/>
            </w:tcMar>
            <w:vAlign w:val="bottom"/>
          </w:tcPr>
          <w:p w14:paraId="22CFCDE0" w14:textId="77777777" w:rsidR="002661BA" w:rsidRDefault="00D972BC">
            <w:pPr>
              <w:jc w:val="right"/>
              <w:textAlignment w:val="bottom"/>
            </w:pPr>
            <w:r>
              <w:rPr>
                <w:rFonts w:ascii="Arial" w:eastAsia="宋体" w:hAnsi="Arial" w:cs="Arial"/>
                <w:color w:val="000000"/>
                <w:sz w:val="18"/>
                <w:szCs w:val="18"/>
              </w:rPr>
              <w:t>1,150 </w:t>
            </w:r>
          </w:p>
        </w:tc>
        <w:tc>
          <w:tcPr>
            <w:tcW w:w="0" w:type="auto"/>
            <w:shd w:val="clear" w:color="auto" w:fill="DBDBDB"/>
            <w:tcMar>
              <w:top w:w="40" w:type="dxa"/>
              <w:left w:w="0" w:type="dxa"/>
              <w:bottom w:w="40" w:type="dxa"/>
              <w:right w:w="20" w:type="dxa"/>
            </w:tcMar>
            <w:vAlign w:val="bottom"/>
          </w:tcPr>
          <w:p w14:paraId="22CFCDE1" w14:textId="77777777" w:rsidR="002661BA" w:rsidRDefault="002661BA">
            <w:pPr>
              <w:jc w:val="right"/>
              <w:rPr>
                <w:rFonts w:ascii="宋体"/>
              </w:rPr>
            </w:pPr>
          </w:p>
        </w:tc>
      </w:tr>
      <w:tr w:rsidR="002661BA" w14:paraId="22CFCDE6" w14:textId="77777777">
        <w:tc>
          <w:tcPr>
            <w:tcW w:w="0" w:type="auto"/>
            <w:gridSpan w:val="3"/>
            <w:shd w:val="clear" w:color="auto" w:fill="FFFFFF"/>
            <w:tcMar>
              <w:top w:w="40" w:type="dxa"/>
              <w:left w:w="20" w:type="dxa"/>
              <w:bottom w:w="40" w:type="dxa"/>
              <w:right w:w="20" w:type="dxa"/>
            </w:tcMar>
            <w:vAlign w:val="bottom"/>
          </w:tcPr>
          <w:p w14:paraId="22CFCDE3" w14:textId="77777777" w:rsidR="002661BA" w:rsidRDefault="00D972BC">
            <w:pPr>
              <w:textAlignment w:val="bottom"/>
            </w:pPr>
            <w:r>
              <w:rPr>
                <w:rFonts w:ascii="Arial" w:eastAsia="宋体" w:hAnsi="Arial" w:cs="Arial"/>
                <w:color w:val="000000"/>
                <w:sz w:val="18"/>
                <w:szCs w:val="18"/>
              </w:rPr>
              <w:t>2024</w:t>
            </w:r>
          </w:p>
        </w:tc>
        <w:tc>
          <w:tcPr>
            <w:tcW w:w="0" w:type="auto"/>
            <w:gridSpan w:val="2"/>
            <w:shd w:val="clear" w:color="auto" w:fill="FFFFFF"/>
            <w:tcMar>
              <w:top w:w="40" w:type="dxa"/>
              <w:left w:w="20" w:type="dxa"/>
              <w:bottom w:w="40" w:type="dxa"/>
              <w:right w:w="0" w:type="dxa"/>
            </w:tcMar>
            <w:vAlign w:val="bottom"/>
          </w:tcPr>
          <w:p w14:paraId="22CFCDE4" w14:textId="77777777" w:rsidR="002661BA" w:rsidRDefault="00D972BC">
            <w:pPr>
              <w:jc w:val="right"/>
              <w:textAlignment w:val="bottom"/>
            </w:pPr>
            <w:r>
              <w:rPr>
                <w:rFonts w:ascii="Arial" w:eastAsia="宋体" w:hAnsi="Arial" w:cs="Arial"/>
                <w:color w:val="000000"/>
                <w:sz w:val="18"/>
                <w:szCs w:val="18"/>
              </w:rPr>
              <w:t>750 </w:t>
            </w:r>
          </w:p>
        </w:tc>
        <w:tc>
          <w:tcPr>
            <w:tcW w:w="0" w:type="auto"/>
            <w:shd w:val="clear" w:color="auto" w:fill="FFFFFF"/>
            <w:tcMar>
              <w:top w:w="40" w:type="dxa"/>
              <w:left w:w="0" w:type="dxa"/>
              <w:bottom w:w="40" w:type="dxa"/>
              <w:right w:w="20" w:type="dxa"/>
            </w:tcMar>
            <w:vAlign w:val="bottom"/>
          </w:tcPr>
          <w:p w14:paraId="22CFCDE5" w14:textId="77777777" w:rsidR="002661BA" w:rsidRDefault="002661BA">
            <w:pPr>
              <w:jc w:val="right"/>
              <w:rPr>
                <w:rFonts w:ascii="宋体"/>
              </w:rPr>
            </w:pPr>
          </w:p>
        </w:tc>
      </w:tr>
      <w:tr w:rsidR="002661BA" w14:paraId="22CFCDEA" w14:textId="77777777">
        <w:tc>
          <w:tcPr>
            <w:tcW w:w="0" w:type="auto"/>
            <w:gridSpan w:val="3"/>
            <w:shd w:val="clear" w:color="auto" w:fill="DBDBDB"/>
            <w:tcMar>
              <w:top w:w="40" w:type="dxa"/>
              <w:left w:w="20" w:type="dxa"/>
              <w:bottom w:w="40" w:type="dxa"/>
              <w:right w:w="20" w:type="dxa"/>
            </w:tcMar>
            <w:vAlign w:val="bottom"/>
          </w:tcPr>
          <w:p w14:paraId="22CFCDE7" w14:textId="77777777" w:rsidR="002661BA" w:rsidRDefault="00D972BC">
            <w:pPr>
              <w:textAlignment w:val="bottom"/>
            </w:pPr>
            <w:r>
              <w:rPr>
                <w:rFonts w:ascii="Arial" w:eastAsia="宋体" w:hAnsi="Arial" w:cs="Arial"/>
                <w:color w:val="000000"/>
                <w:sz w:val="18"/>
                <w:szCs w:val="18"/>
              </w:rPr>
              <w:t>2025</w:t>
            </w:r>
          </w:p>
        </w:tc>
        <w:tc>
          <w:tcPr>
            <w:tcW w:w="0" w:type="auto"/>
            <w:gridSpan w:val="2"/>
            <w:shd w:val="clear" w:color="auto" w:fill="DBDBDB"/>
            <w:tcMar>
              <w:top w:w="40" w:type="dxa"/>
              <w:left w:w="20" w:type="dxa"/>
              <w:bottom w:w="40" w:type="dxa"/>
              <w:right w:w="0" w:type="dxa"/>
            </w:tcMar>
            <w:vAlign w:val="bottom"/>
          </w:tcPr>
          <w:p w14:paraId="22CFCDE8" w14:textId="77777777" w:rsidR="002661BA" w:rsidRDefault="00D972BC">
            <w:pPr>
              <w:jc w:val="right"/>
              <w:textAlignment w:val="bottom"/>
            </w:pPr>
            <w:r>
              <w:rPr>
                <w:rFonts w:ascii="Arial" w:eastAsia="宋体" w:hAnsi="Arial" w:cs="Arial"/>
                <w:color w:val="000000"/>
                <w:sz w:val="18"/>
                <w:szCs w:val="18"/>
              </w:rPr>
              <w:t>800 </w:t>
            </w:r>
          </w:p>
        </w:tc>
        <w:tc>
          <w:tcPr>
            <w:tcW w:w="0" w:type="auto"/>
            <w:shd w:val="clear" w:color="auto" w:fill="DBDBDB"/>
            <w:tcMar>
              <w:top w:w="40" w:type="dxa"/>
              <w:left w:w="0" w:type="dxa"/>
              <w:bottom w:w="40" w:type="dxa"/>
              <w:right w:w="20" w:type="dxa"/>
            </w:tcMar>
            <w:vAlign w:val="bottom"/>
          </w:tcPr>
          <w:p w14:paraId="22CFCDE9" w14:textId="77777777" w:rsidR="002661BA" w:rsidRDefault="002661BA">
            <w:pPr>
              <w:jc w:val="right"/>
              <w:rPr>
                <w:rFonts w:ascii="宋体"/>
              </w:rPr>
            </w:pPr>
          </w:p>
        </w:tc>
      </w:tr>
      <w:tr w:rsidR="002661BA" w14:paraId="22CFCDEE" w14:textId="77777777">
        <w:tc>
          <w:tcPr>
            <w:tcW w:w="0" w:type="auto"/>
            <w:gridSpan w:val="3"/>
            <w:shd w:val="clear" w:color="auto" w:fill="FFFFFF"/>
            <w:tcMar>
              <w:top w:w="40" w:type="dxa"/>
              <w:left w:w="20" w:type="dxa"/>
              <w:bottom w:w="40" w:type="dxa"/>
              <w:right w:w="20" w:type="dxa"/>
            </w:tcMar>
            <w:vAlign w:val="bottom"/>
          </w:tcPr>
          <w:p w14:paraId="22CFCDEB" w14:textId="77777777" w:rsidR="002661BA" w:rsidRDefault="00D972BC">
            <w:pPr>
              <w:textAlignment w:val="bottom"/>
            </w:pPr>
            <w:r>
              <w:rPr>
                <w:rFonts w:ascii="Arial" w:eastAsia="宋体" w:hAnsi="Arial" w:cs="Arial"/>
                <w:color w:val="000000"/>
                <w:sz w:val="18"/>
                <w:szCs w:val="18"/>
              </w:rPr>
              <w:t>2026</w:t>
            </w:r>
          </w:p>
        </w:tc>
        <w:tc>
          <w:tcPr>
            <w:tcW w:w="0" w:type="auto"/>
            <w:gridSpan w:val="2"/>
            <w:shd w:val="clear" w:color="auto" w:fill="FFFFFF"/>
            <w:tcMar>
              <w:top w:w="40" w:type="dxa"/>
              <w:left w:w="20" w:type="dxa"/>
              <w:bottom w:w="40" w:type="dxa"/>
              <w:right w:w="0" w:type="dxa"/>
            </w:tcMar>
            <w:vAlign w:val="bottom"/>
          </w:tcPr>
          <w:p w14:paraId="22CFCDEC" w14:textId="77777777" w:rsidR="002661BA" w:rsidRDefault="00D972BC">
            <w:pPr>
              <w:jc w:val="right"/>
              <w:textAlignment w:val="bottom"/>
            </w:pPr>
            <w:r>
              <w:rPr>
                <w:rFonts w:ascii="Arial" w:eastAsia="宋体" w:hAnsi="Arial" w:cs="Arial"/>
                <w:color w:val="000000"/>
                <w:sz w:val="18"/>
                <w:szCs w:val="18"/>
              </w:rPr>
              <w:t>750 </w:t>
            </w:r>
          </w:p>
        </w:tc>
        <w:tc>
          <w:tcPr>
            <w:tcW w:w="0" w:type="auto"/>
            <w:shd w:val="clear" w:color="auto" w:fill="FFFFFF"/>
            <w:tcMar>
              <w:top w:w="40" w:type="dxa"/>
              <w:left w:w="0" w:type="dxa"/>
              <w:bottom w:w="40" w:type="dxa"/>
              <w:right w:w="20" w:type="dxa"/>
            </w:tcMar>
            <w:vAlign w:val="bottom"/>
          </w:tcPr>
          <w:p w14:paraId="22CFCDED" w14:textId="77777777" w:rsidR="002661BA" w:rsidRDefault="002661BA">
            <w:pPr>
              <w:jc w:val="right"/>
              <w:rPr>
                <w:rFonts w:ascii="宋体"/>
              </w:rPr>
            </w:pPr>
          </w:p>
        </w:tc>
      </w:tr>
      <w:tr w:rsidR="002661BA" w14:paraId="22CFCDF2" w14:textId="77777777">
        <w:tc>
          <w:tcPr>
            <w:tcW w:w="0" w:type="auto"/>
            <w:gridSpan w:val="3"/>
            <w:shd w:val="clear" w:color="auto" w:fill="DBDBDB"/>
            <w:tcMar>
              <w:top w:w="40" w:type="dxa"/>
              <w:left w:w="20" w:type="dxa"/>
              <w:bottom w:w="40" w:type="dxa"/>
              <w:right w:w="20" w:type="dxa"/>
            </w:tcMar>
            <w:vAlign w:val="bottom"/>
          </w:tcPr>
          <w:p w14:paraId="22CFCDEF" w14:textId="77777777" w:rsidR="002661BA" w:rsidRDefault="00D972BC">
            <w:pPr>
              <w:textAlignment w:val="bottom"/>
            </w:pPr>
            <w:r>
              <w:rPr>
                <w:rFonts w:ascii="Arial" w:eastAsia="宋体" w:hAnsi="Arial" w:cs="Arial"/>
                <w:color w:val="000000"/>
                <w:sz w:val="18"/>
                <w:szCs w:val="18"/>
              </w:rPr>
              <w:t>Thereafter</w:t>
            </w:r>
          </w:p>
        </w:tc>
        <w:tc>
          <w:tcPr>
            <w:tcW w:w="0" w:type="auto"/>
            <w:gridSpan w:val="2"/>
            <w:shd w:val="clear" w:color="auto" w:fill="DBDBDB"/>
            <w:tcMar>
              <w:top w:w="40" w:type="dxa"/>
              <w:left w:w="20" w:type="dxa"/>
              <w:bottom w:w="40" w:type="dxa"/>
              <w:right w:w="0" w:type="dxa"/>
            </w:tcMar>
            <w:vAlign w:val="bottom"/>
          </w:tcPr>
          <w:p w14:paraId="22CFCDF0" w14:textId="77777777" w:rsidR="002661BA" w:rsidRDefault="00D972BC">
            <w:pPr>
              <w:jc w:val="right"/>
              <w:textAlignment w:val="bottom"/>
            </w:pPr>
            <w:r>
              <w:rPr>
                <w:rFonts w:ascii="Arial" w:eastAsia="宋体" w:hAnsi="Arial" w:cs="Arial"/>
                <w:color w:val="000000"/>
                <w:sz w:val="18"/>
                <w:szCs w:val="18"/>
              </w:rPr>
              <w:t>4,300 </w:t>
            </w:r>
          </w:p>
        </w:tc>
        <w:tc>
          <w:tcPr>
            <w:tcW w:w="0" w:type="auto"/>
            <w:shd w:val="clear" w:color="auto" w:fill="DBDBDB"/>
            <w:tcMar>
              <w:top w:w="40" w:type="dxa"/>
              <w:left w:w="0" w:type="dxa"/>
              <w:bottom w:w="40" w:type="dxa"/>
              <w:right w:w="20" w:type="dxa"/>
            </w:tcMar>
            <w:vAlign w:val="bottom"/>
          </w:tcPr>
          <w:p w14:paraId="22CFCDF1" w14:textId="77777777" w:rsidR="002661BA" w:rsidRDefault="002661BA">
            <w:pPr>
              <w:jc w:val="right"/>
              <w:rPr>
                <w:rFonts w:ascii="宋体"/>
              </w:rPr>
            </w:pPr>
          </w:p>
        </w:tc>
      </w:tr>
      <w:tr w:rsidR="002661BA" w14:paraId="22CFCDF7" w14:textId="77777777">
        <w:tc>
          <w:tcPr>
            <w:tcW w:w="0" w:type="auto"/>
            <w:gridSpan w:val="3"/>
            <w:shd w:val="clear" w:color="auto" w:fill="FFFFFF"/>
            <w:tcMar>
              <w:top w:w="40" w:type="dxa"/>
              <w:left w:w="245" w:type="dxa"/>
              <w:bottom w:w="40" w:type="dxa"/>
              <w:right w:w="20" w:type="dxa"/>
            </w:tcMar>
            <w:vAlign w:val="bottom"/>
          </w:tcPr>
          <w:p w14:paraId="22CFCDF3" w14:textId="77777777" w:rsidR="002661BA" w:rsidRDefault="00D972BC">
            <w:pPr>
              <w:textAlignment w:val="bottom"/>
            </w:pPr>
            <w:r>
              <w:rPr>
                <w:rFonts w:ascii="Arial" w:eastAsia="宋体" w:hAnsi="Arial" w:cs="Arial"/>
                <w:color w:val="000000"/>
                <w:sz w:val="18"/>
                <w:szCs w:val="18"/>
              </w:rPr>
              <w:t>Total future maturities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CDF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CDF5" w14:textId="77777777" w:rsidR="002661BA" w:rsidRDefault="00D972BC">
            <w:pPr>
              <w:jc w:val="right"/>
              <w:textAlignment w:val="bottom"/>
            </w:pPr>
            <w:r>
              <w:rPr>
                <w:rFonts w:ascii="Arial" w:eastAsia="宋体" w:hAnsi="Arial" w:cs="Arial"/>
                <w:color w:val="000000"/>
                <w:sz w:val="18"/>
                <w:szCs w:val="18"/>
              </w:rPr>
              <w:t>9,105 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CDF6" w14:textId="77777777" w:rsidR="002661BA" w:rsidRDefault="002661BA">
            <w:pPr>
              <w:jc w:val="right"/>
              <w:rPr>
                <w:rFonts w:ascii="宋体"/>
              </w:rPr>
            </w:pPr>
          </w:p>
        </w:tc>
      </w:tr>
    </w:tbl>
    <w:p w14:paraId="22CFCDF8" w14:textId="77777777" w:rsidR="002661BA" w:rsidRDefault="002661BA">
      <w:pPr>
        <w:jc w:val="both"/>
      </w:pPr>
    </w:p>
    <w:p w14:paraId="22CFCDF9" w14:textId="77777777" w:rsidR="002661BA" w:rsidRDefault="00D972BC">
      <w:pPr>
        <w:spacing w:after="60"/>
        <w:ind w:firstLine="540"/>
        <w:jc w:val="both"/>
      </w:pPr>
      <w:r>
        <w:rPr>
          <w:rFonts w:ascii="Arial" w:eastAsia="宋体" w:hAnsi="Arial" w:cs="Arial"/>
          <w:color w:val="000000"/>
          <w:sz w:val="20"/>
          <w:szCs w:val="20"/>
        </w:rPr>
        <w:t xml:space="preserve">In February 2022, the company redeemed the $750 million aggregate </w:t>
      </w:r>
      <w:r>
        <w:rPr>
          <w:rFonts w:ascii="Arial" w:eastAsia="宋体" w:hAnsi="Arial" w:cs="Arial"/>
          <w:color w:val="000000"/>
          <w:sz w:val="20"/>
          <w:szCs w:val="20"/>
        </w:rPr>
        <w:t>principal amount of the 3.800% senior notes due March 2022. Total cash consideration paid was $750 million, as the redemption price was equal to 100% of the principal amount. In addition, we paid accrued and unpaid interest on the principal amount.</w:t>
      </w:r>
    </w:p>
    <w:p w14:paraId="22CFCDFA" w14:textId="77777777" w:rsidR="002661BA" w:rsidRDefault="00D972BC">
      <w:pPr>
        <w:jc w:val="center"/>
      </w:pPr>
      <w:r>
        <w:rPr>
          <w:rFonts w:ascii="Arial" w:eastAsia="宋体" w:hAnsi="Arial" w:cs="Arial"/>
          <w:color w:val="000000"/>
          <w:sz w:val="18"/>
          <w:szCs w:val="18"/>
        </w:rPr>
        <w:t>98</w:t>
      </w:r>
    </w:p>
    <w:p w14:paraId="22CFCDFB" w14:textId="77777777" w:rsidR="002661BA" w:rsidRDefault="00D972BC">
      <w:r>
        <w:pict w14:anchorId="22CFE513">
          <v:rect id="_x0000_i1122" style="width:415.3pt;height:1.5pt" o:hralign="center" o:hrstd="t" o:hr="t" fillcolor="#a0a0a0" stroked="f"/>
        </w:pict>
      </w:r>
    </w:p>
    <w:p w14:paraId="22CFCDFC" w14:textId="77777777" w:rsidR="002661BA" w:rsidRDefault="00D972BC">
      <w:hyperlink r:id="rId133" w:anchor="id0d7a71b05ce452ea9fdb54f3cb359c7_7" w:history="1">
        <w:r>
          <w:rPr>
            <w:rStyle w:val="a5"/>
            <w:rFonts w:ascii="Arial" w:eastAsia="宋体" w:hAnsi="Arial" w:cs="Arial"/>
            <w:sz w:val="18"/>
            <w:szCs w:val="18"/>
          </w:rPr>
          <w:t>Table of Contents</w:t>
        </w:r>
      </w:hyperlink>
    </w:p>
    <w:p w14:paraId="22CFCDFD" w14:textId="77777777" w:rsidR="002661BA" w:rsidRDefault="00D972BC">
      <w:pPr>
        <w:jc w:val="center"/>
      </w:pPr>
      <w:r>
        <w:rPr>
          <w:rFonts w:ascii="Arial" w:eastAsia="宋体" w:hAnsi="Arial" w:cs="Arial"/>
          <w:b/>
          <w:bCs/>
          <w:color w:val="000000"/>
          <w:sz w:val="20"/>
          <w:szCs w:val="20"/>
        </w:rPr>
        <w:t>eBay Inc.</w:t>
      </w:r>
    </w:p>
    <w:p w14:paraId="22CFCDFE"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DFF" w14:textId="77777777" w:rsidR="002661BA" w:rsidRDefault="00D972BC">
      <w:r>
        <w:rPr>
          <w:rFonts w:ascii="Arial" w:eastAsia="宋体" w:hAnsi="Arial" w:cs="Arial"/>
          <w:b/>
          <w:bCs/>
          <w:color w:val="000000"/>
          <w:sz w:val="20"/>
          <w:szCs w:val="20"/>
        </w:rPr>
        <w:t>Note 11 — Leases</w:t>
      </w:r>
    </w:p>
    <w:p w14:paraId="22CFCE00" w14:textId="77777777" w:rsidR="002661BA" w:rsidRDefault="002661BA"/>
    <w:p w14:paraId="22CFCE01" w14:textId="77777777" w:rsidR="002661BA" w:rsidRDefault="00D972BC">
      <w:pPr>
        <w:ind w:firstLine="540"/>
        <w:jc w:val="both"/>
      </w:pPr>
      <w:r>
        <w:rPr>
          <w:rFonts w:ascii="Arial" w:eastAsia="宋体" w:hAnsi="Arial" w:cs="Arial"/>
          <w:color w:val="000000"/>
          <w:sz w:val="20"/>
          <w:szCs w:val="20"/>
        </w:rPr>
        <w:t xml:space="preserve">We have operating leases for office space, data centers and other corporate assets that we utilize under lease arrangements. </w:t>
      </w:r>
    </w:p>
    <w:p w14:paraId="22CFCE02" w14:textId="77777777" w:rsidR="002661BA" w:rsidRDefault="002661BA">
      <w:pPr>
        <w:ind w:firstLine="540"/>
        <w:jc w:val="both"/>
      </w:pPr>
    </w:p>
    <w:p w14:paraId="22CFCE03" w14:textId="77777777" w:rsidR="002661BA" w:rsidRDefault="00D972BC">
      <w:pPr>
        <w:spacing w:after="120"/>
        <w:ind w:firstLine="540"/>
        <w:jc w:val="both"/>
      </w:pPr>
      <w:r>
        <w:rPr>
          <w:rFonts w:ascii="Arial" w:eastAsia="宋体" w:hAnsi="Arial" w:cs="Arial"/>
          <w:color w:val="000000"/>
          <w:sz w:val="20"/>
          <w:szCs w:val="20"/>
        </w:rPr>
        <w:t>The following table presents a summary of leases by balance sheet location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2800"/>
        <w:gridCol w:w="37"/>
        <w:gridCol w:w="38"/>
        <w:gridCol w:w="3021"/>
        <w:gridCol w:w="37"/>
        <w:gridCol w:w="36"/>
        <w:gridCol w:w="36"/>
        <w:gridCol w:w="36"/>
        <w:gridCol w:w="121"/>
        <w:gridCol w:w="916"/>
        <w:gridCol w:w="36"/>
        <w:gridCol w:w="36"/>
        <w:gridCol w:w="36"/>
        <w:gridCol w:w="36"/>
        <w:gridCol w:w="121"/>
        <w:gridCol w:w="918"/>
        <w:gridCol w:w="36"/>
      </w:tblGrid>
      <w:tr w:rsidR="002661BA" w14:paraId="22CFCE16" w14:textId="77777777">
        <w:tc>
          <w:tcPr>
            <w:tcW w:w="50" w:type="pct"/>
            <w:shd w:val="clear" w:color="auto" w:fill="auto"/>
            <w:vAlign w:val="bottom"/>
          </w:tcPr>
          <w:p w14:paraId="22CFCE04" w14:textId="77777777" w:rsidR="002661BA" w:rsidRDefault="002661BA">
            <w:pPr>
              <w:rPr>
                <w:rFonts w:ascii="宋体"/>
              </w:rPr>
            </w:pPr>
          </w:p>
        </w:tc>
        <w:tc>
          <w:tcPr>
            <w:tcW w:w="1714" w:type="pct"/>
            <w:shd w:val="clear" w:color="auto" w:fill="auto"/>
            <w:vAlign w:val="bottom"/>
          </w:tcPr>
          <w:p w14:paraId="22CFCE05" w14:textId="77777777" w:rsidR="002661BA" w:rsidRDefault="002661BA">
            <w:pPr>
              <w:rPr>
                <w:rFonts w:ascii="宋体"/>
              </w:rPr>
            </w:pPr>
          </w:p>
        </w:tc>
        <w:tc>
          <w:tcPr>
            <w:tcW w:w="5" w:type="pct"/>
            <w:shd w:val="clear" w:color="auto" w:fill="auto"/>
            <w:vAlign w:val="bottom"/>
          </w:tcPr>
          <w:p w14:paraId="22CFCE06" w14:textId="77777777" w:rsidR="002661BA" w:rsidRDefault="002661BA">
            <w:pPr>
              <w:rPr>
                <w:rFonts w:ascii="宋体"/>
              </w:rPr>
            </w:pPr>
          </w:p>
        </w:tc>
        <w:tc>
          <w:tcPr>
            <w:tcW w:w="50" w:type="pct"/>
            <w:shd w:val="clear" w:color="auto" w:fill="auto"/>
            <w:vAlign w:val="bottom"/>
          </w:tcPr>
          <w:p w14:paraId="22CFCE07" w14:textId="77777777" w:rsidR="002661BA" w:rsidRDefault="002661BA">
            <w:pPr>
              <w:rPr>
                <w:rFonts w:ascii="宋体"/>
              </w:rPr>
            </w:pPr>
          </w:p>
        </w:tc>
        <w:tc>
          <w:tcPr>
            <w:tcW w:w="1845" w:type="pct"/>
            <w:shd w:val="clear" w:color="auto" w:fill="auto"/>
            <w:vAlign w:val="bottom"/>
          </w:tcPr>
          <w:p w14:paraId="22CFCE08" w14:textId="77777777" w:rsidR="002661BA" w:rsidRDefault="002661BA">
            <w:pPr>
              <w:rPr>
                <w:rFonts w:ascii="宋体"/>
              </w:rPr>
            </w:pPr>
          </w:p>
        </w:tc>
        <w:tc>
          <w:tcPr>
            <w:tcW w:w="5" w:type="pct"/>
            <w:shd w:val="clear" w:color="auto" w:fill="auto"/>
            <w:vAlign w:val="bottom"/>
          </w:tcPr>
          <w:p w14:paraId="22CFCE09" w14:textId="77777777" w:rsidR="002661BA" w:rsidRDefault="002661BA">
            <w:pPr>
              <w:rPr>
                <w:rFonts w:ascii="宋体"/>
              </w:rPr>
            </w:pPr>
          </w:p>
        </w:tc>
        <w:tc>
          <w:tcPr>
            <w:tcW w:w="5" w:type="pct"/>
            <w:shd w:val="clear" w:color="auto" w:fill="auto"/>
            <w:vAlign w:val="bottom"/>
          </w:tcPr>
          <w:p w14:paraId="22CFCE0A" w14:textId="77777777" w:rsidR="002661BA" w:rsidRDefault="002661BA">
            <w:pPr>
              <w:rPr>
                <w:rFonts w:ascii="宋体"/>
              </w:rPr>
            </w:pPr>
          </w:p>
        </w:tc>
        <w:tc>
          <w:tcPr>
            <w:tcW w:w="19" w:type="pct"/>
            <w:shd w:val="clear" w:color="auto" w:fill="auto"/>
            <w:vAlign w:val="bottom"/>
          </w:tcPr>
          <w:p w14:paraId="22CFCE0B" w14:textId="77777777" w:rsidR="002661BA" w:rsidRDefault="002661BA">
            <w:pPr>
              <w:rPr>
                <w:rFonts w:ascii="宋体"/>
              </w:rPr>
            </w:pPr>
          </w:p>
        </w:tc>
        <w:tc>
          <w:tcPr>
            <w:tcW w:w="5" w:type="pct"/>
            <w:shd w:val="clear" w:color="auto" w:fill="auto"/>
            <w:vAlign w:val="bottom"/>
          </w:tcPr>
          <w:p w14:paraId="22CFCE0C" w14:textId="77777777" w:rsidR="002661BA" w:rsidRDefault="002661BA">
            <w:pPr>
              <w:rPr>
                <w:rFonts w:ascii="宋体"/>
              </w:rPr>
            </w:pPr>
          </w:p>
        </w:tc>
        <w:tc>
          <w:tcPr>
            <w:tcW w:w="50" w:type="pct"/>
            <w:shd w:val="clear" w:color="auto" w:fill="auto"/>
            <w:vAlign w:val="bottom"/>
          </w:tcPr>
          <w:p w14:paraId="22CFCE0D" w14:textId="77777777" w:rsidR="002661BA" w:rsidRDefault="002661BA">
            <w:pPr>
              <w:rPr>
                <w:rFonts w:ascii="宋体"/>
              </w:rPr>
            </w:pPr>
          </w:p>
        </w:tc>
        <w:tc>
          <w:tcPr>
            <w:tcW w:w="580" w:type="pct"/>
            <w:shd w:val="clear" w:color="auto" w:fill="auto"/>
            <w:vAlign w:val="bottom"/>
          </w:tcPr>
          <w:p w14:paraId="22CFCE0E" w14:textId="77777777" w:rsidR="002661BA" w:rsidRDefault="002661BA">
            <w:pPr>
              <w:rPr>
                <w:rFonts w:ascii="宋体"/>
              </w:rPr>
            </w:pPr>
          </w:p>
        </w:tc>
        <w:tc>
          <w:tcPr>
            <w:tcW w:w="5" w:type="pct"/>
            <w:shd w:val="clear" w:color="auto" w:fill="auto"/>
            <w:vAlign w:val="bottom"/>
          </w:tcPr>
          <w:p w14:paraId="22CFCE0F" w14:textId="77777777" w:rsidR="002661BA" w:rsidRDefault="002661BA">
            <w:pPr>
              <w:rPr>
                <w:rFonts w:ascii="宋体"/>
              </w:rPr>
            </w:pPr>
          </w:p>
        </w:tc>
        <w:tc>
          <w:tcPr>
            <w:tcW w:w="5" w:type="pct"/>
            <w:shd w:val="clear" w:color="auto" w:fill="auto"/>
            <w:vAlign w:val="bottom"/>
          </w:tcPr>
          <w:p w14:paraId="22CFCE10" w14:textId="77777777" w:rsidR="002661BA" w:rsidRDefault="002661BA">
            <w:pPr>
              <w:rPr>
                <w:rFonts w:ascii="宋体"/>
              </w:rPr>
            </w:pPr>
          </w:p>
        </w:tc>
        <w:tc>
          <w:tcPr>
            <w:tcW w:w="19" w:type="pct"/>
            <w:shd w:val="clear" w:color="auto" w:fill="auto"/>
            <w:vAlign w:val="bottom"/>
          </w:tcPr>
          <w:p w14:paraId="22CFCE11" w14:textId="77777777" w:rsidR="002661BA" w:rsidRDefault="002661BA">
            <w:pPr>
              <w:rPr>
                <w:rFonts w:ascii="宋体"/>
              </w:rPr>
            </w:pPr>
          </w:p>
        </w:tc>
        <w:tc>
          <w:tcPr>
            <w:tcW w:w="5" w:type="pct"/>
            <w:shd w:val="clear" w:color="auto" w:fill="auto"/>
            <w:vAlign w:val="bottom"/>
          </w:tcPr>
          <w:p w14:paraId="22CFCE12" w14:textId="77777777" w:rsidR="002661BA" w:rsidRDefault="002661BA">
            <w:pPr>
              <w:rPr>
                <w:rFonts w:ascii="宋体"/>
              </w:rPr>
            </w:pPr>
          </w:p>
        </w:tc>
        <w:tc>
          <w:tcPr>
            <w:tcW w:w="50" w:type="pct"/>
            <w:shd w:val="clear" w:color="auto" w:fill="auto"/>
            <w:vAlign w:val="bottom"/>
          </w:tcPr>
          <w:p w14:paraId="22CFCE13" w14:textId="77777777" w:rsidR="002661BA" w:rsidRDefault="002661BA">
            <w:pPr>
              <w:rPr>
                <w:rFonts w:ascii="宋体"/>
              </w:rPr>
            </w:pPr>
          </w:p>
        </w:tc>
        <w:tc>
          <w:tcPr>
            <w:tcW w:w="581" w:type="pct"/>
            <w:shd w:val="clear" w:color="auto" w:fill="auto"/>
            <w:vAlign w:val="bottom"/>
          </w:tcPr>
          <w:p w14:paraId="22CFCE14" w14:textId="77777777" w:rsidR="002661BA" w:rsidRDefault="002661BA">
            <w:pPr>
              <w:rPr>
                <w:rFonts w:ascii="宋体"/>
              </w:rPr>
            </w:pPr>
          </w:p>
        </w:tc>
        <w:tc>
          <w:tcPr>
            <w:tcW w:w="5" w:type="pct"/>
            <w:shd w:val="clear" w:color="auto" w:fill="auto"/>
            <w:vAlign w:val="bottom"/>
          </w:tcPr>
          <w:p w14:paraId="22CFCE15" w14:textId="77777777" w:rsidR="002661BA" w:rsidRDefault="002661BA">
            <w:pPr>
              <w:rPr>
                <w:rFonts w:ascii="宋体"/>
              </w:rPr>
            </w:pPr>
          </w:p>
        </w:tc>
      </w:tr>
      <w:tr w:rsidR="002661BA" w14:paraId="22CFCE1B" w14:textId="77777777">
        <w:tc>
          <w:tcPr>
            <w:tcW w:w="0" w:type="auto"/>
            <w:gridSpan w:val="3"/>
            <w:shd w:val="clear" w:color="auto" w:fill="auto"/>
            <w:tcMar>
              <w:top w:w="40" w:type="dxa"/>
              <w:left w:w="20" w:type="dxa"/>
              <w:bottom w:w="40" w:type="dxa"/>
              <w:right w:w="20" w:type="dxa"/>
            </w:tcMar>
            <w:vAlign w:val="bottom"/>
          </w:tcPr>
          <w:p w14:paraId="22CFCE17" w14:textId="77777777" w:rsidR="002661BA" w:rsidRDefault="00D972BC">
            <w:pPr>
              <w:textAlignment w:val="bottom"/>
            </w:pPr>
            <w:r>
              <w:rPr>
                <w:rFonts w:ascii="Arial" w:eastAsia="宋体" w:hAnsi="Arial" w:cs="Arial"/>
                <w:color w:val="000000"/>
                <w:sz w:val="17"/>
                <w:szCs w:val="17"/>
              </w:rPr>
              <w:t> </w:t>
            </w:r>
          </w:p>
        </w:tc>
        <w:tc>
          <w:tcPr>
            <w:tcW w:w="0" w:type="auto"/>
            <w:gridSpan w:val="3"/>
            <w:shd w:val="clear" w:color="auto" w:fill="auto"/>
            <w:tcMar>
              <w:top w:w="0" w:type="dxa"/>
              <w:left w:w="20" w:type="dxa"/>
              <w:bottom w:w="0" w:type="dxa"/>
              <w:right w:w="20" w:type="dxa"/>
            </w:tcMar>
            <w:vAlign w:val="bottom"/>
          </w:tcPr>
          <w:p w14:paraId="22CFCE1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CE19"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CE1A" w14:textId="77777777" w:rsidR="002661BA" w:rsidRDefault="00D972BC">
            <w:pPr>
              <w:jc w:val="center"/>
              <w:textAlignment w:val="bottom"/>
            </w:pPr>
            <w:r>
              <w:rPr>
                <w:rFonts w:ascii="Arial" w:eastAsia="宋体" w:hAnsi="Arial" w:cs="Arial"/>
                <w:b/>
                <w:bCs/>
                <w:color w:val="000000"/>
                <w:sz w:val="17"/>
                <w:szCs w:val="17"/>
              </w:rPr>
              <w:t>December 31,</w:t>
            </w:r>
          </w:p>
        </w:tc>
      </w:tr>
      <w:tr w:rsidR="002661BA" w14:paraId="22CFCE22" w14:textId="77777777">
        <w:tc>
          <w:tcPr>
            <w:tcW w:w="0" w:type="auto"/>
            <w:gridSpan w:val="3"/>
            <w:shd w:val="clear" w:color="auto" w:fill="auto"/>
            <w:tcMar>
              <w:top w:w="0" w:type="dxa"/>
              <w:left w:w="20" w:type="dxa"/>
              <w:bottom w:w="0" w:type="dxa"/>
              <w:right w:w="20" w:type="dxa"/>
            </w:tcMar>
            <w:vAlign w:val="bottom"/>
          </w:tcPr>
          <w:p w14:paraId="22CFCE1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E1D" w14:textId="77777777" w:rsidR="002661BA" w:rsidRDefault="00D972BC">
            <w:pPr>
              <w:jc w:val="right"/>
              <w:textAlignment w:val="bottom"/>
            </w:pPr>
            <w:r>
              <w:rPr>
                <w:rFonts w:ascii="Arial" w:eastAsia="宋体" w:hAnsi="Arial" w:cs="Arial"/>
                <w:b/>
                <w:bCs/>
                <w:color w:val="000000"/>
                <w:sz w:val="17"/>
                <w:szCs w:val="17"/>
              </w:rPr>
              <w:t>Balance Sheet Location</w:t>
            </w:r>
          </w:p>
        </w:tc>
        <w:tc>
          <w:tcPr>
            <w:tcW w:w="0" w:type="auto"/>
            <w:gridSpan w:val="3"/>
            <w:shd w:val="clear" w:color="auto" w:fill="auto"/>
            <w:tcMar>
              <w:top w:w="0" w:type="dxa"/>
              <w:left w:w="20" w:type="dxa"/>
              <w:bottom w:w="0" w:type="dxa"/>
              <w:right w:w="20" w:type="dxa"/>
            </w:tcMar>
            <w:vAlign w:val="bottom"/>
          </w:tcPr>
          <w:p w14:paraId="22CFCE1E"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E1F"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E20"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E21" w14:textId="77777777" w:rsidR="002661BA" w:rsidRDefault="00D972BC">
            <w:pPr>
              <w:jc w:val="center"/>
              <w:textAlignment w:val="bottom"/>
            </w:pPr>
            <w:r>
              <w:rPr>
                <w:rFonts w:ascii="Arial" w:eastAsia="宋体" w:hAnsi="Arial" w:cs="Arial"/>
                <w:b/>
                <w:bCs/>
                <w:color w:val="000000"/>
                <w:sz w:val="17"/>
                <w:szCs w:val="17"/>
              </w:rPr>
              <w:t>2020</w:t>
            </w:r>
          </w:p>
        </w:tc>
      </w:tr>
      <w:tr w:rsidR="002661BA" w14:paraId="22CFCE29" w14:textId="77777777">
        <w:tc>
          <w:tcPr>
            <w:tcW w:w="0" w:type="auto"/>
            <w:gridSpan w:val="3"/>
            <w:shd w:val="clear" w:color="auto" w:fill="E2E2E2"/>
            <w:tcMar>
              <w:top w:w="40" w:type="dxa"/>
              <w:left w:w="20" w:type="dxa"/>
              <w:bottom w:w="40" w:type="dxa"/>
              <w:right w:w="20" w:type="dxa"/>
            </w:tcMar>
            <w:vAlign w:val="bottom"/>
          </w:tcPr>
          <w:p w14:paraId="22CFCE23" w14:textId="77777777" w:rsidR="002661BA" w:rsidRDefault="00D972BC">
            <w:pPr>
              <w:textAlignment w:val="bottom"/>
            </w:pPr>
            <w:r>
              <w:rPr>
                <w:rFonts w:ascii="Arial" w:eastAsia="宋体" w:hAnsi="Arial" w:cs="Arial"/>
                <w:b/>
                <w:bCs/>
                <w:color w:val="000000"/>
                <w:sz w:val="18"/>
                <w:szCs w:val="18"/>
              </w:rPr>
              <w:t>Assets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E24"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E25"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E26"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E27"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E28" w14:textId="77777777" w:rsidR="002661BA" w:rsidRDefault="002661BA">
            <w:pPr>
              <w:rPr>
                <w:rFonts w:ascii="宋体"/>
              </w:rPr>
            </w:pPr>
          </w:p>
        </w:tc>
      </w:tr>
      <w:tr w:rsidR="002661BA" w14:paraId="22CFCE34" w14:textId="77777777">
        <w:tc>
          <w:tcPr>
            <w:tcW w:w="0" w:type="auto"/>
            <w:gridSpan w:val="3"/>
            <w:shd w:val="clear" w:color="auto" w:fill="FFFFFF"/>
            <w:tcMar>
              <w:top w:w="40" w:type="dxa"/>
              <w:left w:w="20" w:type="dxa"/>
              <w:bottom w:w="40" w:type="dxa"/>
              <w:right w:w="20" w:type="dxa"/>
            </w:tcMar>
            <w:vAlign w:val="bottom"/>
          </w:tcPr>
          <w:p w14:paraId="22CFCE2A" w14:textId="77777777" w:rsidR="002661BA" w:rsidRDefault="00D972BC">
            <w:pPr>
              <w:textAlignment w:val="bottom"/>
            </w:pPr>
            <w:r>
              <w:rPr>
                <w:rFonts w:ascii="Arial" w:eastAsia="宋体" w:hAnsi="Arial" w:cs="Arial"/>
                <w:color w:val="000000"/>
                <w:sz w:val="18"/>
                <w:szCs w:val="18"/>
              </w:rPr>
              <w:t>Operating</w:t>
            </w:r>
          </w:p>
        </w:tc>
        <w:tc>
          <w:tcPr>
            <w:tcW w:w="0" w:type="auto"/>
            <w:gridSpan w:val="3"/>
            <w:shd w:val="clear" w:color="auto" w:fill="FFFFFF"/>
            <w:tcMar>
              <w:top w:w="40" w:type="dxa"/>
              <w:left w:w="20" w:type="dxa"/>
              <w:bottom w:w="40" w:type="dxa"/>
              <w:right w:w="20" w:type="dxa"/>
            </w:tcMar>
            <w:vAlign w:val="bottom"/>
          </w:tcPr>
          <w:p w14:paraId="22CFCE2B" w14:textId="77777777" w:rsidR="002661BA" w:rsidRDefault="00D972BC">
            <w:pPr>
              <w:textAlignment w:val="bottom"/>
            </w:pPr>
            <w:r>
              <w:rPr>
                <w:rFonts w:ascii="Arial" w:eastAsia="宋体" w:hAnsi="Arial" w:cs="Arial"/>
                <w:color w:val="000000"/>
                <w:sz w:val="18"/>
                <w:szCs w:val="18"/>
              </w:rPr>
              <w:t>Operating lease right-of-use (“ROU”) assets</w:t>
            </w:r>
          </w:p>
        </w:tc>
        <w:tc>
          <w:tcPr>
            <w:tcW w:w="0" w:type="auto"/>
            <w:gridSpan w:val="3"/>
            <w:shd w:val="clear" w:color="auto" w:fill="FFFFFF"/>
            <w:tcMar>
              <w:top w:w="0" w:type="dxa"/>
              <w:left w:w="20" w:type="dxa"/>
              <w:bottom w:w="0" w:type="dxa"/>
              <w:right w:w="20" w:type="dxa"/>
            </w:tcMar>
            <w:vAlign w:val="bottom"/>
          </w:tcPr>
          <w:p w14:paraId="22CFCE2C"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CE2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E2E" w14:textId="77777777" w:rsidR="002661BA" w:rsidRDefault="00D972BC">
            <w:pPr>
              <w:jc w:val="right"/>
              <w:textAlignment w:val="bottom"/>
            </w:pPr>
            <w:r>
              <w:rPr>
                <w:rFonts w:ascii="Arial" w:eastAsia="宋体" w:hAnsi="Arial" w:cs="Arial"/>
                <w:color w:val="000000"/>
                <w:sz w:val="18"/>
                <w:szCs w:val="18"/>
              </w:rPr>
              <w:t>289 </w:t>
            </w:r>
          </w:p>
        </w:tc>
        <w:tc>
          <w:tcPr>
            <w:tcW w:w="0" w:type="auto"/>
            <w:shd w:val="clear" w:color="auto" w:fill="FFFFFF"/>
            <w:tcMar>
              <w:top w:w="40" w:type="dxa"/>
              <w:left w:w="0" w:type="dxa"/>
              <w:bottom w:w="40" w:type="dxa"/>
              <w:right w:w="20" w:type="dxa"/>
            </w:tcMar>
            <w:vAlign w:val="bottom"/>
          </w:tcPr>
          <w:p w14:paraId="22CFCE2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E30"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CE31"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E32" w14:textId="77777777" w:rsidR="002661BA" w:rsidRDefault="00D972BC">
            <w:pPr>
              <w:jc w:val="right"/>
              <w:textAlignment w:val="bottom"/>
            </w:pPr>
            <w:r>
              <w:rPr>
                <w:rFonts w:ascii="Arial" w:eastAsia="宋体" w:hAnsi="Arial" w:cs="Arial"/>
                <w:color w:val="000000"/>
                <w:sz w:val="18"/>
                <w:szCs w:val="18"/>
              </w:rPr>
              <w:t>430 </w:t>
            </w:r>
          </w:p>
        </w:tc>
        <w:tc>
          <w:tcPr>
            <w:tcW w:w="0" w:type="auto"/>
            <w:shd w:val="clear" w:color="auto" w:fill="FFFFFF"/>
            <w:tcMar>
              <w:top w:w="40" w:type="dxa"/>
              <w:left w:w="0" w:type="dxa"/>
              <w:bottom w:w="40" w:type="dxa"/>
              <w:right w:w="20" w:type="dxa"/>
            </w:tcMar>
            <w:vAlign w:val="bottom"/>
          </w:tcPr>
          <w:p w14:paraId="22CFCE33" w14:textId="77777777" w:rsidR="002661BA" w:rsidRDefault="002661BA">
            <w:pPr>
              <w:jc w:val="right"/>
              <w:rPr>
                <w:rFonts w:ascii="宋体"/>
              </w:rPr>
            </w:pPr>
          </w:p>
        </w:tc>
      </w:tr>
      <w:tr w:rsidR="002661BA" w14:paraId="22CFCE3B" w14:textId="77777777">
        <w:trPr>
          <w:trHeight w:val="280"/>
        </w:trPr>
        <w:tc>
          <w:tcPr>
            <w:tcW w:w="0" w:type="auto"/>
            <w:gridSpan w:val="3"/>
            <w:shd w:val="clear" w:color="auto" w:fill="E2E2E2"/>
            <w:tcMar>
              <w:top w:w="0" w:type="dxa"/>
              <w:left w:w="20" w:type="dxa"/>
              <w:bottom w:w="0" w:type="dxa"/>
              <w:right w:w="20" w:type="dxa"/>
            </w:tcMar>
            <w:vAlign w:val="bottom"/>
          </w:tcPr>
          <w:p w14:paraId="22CFCE35"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E36"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E37"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E38"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E39"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E3A" w14:textId="77777777" w:rsidR="002661BA" w:rsidRDefault="002661BA">
            <w:pPr>
              <w:rPr>
                <w:rFonts w:ascii="宋体"/>
              </w:rPr>
            </w:pPr>
          </w:p>
        </w:tc>
      </w:tr>
      <w:tr w:rsidR="002661BA" w14:paraId="22CFCE42" w14:textId="77777777">
        <w:tc>
          <w:tcPr>
            <w:tcW w:w="0" w:type="auto"/>
            <w:gridSpan w:val="3"/>
            <w:shd w:val="clear" w:color="auto" w:fill="FFFFFF"/>
            <w:tcMar>
              <w:top w:w="40" w:type="dxa"/>
              <w:left w:w="20" w:type="dxa"/>
              <w:bottom w:w="40" w:type="dxa"/>
              <w:right w:w="20" w:type="dxa"/>
            </w:tcMar>
            <w:vAlign w:val="bottom"/>
          </w:tcPr>
          <w:p w14:paraId="22CFCE3C" w14:textId="77777777" w:rsidR="002661BA" w:rsidRDefault="00D972BC">
            <w:pPr>
              <w:textAlignment w:val="bottom"/>
            </w:pPr>
            <w:r>
              <w:rPr>
                <w:rFonts w:ascii="Arial" w:eastAsia="宋体" w:hAnsi="Arial" w:cs="Arial"/>
                <w:b/>
                <w:bCs/>
                <w:color w:val="000000"/>
                <w:sz w:val="18"/>
                <w:szCs w:val="18"/>
              </w:rPr>
              <w:t>Liabilities</w:t>
            </w:r>
          </w:p>
        </w:tc>
        <w:tc>
          <w:tcPr>
            <w:tcW w:w="0" w:type="auto"/>
            <w:gridSpan w:val="3"/>
            <w:shd w:val="clear" w:color="auto" w:fill="FFFFFF"/>
            <w:tcMar>
              <w:top w:w="0" w:type="dxa"/>
              <w:left w:w="20" w:type="dxa"/>
              <w:bottom w:w="0" w:type="dxa"/>
              <w:right w:w="20" w:type="dxa"/>
            </w:tcMar>
            <w:vAlign w:val="bottom"/>
          </w:tcPr>
          <w:p w14:paraId="22CFCE3D"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E3E"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E3F"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E40"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E41" w14:textId="77777777" w:rsidR="002661BA" w:rsidRDefault="002661BA">
            <w:pPr>
              <w:rPr>
                <w:rFonts w:ascii="宋体"/>
              </w:rPr>
            </w:pPr>
          </w:p>
        </w:tc>
      </w:tr>
      <w:tr w:rsidR="002661BA" w14:paraId="22CFCE4D" w14:textId="77777777">
        <w:tc>
          <w:tcPr>
            <w:tcW w:w="0" w:type="auto"/>
            <w:gridSpan w:val="3"/>
            <w:shd w:val="clear" w:color="auto" w:fill="E2E2E2"/>
            <w:tcMar>
              <w:top w:w="40" w:type="dxa"/>
              <w:left w:w="20" w:type="dxa"/>
              <w:bottom w:w="40" w:type="dxa"/>
              <w:right w:w="20" w:type="dxa"/>
            </w:tcMar>
            <w:vAlign w:val="bottom"/>
          </w:tcPr>
          <w:p w14:paraId="22CFCE43" w14:textId="77777777" w:rsidR="002661BA" w:rsidRDefault="00D972BC">
            <w:pPr>
              <w:textAlignment w:val="bottom"/>
            </w:pPr>
            <w:r>
              <w:rPr>
                <w:rFonts w:ascii="Arial" w:eastAsia="宋体" w:hAnsi="Arial" w:cs="Arial"/>
                <w:color w:val="000000"/>
                <w:sz w:val="18"/>
                <w:szCs w:val="18"/>
              </w:rPr>
              <w:t>Operating - current</w:t>
            </w:r>
          </w:p>
        </w:tc>
        <w:tc>
          <w:tcPr>
            <w:tcW w:w="0" w:type="auto"/>
            <w:gridSpan w:val="3"/>
            <w:shd w:val="clear" w:color="auto" w:fill="E2E2E2"/>
            <w:tcMar>
              <w:top w:w="40" w:type="dxa"/>
              <w:left w:w="20" w:type="dxa"/>
              <w:bottom w:w="40" w:type="dxa"/>
              <w:right w:w="20" w:type="dxa"/>
            </w:tcMar>
            <w:vAlign w:val="bottom"/>
          </w:tcPr>
          <w:p w14:paraId="22CFCE44" w14:textId="77777777" w:rsidR="002661BA" w:rsidRDefault="00D972BC">
            <w:pPr>
              <w:textAlignment w:val="bottom"/>
            </w:pPr>
            <w:r>
              <w:rPr>
                <w:rFonts w:ascii="Arial" w:eastAsia="宋体" w:hAnsi="Arial" w:cs="Arial"/>
                <w:color w:val="000000"/>
                <w:sz w:val="18"/>
                <w:szCs w:val="18"/>
              </w:rPr>
              <w:t>Accrued expenses and other current liabilities</w:t>
            </w:r>
          </w:p>
        </w:tc>
        <w:tc>
          <w:tcPr>
            <w:tcW w:w="0" w:type="auto"/>
            <w:gridSpan w:val="3"/>
            <w:shd w:val="clear" w:color="auto" w:fill="E2E2E2"/>
            <w:tcMar>
              <w:top w:w="0" w:type="dxa"/>
              <w:left w:w="20" w:type="dxa"/>
              <w:bottom w:w="0" w:type="dxa"/>
              <w:right w:w="20" w:type="dxa"/>
            </w:tcMar>
            <w:vAlign w:val="bottom"/>
          </w:tcPr>
          <w:p w14:paraId="22CFCE45"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CE4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CE47" w14:textId="77777777" w:rsidR="002661BA" w:rsidRDefault="00D972BC">
            <w:pPr>
              <w:jc w:val="right"/>
              <w:textAlignment w:val="bottom"/>
            </w:pPr>
            <w:r>
              <w:rPr>
                <w:rFonts w:ascii="Arial" w:eastAsia="宋体" w:hAnsi="Arial" w:cs="Arial"/>
                <w:color w:val="000000"/>
                <w:sz w:val="18"/>
                <w:szCs w:val="18"/>
              </w:rPr>
              <w:t>150 </w:t>
            </w:r>
          </w:p>
        </w:tc>
        <w:tc>
          <w:tcPr>
            <w:tcW w:w="0" w:type="auto"/>
            <w:shd w:val="clear" w:color="auto" w:fill="E2E2E2"/>
            <w:tcMar>
              <w:top w:w="40" w:type="dxa"/>
              <w:left w:w="0" w:type="dxa"/>
              <w:bottom w:w="40" w:type="dxa"/>
              <w:right w:w="20" w:type="dxa"/>
            </w:tcMar>
            <w:vAlign w:val="bottom"/>
          </w:tcPr>
          <w:p w14:paraId="22CFCE48"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E49"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CE4A"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CE4B" w14:textId="77777777" w:rsidR="002661BA" w:rsidRDefault="00D972BC">
            <w:pPr>
              <w:jc w:val="right"/>
              <w:textAlignment w:val="bottom"/>
            </w:pPr>
            <w:r>
              <w:rPr>
                <w:rFonts w:ascii="Arial" w:eastAsia="宋体" w:hAnsi="Arial" w:cs="Arial"/>
                <w:color w:val="000000"/>
                <w:sz w:val="18"/>
                <w:szCs w:val="18"/>
              </w:rPr>
              <w:t>153 </w:t>
            </w:r>
          </w:p>
        </w:tc>
        <w:tc>
          <w:tcPr>
            <w:tcW w:w="0" w:type="auto"/>
            <w:shd w:val="clear" w:color="auto" w:fill="E2E2E2"/>
            <w:tcMar>
              <w:top w:w="40" w:type="dxa"/>
              <w:left w:w="0" w:type="dxa"/>
              <w:bottom w:w="40" w:type="dxa"/>
              <w:right w:w="20" w:type="dxa"/>
            </w:tcMar>
            <w:vAlign w:val="bottom"/>
          </w:tcPr>
          <w:p w14:paraId="22CFCE4C" w14:textId="77777777" w:rsidR="002661BA" w:rsidRDefault="002661BA">
            <w:pPr>
              <w:jc w:val="right"/>
              <w:rPr>
                <w:rFonts w:ascii="宋体"/>
              </w:rPr>
            </w:pPr>
          </w:p>
        </w:tc>
      </w:tr>
      <w:tr w:rsidR="002661BA" w14:paraId="22CFCE56" w14:textId="77777777">
        <w:tc>
          <w:tcPr>
            <w:tcW w:w="0" w:type="auto"/>
            <w:gridSpan w:val="3"/>
            <w:shd w:val="clear" w:color="auto" w:fill="FFFFFF"/>
            <w:tcMar>
              <w:top w:w="40" w:type="dxa"/>
              <w:left w:w="20" w:type="dxa"/>
              <w:bottom w:w="40" w:type="dxa"/>
              <w:right w:w="20" w:type="dxa"/>
            </w:tcMar>
            <w:vAlign w:val="bottom"/>
          </w:tcPr>
          <w:p w14:paraId="22CFCE4E" w14:textId="77777777" w:rsidR="002661BA" w:rsidRDefault="00D972BC">
            <w:pPr>
              <w:textAlignment w:val="bottom"/>
            </w:pPr>
            <w:r>
              <w:rPr>
                <w:rFonts w:ascii="Arial" w:eastAsia="宋体" w:hAnsi="Arial" w:cs="Arial"/>
                <w:color w:val="000000"/>
                <w:sz w:val="18"/>
                <w:szCs w:val="18"/>
              </w:rPr>
              <w:t>Operating - noncurrent</w:t>
            </w:r>
          </w:p>
        </w:tc>
        <w:tc>
          <w:tcPr>
            <w:tcW w:w="0" w:type="auto"/>
            <w:gridSpan w:val="3"/>
            <w:shd w:val="clear" w:color="auto" w:fill="FFFFFF"/>
            <w:tcMar>
              <w:top w:w="40" w:type="dxa"/>
              <w:left w:w="20" w:type="dxa"/>
              <w:bottom w:w="40" w:type="dxa"/>
              <w:right w:w="20" w:type="dxa"/>
            </w:tcMar>
            <w:vAlign w:val="bottom"/>
          </w:tcPr>
          <w:p w14:paraId="22CFCE4F" w14:textId="77777777" w:rsidR="002661BA" w:rsidRDefault="00D972BC">
            <w:pPr>
              <w:textAlignment w:val="bottom"/>
            </w:pPr>
            <w:r>
              <w:rPr>
                <w:rFonts w:ascii="Arial" w:eastAsia="宋体" w:hAnsi="Arial" w:cs="Arial"/>
                <w:color w:val="000000"/>
                <w:sz w:val="18"/>
                <w:szCs w:val="18"/>
              </w:rPr>
              <w:t>Operating lease liabilities</w:t>
            </w:r>
          </w:p>
        </w:tc>
        <w:tc>
          <w:tcPr>
            <w:tcW w:w="0" w:type="auto"/>
            <w:gridSpan w:val="3"/>
            <w:shd w:val="clear" w:color="auto" w:fill="FFFFFF"/>
            <w:tcMar>
              <w:top w:w="0" w:type="dxa"/>
              <w:left w:w="20" w:type="dxa"/>
              <w:bottom w:w="0" w:type="dxa"/>
              <w:right w:w="20" w:type="dxa"/>
            </w:tcMar>
            <w:vAlign w:val="bottom"/>
          </w:tcPr>
          <w:p w14:paraId="22CFCE5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E51" w14:textId="77777777" w:rsidR="002661BA" w:rsidRDefault="00D972BC">
            <w:pPr>
              <w:jc w:val="right"/>
              <w:textAlignment w:val="bottom"/>
            </w:pPr>
            <w:r>
              <w:rPr>
                <w:rFonts w:ascii="Arial" w:eastAsia="宋体" w:hAnsi="Arial" w:cs="Arial"/>
                <w:color w:val="000000"/>
                <w:sz w:val="18"/>
                <w:szCs w:val="18"/>
              </w:rPr>
              <w:t>200 </w:t>
            </w:r>
          </w:p>
        </w:tc>
        <w:tc>
          <w:tcPr>
            <w:tcW w:w="0" w:type="auto"/>
            <w:shd w:val="clear" w:color="auto" w:fill="FFFFFF"/>
            <w:tcMar>
              <w:top w:w="40" w:type="dxa"/>
              <w:left w:w="0" w:type="dxa"/>
              <w:bottom w:w="40" w:type="dxa"/>
              <w:right w:w="20" w:type="dxa"/>
            </w:tcMar>
            <w:vAlign w:val="bottom"/>
          </w:tcPr>
          <w:p w14:paraId="22CFCE5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E53"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CE54" w14:textId="77777777" w:rsidR="002661BA" w:rsidRDefault="00D972BC">
            <w:pPr>
              <w:jc w:val="right"/>
              <w:textAlignment w:val="bottom"/>
            </w:pPr>
            <w:r>
              <w:rPr>
                <w:rFonts w:ascii="Arial" w:eastAsia="宋体" w:hAnsi="Arial" w:cs="Arial"/>
                <w:color w:val="000000"/>
                <w:sz w:val="18"/>
                <w:szCs w:val="18"/>
              </w:rPr>
              <w:t>316 </w:t>
            </w:r>
          </w:p>
        </w:tc>
        <w:tc>
          <w:tcPr>
            <w:tcW w:w="0" w:type="auto"/>
            <w:shd w:val="clear" w:color="auto" w:fill="FFFFFF"/>
            <w:tcMar>
              <w:top w:w="40" w:type="dxa"/>
              <w:left w:w="0" w:type="dxa"/>
              <w:bottom w:w="40" w:type="dxa"/>
              <w:right w:w="20" w:type="dxa"/>
            </w:tcMar>
            <w:vAlign w:val="bottom"/>
          </w:tcPr>
          <w:p w14:paraId="22CFCE55" w14:textId="77777777" w:rsidR="002661BA" w:rsidRDefault="002661BA">
            <w:pPr>
              <w:jc w:val="right"/>
              <w:rPr>
                <w:rFonts w:ascii="宋体"/>
              </w:rPr>
            </w:pPr>
          </w:p>
        </w:tc>
      </w:tr>
      <w:tr w:rsidR="002661BA" w14:paraId="22CFCE61" w14:textId="77777777">
        <w:tc>
          <w:tcPr>
            <w:tcW w:w="0" w:type="auto"/>
            <w:gridSpan w:val="3"/>
            <w:shd w:val="clear" w:color="auto" w:fill="E2E2E2"/>
            <w:tcMar>
              <w:top w:w="40" w:type="dxa"/>
              <w:left w:w="245" w:type="dxa"/>
              <w:bottom w:w="40" w:type="dxa"/>
              <w:right w:w="20" w:type="dxa"/>
            </w:tcMar>
            <w:vAlign w:val="bottom"/>
          </w:tcPr>
          <w:p w14:paraId="22CFCE57" w14:textId="77777777" w:rsidR="002661BA" w:rsidRDefault="00D972BC">
            <w:pPr>
              <w:textAlignment w:val="bottom"/>
            </w:pPr>
            <w:r>
              <w:rPr>
                <w:rFonts w:ascii="Arial" w:eastAsia="宋体" w:hAnsi="Arial" w:cs="Arial"/>
                <w:color w:val="000000"/>
                <w:sz w:val="18"/>
                <w:szCs w:val="18"/>
              </w:rPr>
              <w:t>Total lease liabilities</w:t>
            </w:r>
          </w:p>
        </w:tc>
        <w:tc>
          <w:tcPr>
            <w:tcW w:w="0" w:type="auto"/>
            <w:gridSpan w:val="3"/>
            <w:shd w:val="clear" w:color="auto" w:fill="E2E2E2"/>
            <w:tcMar>
              <w:top w:w="0" w:type="dxa"/>
              <w:left w:w="20" w:type="dxa"/>
              <w:bottom w:w="0" w:type="dxa"/>
              <w:right w:w="20" w:type="dxa"/>
            </w:tcMar>
            <w:vAlign w:val="bottom"/>
          </w:tcPr>
          <w:p w14:paraId="22CFCE58"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E59"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CE5A"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CE5B" w14:textId="77777777" w:rsidR="002661BA" w:rsidRDefault="00D972BC">
            <w:pPr>
              <w:jc w:val="right"/>
              <w:textAlignment w:val="bottom"/>
            </w:pPr>
            <w:r>
              <w:rPr>
                <w:rFonts w:ascii="Arial" w:eastAsia="宋体" w:hAnsi="Arial" w:cs="Arial"/>
                <w:color w:val="000000"/>
                <w:sz w:val="18"/>
                <w:szCs w:val="18"/>
              </w:rPr>
              <w:t>350 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CE5C"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E5D"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CE5E"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CE5F" w14:textId="77777777" w:rsidR="002661BA" w:rsidRDefault="00D972BC">
            <w:pPr>
              <w:jc w:val="right"/>
              <w:textAlignment w:val="bottom"/>
            </w:pPr>
            <w:r>
              <w:rPr>
                <w:rFonts w:ascii="Arial" w:eastAsia="宋体" w:hAnsi="Arial" w:cs="Arial"/>
                <w:color w:val="000000"/>
                <w:sz w:val="18"/>
                <w:szCs w:val="18"/>
              </w:rPr>
              <w:t>469 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CE60" w14:textId="77777777" w:rsidR="002661BA" w:rsidRDefault="002661BA">
            <w:pPr>
              <w:jc w:val="right"/>
              <w:rPr>
                <w:rFonts w:ascii="宋体"/>
              </w:rPr>
            </w:pPr>
          </w:p>
        </w:tc>
      </w:tr>
    </w:tbl>
    <w:p w14:paraId="22CFCE62" w14:textId="77777777" w:rsidR="002661BA" w:rsidRDefault="002661BA">
      <w:pPr>
        <w:jc w:val="both"/>
      </w:pPr>
    </w:p>
    <w:p w14:paraId="22CFCE63" w14:textId="77777777" w:rsidR="002661BA" w:rsidRDefault="002661BA">
      <w:pPr>
        <w:jc w:val="both"/>
      </w:pPr>
    </w:p>
    <w:p w14:paraId="22CFCE64" w14:textId="77777777" w:rsidR="002661BA" w:rsidRDefault="00D972BC">
      <w:pPr>
        <w:spacing w:after="120"/>
        <w:ind w:firstLine="540"/>
        <w:jc w:val="both"/>
      </w:pPr>
      <w:r>
        <w:rPr>
          <w:rFonts w:ascii="Arial" w:eastAsia="宋体" w:hAnsi="Arial" w:cs="Arial"/>
          <w:color w:val="000000"/>
          <w:sz w:val="20"/>
          <w:szCs w:val="20"/>
        </w:rPr>
        <w:t>The f</w:t>
      </w:r>
      <w:r>
        <w:rPr>
          <w:rFonts w:ascii="Arial" w:eastAsia="宋体" w:hAnsi="Arial" w:cs="Arial"/>
          <w:color w:val="000000"/>
          <w:sz w:val="20"/>
          <w:szCs w:val="20"/>
        </w:rPr>
        <w:t>ollowing table presents components of lease expense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1621"/>
        <w:gridCol w:w="36"/>
        <w:gridCol w:w="38"/>
        <w:gridCol w:w="3050"/>
        <w:gridCol w:w="37"/>
        <w:gridCol w:w="36"/>
        <w:gridCol w:w="36"/>
        <w:gridCol w:w="36"/>
        <w:gridCol w:w="121"/>
        <w:gridCol w:w="906"/>
        <w:gridCol w:w="36"/>
        <w:gridCol w:w="36"/>
        <w:gridCol w:w="36"/>
        <w:gridCol w:w="36"/>
        <w:gridCol w:w="121"/>
        <w:gridCol w:w="906"/>
        <w:gridCol w:w="36"/>
        <w:gridCol w:w="36"/>
        <w:gridCol w:w="36"/>
        <w:gridCol w:w="36"/>
        <w:gridCol w:w="121"/>
        <w:gridCol w:w="908"/>
        <w:gridCol w:w="36"/>
      </w:tblGrid>
      <w:tr w:rsidR="002661BA" w14:paraId="22CFCE7D" w14:textId="77777777">
        <w:tc>
          <w:tcPr>
            <w:tcW w:w="50" w:type="pct"/>
            <w:shd w:val="clear" w:color="auto" w:fill="auto"/>
            <w:vAlign w:val="bottom"/>
          </w:tcPr>
          <w:p w14:paraId="22CFCE65" w14:textId="77777777" w:rsidR="002661BA" w:rsidRDefault="002661BA">
            <w:pPr>
              <w:rPr>
                <w:rFonts w:ascii="宋体"/>
              </w:rPr>
            </w:pPr>
          </w:p>
        </w:tc>
        <w:tc>
          <w:tcPr>
            <w:tcW w:w="1019" w:type="pct"/>
            <w:shd w:val="clear" w:color="auto" w:fill="auto"/>
            <w:vAlign w:val="bottom"/>
          </w:tcPr>
          <w:p w14:paraId="22CFCE66" w14:textId="77777777" w:rsidR="002661BA" w:rsidRDefault="002661BA">
            <w:pPr>
              <w:rPr>
                <w:rFonts w:ascii="宋体"/>
              </w:rPr>
            </w:pPr>
          </w:p>
        </w:tc>
        <w:tc>
          <w:tcPr>
            <w:tcW w:w="5" w:type="pct"/>
            <w:shd w:val="clear" w:color="auto" w:fill="auto"/>
            <w:vAlign w:val="bottom"/>
          </w:tcPr>
          <w:p w14:paraId="22CFCE67" w14:textId="77777777" w:rsidR="002661BA" w:rsidRDefault="002661BA">
            <w:pPr>
              <w:rPr>
                <w:rFonts w:ascii="宋体"/>
              </w:rPr>
            </w:pPr>
          </w:p>
        </w:tc>
        <w:tc>
          <w:tcPr>
            <w:tcW w:w="50" w:type="pct"/>
            <w:shd w:val="clear" w:color="auto" w:fill="auto"/>
            <w:vAlign w:val="bottom"/>
          </w:tcPr>
          <w:p w14:paraId="22CFCE68" w14:textId="77777777" w:rsidR="002661BA" w:rsidRDefault="002661BA">
            <w:pPr>
              <w:rPr>
                <w:rFonts w:ascii="宋体"/>
              </w:rPr>
            </w:pPr>
          </w:p>
        </w:tc>
        <w:tc>
          <w:tcPr>
            <w:tcW w:w="1874" w:type="pct"/>
            <w:shd w:val="clear" w:color="auto" w:fill="auto"/>
            <w:vAlign w:val="bottom"/>
          </w:tcPr>
          <w:p w14:paraId="22CFCE69" w14:textId="77777777" w:rsidR="002661BA" w:rsidRDefault="002661BA">
            <w:pPr>
              <w:rPr>
                <w:rFonts w:ascii="宋体"/>
              </w:rPr>
            </w:pPr>
          </w:p>
        </w:tc>
        <w:tc>
          <w:tcPr>
            <w:tcW w:w="5" w:type="pct"/>
            <w:shd w:val="clear" w:color="auto" w:fill="auto"/>
            <w:vAlign w:val="bottom"/>
          </w:tcPr>
          <w:p w14:paraId="22CFCE6A" w14:textId="77777777" w:rsidR="002661BA" w:rsidRDefault="002661BA">
            <w:pPr>
              <w:rPr>
                <w:rFonts w:ascii="宋体"/>
              </w:rPr>
            </w:pPr>
          </w:p>
        </w:tc>
        <w:tc>
          <w:tcPr>
            <w:tcW w:w="5" w:type="pct"/>
            <w:shd w:val="clear" w:color="auto" w:fill="auto"/>
            <w:vAlign w:val="bottom"/>
          </w:tcPr>
          <w:p w14:paraId="22CFCE6B" w14:textId="77777777" w:rsidR="002661BA" w:rsidRDefault="002661BA">
            <w:pPr>
              <w:rPr>
                <w:rFonts w:ascii="宋体"/>
              </w:rPr>
            </w:pPr>
          </w:p>
        </w:tc>
        <w:tc>
          <w:tcPr>
            <w:tcW w:w="19" w:type="pct"/>
            <w:shd w:val="clear" w:color="auto" w:fill="auto"/>
            <w:vAlign w:val="bottom"/>
          </w:tcPr>
          <w:p w14:paraId="22CFCE6C" w14:textId="77777777" w:rsidR="002661BA" w:rsidRDefault="002661BA">
            <w:pPr>
              <w:rPr>
                <w:rFonts w:ascii="宋体"/>
              </w:rPr>
            </w:pPr>
          </w:p>
        </w:tc>
        <w:tc>
          <w:tcPr>
            <w:tcW w:w="5" w:type="pct"/>
            <w:shd w:val="clear" w:color="auto" w:fill="auto"/>
            <w:vAlign w:val="bottom"/>
          </w:tcPr>
          <w:p w14:paraId="22CFCE6D" w14:textId="77777777" w:rsidR="002661BA" w:rsidRDefault="002661BA">
            <w:pPr>
              <w:rPr>
                <w:rFonts w:ascii="宋体"/>
              </w:rPr>
            </w:pPr>
          </w:p>
        </w:tc>
        <w:tc>
          <w:tcPr>
            <w:tcW w:w="50" w:type="pct"/>
            <w:shd w:val="clear" w:color="auto" w:fill="auto"/>
            <w:vAlign w:val="bottom"/>
          </w:tcPr>
          <w:p w14:paraId="22CFCE6E" w14:textId="77777777" w:rsidR="002661BA" w:rsidRDefault="002661BA">
            <w:pPr>
              <w:rPr>
                <w:rFonts w:ascii="宋体"/>
              </w:rPr>
            </w:pPr>
          </w:p>
        </w:tc>
        <w:tc>
          <w:tcPr>
            <w:tcW w:w="580" w:type="pct"/>
            <w:shd w:val="clear" w:color="auto" w:fill="auto"/>
            <w:vAlign w:val="bottom"/>
          </w:tcPr>
          <w:p w14:paraId="22CFCE6F" w14:textId="77777777" w:rsidR="002661BA" w:rsidRDefault="002661BA">
            <w:pPr>
              <w:rPr>
                <w:rFonts w:ascii="宋体"/>
              </w:rPr>
            </w:pPr>
          </w:p>
        </w:tc>
        <w:tc>
          <w:tcPr>
            <w:tcW w:w="5" w:type="pct"/>
            <w:shd w:val="clear" w:color="auto" w:fill="auto"/>
            <w:vAlign w:val="bottom"/>
          </w:tcPr>
          <w:p w14:paraId="22CFCE70" w14:textId="77777777" w:rsidR="002661BA" w:rsidRDefault="002661BA">
            <w:pPr>
              <w:rPr>
                <w:rFonts w:ascii="宋体"/>
              </w:rPr>
            </w:pPr>
          </w:p>
        </w:tc>
        <w:tc>
          <w:tcPr>
            <w:tcW w:w="5" w:type="pct"/>
            <w:shd w:val="clear" w:color="auto" w:fill="auto"/>
            <w:vAlign w:val="bottom"/>
          </w:tcPr>
          <w:p w14:paraId="22CFCE71" w14:textId="77777777" w:rsidR="002661BA" w:rsidRDefault="002661BA">
            <w:pPr>
              <w:rPr>
                <w:rFonts w:ascii="宋体"/>
              </w:rPr>
            </w:pPr>
          </w:p>
        </w:tc>
        <w:tc>
          <w:tcPr>
            <w:tcW w:w="19" w:type="pct"/>
            <w:shd w:val="clear" w:color="auto" w:fill="auto"/>
            <w:vAlign w:val="bottom"/>
          </w:tcPr>
          <w:p w14:paraId="22CFCE72" w14:textId="77777777" w:rsidR="002661BA" w:rsidRDefault="002661BA">
            <w:pPr>
              <w:rPr>
                <w:rFonts w:ascii="宋体"/>
              </w:rPr>
            </w:pPr>
          </w:p>
        </w:tc>
        <w:tc>
          <w:tcPr>
            <w:tcW w:w="5" w:type="pct"/>
            <w:shd w:val="clear" w:color="auto" w:fill="auto"/>
            <w:vAlign w:val="bottom"/>
          </w:tcPr>
          <w:p w14:paraId="22CFCE73" w14:textId="77777777" w:rsidR="002661BA" w:rsidRDefault="002661BA">
            <w:pPr>
              <w:rPr>
                <w:rFonts w:ascii="宋体"/>
              </w:rPr>
            </w:pPr>
          </w:p>
        </w:tc>
        <w:tc>
          <w:tcPr>
            <w:tcW w:w="50" w:type="pct"/>
            <w:shd w:val="clear" w:color="auto" w:fill="auto"/>
            <w:vAlign w:val="bottom"/>
          </w:tcPr>
          <w:p w14:paraId="22CFCE74" w14:textId="77777777" w:rsidR="002661BA" w:rsidRDefault="002661BA">
            <w:pPr>
              <w:rPr>
                <w:rFonts w:ascii="宋体"/>
              </w:rPr>
            </w:pPr>
          </w:p>
        </w:tc>
        <w:tc>
          <w:tcPr>
            <w:tcW w:w="580" w:type="pct"/>
            <w:shd w:val="clear" w:color="auto" w:fill="auto"/>
            <w:vAlign w:val="bottom"/>
          </w:tcPr>
          <w:p w14:paraId="22CFCE75" w14:textId="77777777" w:rsidR="002661BA" w:rsidRDefault="002661BA">
            <w:pPr>
              <w:rPr>
                <w:rFonts w:ascii="宋体"/>
              </w:rPr>
            </w:pPr>
          </w:p>
        </w:tc>
        <w:tc>
          <w:tcPr>
            <w:tcW w:w="5" w:type="pct"/>
            <w:shd w:val="clear" w:color="auto" w:fill="auto"/>
            <w:vAlign w:val="bottom"/>
          </w:tcPr>
          <w:p w14:paraId="22CFCE76" w14:textId="77777777" w:rsidR="002661BA" w:rsidRDefault="002661BA">
            <w:pPr>
              <w:rPr>
                <w:rFonts w:ascii="宋体"/>
              </w:rPr>
            </w:pPr>
          </w:p>
        </w:tc>
        <w:tc>
          <w:tcPr>
            <w:tcW w:w="5" w:type="pct"/>
            <w:shd w:val="clear" w:color="auto" w:fill="auto"/>
            <w:vAlign w:val="bottom"/>
          </w:tcPr>
          <w:p w14:paraId="22CFCE77" w14:textId="77777777" w:rsidR="002661BA" w:rsidRDefault="002661BA">
            <w:pPr>
              <w:rPr>
                <w:rFonts w:ascii="宋体"/>
              </w:rPr>
            </w:pPr>
          </w:p>
        </w:tc>
        <w:tc>
          <w:tcPr>
            <w:tcW w:w="19" w:type="pct"/>
            <w:shd w:val="clear" w:color="auto" w:fill="auto"/>
            <w:vAlign w:val="bottom"/>
          </w:tcPr>
          <w:p w14:paraId="22CFCE78" w14:textId="77777777" w:rsidR="002661BA" w:rsidRDefault="002661BA">
            <w:pPr>
              <w:rPr>
                <w:rFonts w:ascii="宋体"/>
              </w:rPr>
            </w:pPr>
          </w:p>
        </w:tc>
        <w:tc>
          <w:tcPr>
            <w:tcW w:w="5" w:type="pct"/>
            <w:shd w:val="clear" w:color="auto" w:fill="auto"/>
            <w:vAlign w:val="bottom"/>
          </w:tcPr>
          <w:p w14:paraId="22CFCE79" w14:textId="77777777" w:rsidR="002661BA" w:rsidRDefault="002661BA">
            <w:pPr>
              <w:rPr>
                <w:rFonts w:ascii="宋体"/>
              </w:rPr>
            </w:pPr>
          </w:p>
        </w:tc>
        <w:tc>
          <w:tcPr>
            <w:tcW w:w="50" w:type="pct"/>
            <w:shd w:val="clear" w:color="auto" w:fill="auto"/>
            <w:vAlign w:val="bottom"/>
          </w:tcPr>
          <w:p w14:paraId="22CFCE7A" w14:textId="77777777" w:rsidR="002661BA" w:rsidRDefault="002661BA">
            <w:pPr>
              <w:rPr>
                <w:rFonts w:ascii="宋体"/>
              </w:rPr>
            </w:pPr>
          </w:p>
        </w:tc>
        <w:tc>
          <w:tcPr>
            <w:tcW w:w="581" w:type="pct"/>
            <w:shd w:val="clear" w:color="auto" w:fill="auto"/>
            <w:vAlign w:val="bottom"/>
          </w:tcPr>
          <w:p w14:paraId="22CFCE7B" w14:textId="77777777" w:rsidR="002661BA" w:rsidRDefault="002661BA">
            <w:pPr>
              <w:rPr>
                <w:rFonts w:ascii="宋体"/>
              </w:rPr>
            </w:pPr>
          </w:p>
        </w:tc>
        <w:tc>
          <w:tcPr>
            <w:tcW w:w="5" w:type="pct"/>
            <w:shd w:val="clear" w:color="auto" w:fill="auto"/>
            <w:vAlign w:val="bottom"/>
          </w:tcPr>
          <w:p w14:paraId="22CFCE7C" w14:textId="77777777" w:rsidR="002661BA" w:rsidRDefault="002661BA">
            <w:pPr>
              <w:rPr>
                <w:rFonts w:ascii="宋体"/>
              </w:rPr>
            </w:pPr>
          </w:p>
        </w:tc>
      </w:tr>
      <w:tr w:rsidR="002661BA" w14:paraId="22CFCE82" w14:textId="77777777">
        <w:tc>
          <w:tcPr>
            <w:tcW w:w="0" w:type="auto"/>
            <w:gridSpan w:val="3"/>
            <w:shd w:val="clear" w:color="auto" w:fill="auto"/>
            <w:tcMar>
              <w:top w:w="0" w:type="dxa"/>
              <w:left w:w="20" w:type="dxa"/>
              <w:bottom w:w="0" w:type="dxa"/>
              <w:right w:w="20" w:type="dxa"/>
            </w:tcMar>
            <w:vAlign w:val="bottom"/>
          </w:tcPr>
          <w:p w14:paraId="22CFCE7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CE7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CE80" w14:textId="77777777" w:rsidR="002661BA" w:rsidRDefault="002661BA">
            <w:pPr>
              <w:rPr>
                <w:rFonts w:ascii="宋体"/>
              </w:rPr>
            </w:pPr>
          </w:p>
        </w:tc>
        <w:tc>
          <w:tcPr>
            <w:tcW w:w="0" w:type="auto"/>
            <w:gridSpan w:val="15"/>
            <w:shd w:val="clear" w:color="auto" w:fill="auto"/>
            <w:tcMar>
              <w:top w:w="40" w:type="dxa"/>
              <w:left w:w="20" w:type="dxa"/>
              <w:bottom w:w="40" w:type="dxa"/>
              <w:right w:w="20" w:type="dxa"/>
            </w:tcMar>
            <w:vAlign w:val="bottom"/>
          </w:tcPr>
          <w:p w14:paraId="22CFCE81"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CE8B" w14:textId="77777777">
        <w:tc>
          <w:tcPr>
            <w:tcW w:w="0" w:type="auto"/>
            <w:gridSpan w:val="3"/>
            <w:shd w:val="clear" w:color="auto" w:fill="auto"/>
            <w:tcMar>
              <w:top w:w="0" w:type="dxa"/>
              <w:left w:w="20" w:type="dxa"/>
              <w:bottom w:w="0" w:type="dxa"/>
              <w:right w:w="20" w:type="dxa"/>
            </w:tcMar>
            <w:vAlign w:val="bottom"/>
          </w:tcPr>
          <w:p w14:paraId="22CFCE8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E84" w14:textId="77777777" w:rsidR="002661BA" w:rsidRDefault="00D972BC">
            <w:pPr>
              <w:textAlignment w:val="bottom"/>
            </w:pPr>
            <w:r>
              <w:rPr>
                <w:rFonts w:ascii="Arial" w:eastAsia="宋体" w:hAnsi="Arial" w:cs="Arial"/>
                <w:b/>
                <w:bCs/>
                <w:color w:val="000000"/>
                <w:sz w:val="17"/>
                <w:szCs w:val="17"/>
              </w:rPr>
              <w:t>Statement of Income Location</w:t>
            </w:r>
          </w:p>
        </w:tc>
        <w:tc>
          <w:tcPr>
            <w:tcW w:w="0" w:type="auto"/>
            <w:gridSpan w:val="3"/>
            <w:shd w:val="clear" w:color="auto" w:fill="auto"/>
            <w:tcMar>
              <w:top w:w="0" w:type="dxa"/>
              <w:left w:w="20" w:type="dxa"/>
              <w:bottom w:w="0" w:type="dxa"/>
              <w:right w:w="20" w:type="dxa"/>
            </w:tcMar>
            <w:vAlign w:val="bottom"/>
          </w:tcPr>
          <w:p w14:paraId="22CFCE85"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E86"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E87"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E88"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E89"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E8A"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CE9A" w14:textId="77777777">
        <w:tc>
          <w:tcPr>
            <w:tcW w:w="0" w:type="auto"/>
            <w:gridSpan w:val="3"/>
            <w:shd w:val="clear" w:color="auto" w:fill="E2E2E2"/>
            <w:tcMar>
              <w:top w:w="40" w:type="dxa"/>
              <w:left w:w="20" w:type="dxa"/>
              <w:bottom w:w="40" w:type="dxa"/>
              <w:right w:w="20" w:type="dxa"/>
            </w:tcMar>
            <w:vAlign w:val="bottom"/>
          </w:tcPr>
          <w:p w14:paraId="22CFCE8C" w14:textId="77777777" w:rsidR="002661BA" w:rsidRDefault="00D972BC">
            <w:pPr>
              <w:textAlignment w:val="bottom"/>
            </w:pPr>
            <w:r>
              <w:rPr>
                <w:rFonts w:ascii="Arial" w:eastAsia="宋体" w:hAnsi="Arial" w:cs="Arial"/>
                <w:color w:val="000000"/>
                <w:sz w:val="18"/>
                <w:szCs w:val="18"/>
              </w:rPr>
              <w:t xml:space="preserve">Operating lease costs </w:t>
            </w:r>
            <w:r>
              <w:rPr>
                <w:rFonts w:ascii="Arial" w:eastAsia="宋体" w:hAnsi="Arial" w:cs="Arial"/>
                <w:color w:val="000000"/>
                <w:sz w:val="11"/>
                <w:szCs w:val="11"/>
              </w:rPr>
              <w:t>(1)</w:t>
            </w:r>
          </w:p>
        </w:tc>
        <w:tc>
          <w:tcPr>
            <w:tcW w:w="0" w:type="auto"/>
            <w:gridSpan w:val="3"/>
            <w:tcBorders>
              <w:top w:val="single" w:sz="8" w:space="0" w:color="000000"/>
            </w:tcBorders>
            <w:shd w:val="clear" w:color="auto" w:fill="E2E2E2"/>
            <w:tcMar>
              <w:top w:w="40" w:type="dxa"/>
              <w:left w:w="20" w:type="dxa"/>
              <w:bottom w:w="40" w:type="dxa"/>
              <w:right w:w="20" w:type="dxa"/>
            </w:tcMar>
          </w:tcPr>
          <w:p w14:paraId="22CFCE8D" w14:textId="77777777" w:rsidR="002661BA" w:rsidRDefault="00D972BC">
            <w:pPr>
              <w:textAlignment w:val="top"/>
            </w:pPr>
            <w:r>
              <w:rPr>
                <w:rFonts w:ascii="Arial" w:eastAsia="宋体" w:hAnsi="Arial" w:cs="Arial"/>
                <w:color w:val="000000"/>
                <w:sz w:val="18"/>
                <w:szCs w:val="18"/>
              </w:rPr>
              <w:t>Cost of net revenues, Sales and marketing, Product development and General and administrative expenses</w:t>
            </w:r>
          </w:p>
        </w:tc>
        <w:tc>
          <w:tcPr>
            <w:tcW w:w="0" w:type="auto"/>
            <w:gridSpan w:val="3"/>
            <w:shd w:val="clear" w:color="auto" w:fill="E2E2E2"/>
            <w:tcMar>
              <w:top w:w="0" w:type="dxa"/>
              <w:left w:w="20" w:type="dxa"/>
              <w:bottom w:w="0" w:type="dxa"/>
              <w:right w:w="20" w:type="dxa"/>
            </w:tcMar>
            <w:vAlign w:val="bottom"/>
          </w:tcPr>
          <w:p w14:paraId="22CFCE8E"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E8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E90" w14:textId="77777777" w:rsidR="002661BA" w:rsidRDefault="00D972BC">
            <w:pPr>
              <w:jc w:val="right"/>
              <w:textAlignment w:val="bottom"/>
            </w:pPr>
            <w:r>
              <w:rPr>
                <w:rFonts w:ascii="Arial" w:eastAsia="宋体" w:hAnsi="Arial" w:cs="Arial"/>
                <w:color w:val="000000"/>
                <w:sz w:val="18"/>
                <w:szCs w:val="18"/>
              </w:rPr>
              <w:t>178 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E91"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E92"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E9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E94" w14:textId="77777777" w:rsidR="002661BA" w:rsidRDefault="00D972BC">
            <w:pPr>
              <w:jc w:val="right"/>
              <w:textAlignment w:val="bottom"/>
            </w:pPr>
            <w:r>
              <w:rPr>
                <w:rFonts w:ascii="Arial" w:eastAsia="宋体" w:hAnsi="Arial" w:cs="Arial"/>
                <w:color w:val="000000"/>
                <w:sz w:val="18"/>
                <w:szCs w:val="18"/>
              </w:rPr>
              <w:t>160 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E9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CE96"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CE9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E98" w14:textId="77777777" w:rsidR="002661BA" w:rsidRDefault="00D972BC">
            <w:pPr>
              <w:jc w:val="right"/>
              <w:textAlignment w:val="bottom"/>
            </w:pPr>
            <w:r>
              <w:rPr>
                <w:rFonts w:ascii="Arial" w:eastAsia="宋体" w:hAnsi="Arial" w:cs="Arial"/>
                <w:color w:val="000000"/>
                <w:sz w:val="18"/>
                <w:szCs w:val="18"/>
              </w:rPr>
              <w:t>168 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E99" w14:textId="77777777" w:rsidR="002661BA" w:rsidRDefault="002661BA">
            <w:pPr>
              <w:jc w:val="right"/>
              <w:rPr>
                <w:rFonts w:ascii="宋体"/>
              </w:rPr>
            </w:pPr>
          </w:p>
        </w:tc>
      </w:tr>
    </w:tbl>
    <w:p w14:paraId="22CFCE9B" w14:textId="77777777" w:rsidR="002661BA" w:rsidRDefault="00D972BC">
      <w:pPr>
        <w:ind w:hanging="360"/>
        <w:jc w:val="both"/>
      </w:pPr>
      <w:r>
        <w:rPr>
          <w:rFonts w:ascii="Arial" w:eastAsia="宋体" w:hAnsi="Arial" w:cs="Arial"/>
          <w:color w:val="000000"/>
          <w:sz w:val="16"/>
          <w:szCs w:val="16"/>
        </w:rPr>
        <w:t xml:space="preserve">(1)Includes variable lease payments and sublease income that were immaterial for the years ended December 31, 2021, 2020 and 2019. </w:t>
      </w:r>
    </w:p>
    <w:p w14:paraId="22CFCE9C" w14:textId="77777777" w:rsidR="002661BA" w:rsidRDefault="002661BA">
      <w:pPr>
        <w:jc w:val="both"/>
      </w:pPr>
    </w:p>
    <w:p w14:paraId="22CFCE9D" w14:textId="77777777" w:rsidR="002661BA" w:rsidRDefault="00D972BC">
      <w:pPr>
        <w:spacing w:after="120"/>
        <w:ind w:firstLine="540"/>
        <w:jc w:val="both"/>
      </w:pPr>
      <w:r>
        <w:rPr>
          <w:rFonts w:ascii="Arial" w:eastAsia="宋体" w:hAnsi="Arial" w:cs="Arial"/>
          <w:color w:val="000000"/>
          <w:sz w:val="20"/>
          <w:szCs w:val="20"/>
        </w:rPr>
        <w:t>The following table presents the maturity of leas</w:t>
      </w:r>
      <w:r>
        <w:rPr>
          <w:rFonts w:ascii="Arial" w:eastAsia="宋体" w:hAnsi="Arial" w:cs="Arial"/>
          <w:color w:val="000000"/>
          <w:sz w:val="20"/>
          <w:szCs w:val="20"/>
        </w:rPr>
        <w:t xml:space="preserve">e liabilities under our non-cancelable operating leases as of the date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51"/>
        <w:gridCol w:w="7090"/>
        <w:gridCol w:w="36"/>
        <w:gridCol w:w="122"/>
        <w:gridCol w:w="929"/>
        <w:gridCol w:w="36"/>
        <w:gridCol w:w="36"/>
        <w:gridCol w:w="36"/>
      </w:tblGrid>
      <w:tr w:rsidR="002661BA" w14:paraId="22CFCEA6" w14:textId="77777777">
        <w:tc>
          <w:tcPr>
            <w:tcW w:w="50" w:type="pct"/>
            <w:shd w:val="clear" w:color="auto" w:fill="auto"/>
            <w:vAlign w:val="bottom"/>
          </w:tcPr>
          <w:p w14:paraId="22CFCE9E" w14:textId="77777777" w:rsidR="002661BA" w:rsidRDefault="002661BA">
            <w:pPr>
              <w:rPr>
                <w:rFonts w:ascii="宋体"/>
              </w:rPr>
            </w:pPr>
          </w:p>
        </w:tc>
        <w:tc>
          <w:tcPr>
            <w:tcW w:w="4309" w:type="pct"/>
            <w:shd w:val="clear" w:color="auto" w:fill="auto"/>
            <w:vAlign w:val="bottom"/>
          </w:tcPr>
          <w:p w14:paraId="22CFCE9F" w14:textId="77777777" w:rsidR="002661BA" w:rsidRDefault="002661BA">
            <w:pPr>
              <w:rPr>
                <w:rFonts w:ascii="宋体"/>
              </w:rPr>
            </w:pPr>
          </w:p>
        </w:tc>
        <w:tc>
          <w:tcPr>
            <w:tcW w:w="5" w:type="pct"/>
            <w:shd w:val="clear" w:color="auto" w:fill="auto"/>
            <w:vAlign w:val="bottom"/>
          </w:tcPr>
          <w:p w14:paraId="22CFCEA0" w14:textId="77777777" w:rsidR="002661BA" w:rsidRDefault="002661BA">
            <w:pPr>
              <w:rPr>
                <w:rFonts w:ascii="宋体"/>
              </w:rPr>
            </w:pPr>
          </w:p>
        </w:tc>
        <w:tc>
          <w:tcPr>
            <w:tcW w:w="50" w:type="pct"/>
            <w:shd w:val="clear" w:color="auto" w:fill="auto"/>
            <w:vAlign w:val="bottom"/>
          </w:tcPr>
          <w:p w14:paraId="22CFCEA1" w14:textId="77777777" w:rsidR="002661BA" w:rsidRDefault="002661BA">
            <w:pPr>
              <w:rPr>
                <w:rFonts w:ascii="宋体"/>
              </w:rPr>
            </w:pPr>
          </w:p>
        </w:tc>
        <w:tc>
          <w:tcPr>
            <w:tcW w:w="581" w:type="pct"/>
            <w:shd w:val="clear" w:color="auto" w:fill="auto"/>
            <w:vAlign w:val="bottom"/>
          </w:tcPr>
          <w:p w14:paraId="22CFCEA2" w14:textId="77777777" w:rsidR="002661BA" w:rsidRDefault="002661BA">
            <w:pPr>
              <w:rPr>
                <w:rFonts w:ascii="宋体"/>
              </w:rPr>
            </w:pPr>
          </w:p>
        </w:tc>
        <w:tc>
          <w:tcPr>
            <w:tcW w:w="5" w:type="pct"/>
            <w:shd w:val="clear" w:color="auto" w:fill="auto"/>
            <w:vAlign w:val="bottom"/>
          </w:tcPr>
          <w:p w14:paraId="22CFCEA3" w14:textId="77777777" w:rsidR="002661BA" w:rsidRDefault="002661BA">
            <w:pPr>
              <w:rPr>
                <w:rFonts w:ascii="宋体"/>
              </w:rPr>
            </w:pPr>
          </w:p>
        </w:tc>
        <w:tc>
          <w:tcPr>
            <w:tcW w:w="0" w:type="auto"/>
            <w:shd w:val="clear" w:color="auto" w:fill="auto"/>
            <w:vAlign w:val="bottom"/>
          </w:tcPr>
          <w:p w14:paraId="22CFCEA4" w14:textId="77777777" w:rsidR="002661BA" w:rsidRDefault="002661BA">
            <w:pPr>
              <w:rPr>
                <w:rFonts w:ascii="宋体"/>
                <w:vanish/>
              </w:rPr>
            </w:pPr>
          </w:p>
        </w:tc>
        <w:tc>
          <w:tcPr>
            <w:tcW w:w="0" w:type="auto"/>
            <w:shd w:val="clear" w:color="auto" w:fill="auto"/>
            <w:vAlign w:val="bottom"/>
          </w:tcPr>
          <w:p w14:paraId="22CFCEA5" w14:textId="77777777" w:rsidR="002661BA" w:rsidRDefault="002661BA">
            <w:pPr>
              <w:rPr>
                <w:rFonts w:ascii="宋体"/>
                <w:vanish/>
              </w:rPr>
            </w:pPr>
          </w:p>
        </w:tc>
      </w:tr>
      <w:tr w:rsidR="002661BA" w14:paraId="22CFCEAB" w14:textId="77777777">
        <w:tc>
          <w:tcPr>
            <w:tcW w:w="0" w:type="auto"/>
            <w:gridSpan w:val="3"/>
            <w:shd w:val="clear" w:color="auto" w:fill="auto"/>
            <w:tcMar>
              <w:top w:w="0" w:type="dxa"/>
              <w:left w:w="20" w:type="dxa"/>
              <w:bottom w:w="0" w:type="dxa"/>
              <w:right w:w="20" w:type="dxa"/>
            </w:tcMar>
            <w:vAlign w:val="bottom"/>
          </w:tcPr>
          <w:p w14:paraId="22CFCEA7"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EA8" w14:textId="77777777" w:rsidR="002661BA" w:rsidRDefault="00D972BC">
            <w:pPr>
              <w:jc w:val="center"/>
              <w:textAlignment w:val="bottom"/>
            </w:pPr>
            <w:r>
              <w:rPr>
                <w:rFonts w:ascii="Arial" w:eastAsia="宋体" w:hAnsi="Arial" w:cs="Arial"/>
                <w:b/>
                <w:bCs/>
                <w:color w:val="000000"/>
                <w:sz w:val="17"/>
                <w:szCs w:val="17"/>
              </w:rPr>
              <w:t>December 31, 2021</w:t>
            </w:r>
          </w:p>
        </w:tc>
        <w:tc>
          <w:tcPr>
            <w:tcW w:w="0" w:type="auto"/>
            <w:shd w:val="clear" w:color="auto" w:fill="auto"/>
            <w:vAlign w:val="bottom"/>
          </w:tcPr>
          <w:p w14:paraId="22CFCEA9" w14:textId="77777777" w:rsidR="002661BA" w:rsidRDefault="002661BA">
            <w:pPr>
              <w:rPr>
                <w:rFonts w:ascii="宋体"/>
                <w:vanish/>
              </w:rPr>
            </w:pPr>
          </w:p>
        </w:tc>
        <w:tc>
          <w:tcPr>
            <w:tcW w:w="0" w:type="auto"/>
            <w:shd w:val="clear" w:color="auto" w:fill="auto"/>
            <w:vAlign w:val="bottom"/>
          </w:tcPr>
          <w:p w14:paraId="22CFCEAA" w14:textId="77777777" w:rsidR="002661BA" w:rsidRDefault="002661BA">
            <w:pPr>
              <w:rPr>
                <w:rFonts w:ascii="宋体"/>
                <w:vanish/>
              </w:rPr>
            </w:pPr>
          </w:p>
        </w:tc>
      </w:tr>
      <w:tr w:rsidR="002661BA" w14:paraId="22CFCEB2" w14:textId="77777777">
        <w:tc>
          <w:tcPr>
            <w:tcW w:w="0" w:type="auto"/>
            <w:gridSpan w:val="3"/>
            <w:shd w:val="clear" w:color="auto" w:fill="E2E2E2"/>
            <w:tcMar>
              <w:top w:w="40" w:type="dxa"/>
              <w:left w:w="20" w:type="dxa"/>
              <w:bottom w:w="40" w:type="dxa"/>
              <w:right w:w="20" w:type="dxa"/>
            </w:tcMar>
            <w:vAlign w:val="bottom"/>
          </w:tcPr>
          <w:p w14:paraId="22CFCEAC" w14:textId="77777777" w:rsidR="002661BA" w:rsidRDefault="00D972BC">
            <w:pPr>
              <w:textAlignment w:val="bottom"/>
            </w:pPr>
            <w:r>
              <w:rPr>
                <w:rFonts w:ascii="Arial" w:eastAsia="宋体" w:hAnsi="Arial" w:cs="Arial"/>
                <w:color w:val="000000"/>
                <w:sz w:val="18"/>
                <w:szCs w:val="18"/>
              </w:rPr>
              <w:t>2022</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CEA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CEAE" w14:textId="77777777" w:rsidR="002661BA" w:rsidRDefault="00D972BC">
            <w:pPr>
              <w:jc w:val="right"/>
              <w:textAlignment w:val="bottom"/>
            </w:pPr>
            <w:r>
              <w:rPr>
                <w:rFonts w:ascii="Arial" w:eastAsia="宋体" w:hAnsi="Arial" w:cs="Arial"/>
                <w:color w:val="000000"/>
                <w:sz w:val="18"/>
                <w:szCs w:val="18"/>
              </w:rPr>
              <w:t>156 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EAF" w14:textId="77777777" w:rsidR="002661BA" w:rsidRDefault="002661BA">
            <w:pPr>
              <w:jc w:val="right"/>
              <w:rPr>
                <w:rFonts w:ascii="宋体"/>
              </w:rPr>
            </w:pPr>
          </w:p>
        </w:tc>
        <w:tc>
          <w:tcPr>
            <w:tcW w:w="0" w:type="auto"/>
            <w:shd w:val="clear" w:color="auto" w:fill="auto"/>
            <w:vAlign w:val="bottom"/>
          </w:tcPr>
          <w:p w14:paraId="22CFCEB0" w14:textId="77777777" w:rsidR="002661BA" w:rsidRDefault="002661BA">
            <w:pPr>
              <w:rPr>
                <w:rFonts w:ascii="宋体"/>
                <w:vanish/>
              </w:rPr>
            </w:pPr>
          </w:p>
        </w:tc>
        <w:tc>
          <w:tcPr>
            <w:tcW w:w="0" w:type="auto"/>
            <w:shd w:val="clear" w:color="auto" w:fill="auto"/>
            <w:vAlign w:val="bottom"/>
          </w:tcPr>
          <w:p w14:paraId="22CFCEB1" w14:textId="77777777" w:rsidR="002661BA" w:rsidRDefault="002661BA">
            <w:pPr>
              <w:rPr>
                <w:rFonts w:ascii="宋体"/>
                <w:vanish/>
              </w:rPr>
            </w:pPr>
          </w:p>
        </w:tc>
      </w:tr>
      <w:tr w:rsidR="002661BA" w14:paraId="22CFCEB8" w14:textId="77777777">
        <w:tc>
          <w:tcPr>
            <w:tcW w:w="0" w:type="auto"/>
            <w:gridSpan w:val="3"/>
            <w:shd w:val="clear" w:color="auto" w:fill="FFFFFF"/>
            <w:tcMar>
              <w:top w:w="40" w:type="dxa"/>
              <w:left w:w="20" w:type="dxa"/>
              <w:bottom w:w="40" w:type="dxa"/>
              <w:right w:w="20" w:type="dxa"/>
            </w:tcMar>
            <w:vAlign w:val="bottom"/>
          </w:tcPr>
          <w:p w14:paraId="22CFCEB3" w14:textId="77777777" w:rsidR="002661BA" w:rsidRDefault="00D972BC">
            <w:pPr>
              <w:textAlignment w:val="bottom"/>
            </w:pPr>
            <w:r>
              <w:rPr>
                <w:rFonts w:ascii="Arial" w:eastAsia="宋体" w:hAnsi="Arial" w:cs="Arial"/>
                <w:color w:val="000000"/>
                <w:sz w:val="18"/>
                <w:szCs w:val="18"/>
              </w:rPr>
              <w:t>2023</w:t>
            </w:r>
          </w:p>
        </w:tc>
        <w:tc>
          <w:tcPr>
            <w:tcW w:w="0" w:type="auto"/>
            <w:gridSpan w:val="2"/>
            <w:shd w:val="clear" w:color="auto" w:fill="FFFFFF"/>
            <w:tcMar>
              <w:top w:w="40" w:type="dxa"/>
              <w:left w:w="20" w:type="dxa"/>
              <w:bottom w:w="40" w:type="dxa"/>
              <w:right w:w="0" w:type="dxa"/>
            </w:tcMar>
            <w:vAlign w:val="bottom"/>
          </w:tcPr>
          <w:p w14:paraId="22CFCEB4" w14:textId="77777777" w:rsidR="002661BA" w:rsidRDefault="00D972BC">
            <w:pPr>
              <w:jc w:val="right"/>
              <w:textAlignment w:val="bottom"/>
            </w:pPr>
            <w:r>
              <w:rPr>
                <w:rFonts w:ascii="Arial" w:eastAsia="宋体" w:hAnsi="Arial" w:cs="Arial"/>
                <w:color w:val="000000"/>
                <w:sz w:val="18"/>
                <w:szCs w:val="18"/>
              </w:rPr>
              <w:t>110 </w:t>
            </w:r>
          </w:p>
        </w:tc>
        <w:tc>
          <w:tcPr>
            <w:tcW w:w="0" w:type="auto"/>
            <w:shd w:val="clear" w:color="auto" w:fill="FFFFFF"/>
            <w:tcMar>
              <w:top w:w="40" w:type="dxa"/>
              <w:left w:w="0" w:type="dxa"/>
              <w:bottom w:w="40" w:type="dxa"/>
              <w:right w:w="20" w:type="dxa"/>
            </w:tcMar>
            <w:vAlign w:val="bottom"/>
          </w:tcPr>
          <w:p w14:paraId="22CFCEB5" w14:textId="77777777" w:rsidR="002661BA" w:rsidRDefault="002661BA">
            <w:pPr>
              <w:jc w:val="right"/>
              <w:rPr>
                <w:rFonts w:ascii="宋体"/>
              </w:rPr>
            </w:pPr>
          </w:p>
        </w:tc>
        <w:tc>
          <w:tcPr>
            <w:tcW w:w="0" w:type="auto"/>
            <w:shd w:val="clear" w:color="auto" w:fill="auto"/>
            <w:vAlign w:val="bottom"/>
          </w:tcPr>
          <w:p w14:paraId="22CFCEB6" w14:textId="77777777" w:rsidR="002661BA" w:rsidRDefault="002661BA">
            <w:pPr>
              <w:rPr>
                <w:rFonts w:ascii="宋体"/>
                <w:vanish/>
              </w:rPr>
            </w:pPr>
          </w:p>
        </w:tc>
        <w:tc>
          <w:tcPr>
            <w:tcW w:w="0" w:type="auto"/>
            <w:shd w:val="clear" w:color="auto" w:fill="auto"/>
            <w:vAlign w:val="bottom"/>
          </w:tcPr>
          <w:p w14:paraId="22CFCEB7" w14:textId="77777777" w:rsidR="002661BA" w:rsidRDefault="002661BA">
            <w:pPr>
              <w:rPr>
                <w:rFonts w:ascii="宋体"/>
                <w:vanish/>
              </w:rPr>
            </w:pPr>
          </w:p>
        </w:tc>
      </w:tr>
      <w:tr w:rsidR="002661BA" w14:paraId="22CFCEBE" w14:textId="77777777">
        <w:tc>
          <w:tcPr>
            <w:tcW w:w="0" w:type="auto"/>
            <w:gridSpan w:val="3"/>
            <w:shd w:val="clear" w:color="auto" w:fill="E2E2E2"/>
            <w:tcMar>
              <w:top w:w="40" w:type="dxa"/>
              <w:left w:w="20" w:type="dxa"/>
              <w:bottom w:w="40" w:type="dxa"/>
              <w:right w:w="20" w:type="dxa"/>
            </w:tcMar>
            <w:vAlign w:val="bottom"/>
          </w:tcPr>
          <w:p w14:paraId="22CFCEB9" w14:textId="77777777" w:rsidR="002661BA" w:rsidRDefault="00D972BC">
            <w:pPr>
              <w:textAlignment w:val="bottom"/>
            </w:pPr>
            <w:r>
              <w:rPr>
                <w:rFonts w:ascii="Arial" w:eastAsia="宋体" w:hAnsi="Arial" w:cs="Arial"/>
                <w:color w:val="000000"/>
                <w:sz w:val="18"/>
                <w:szCs w:val="18"/>
              </w:rPr>
              <w:t>2024</w:t>
            </w:r>
          </w:p>
        </w:tc>
        <w:tc>
          <w:tcPr>
            <w:tcW w:w="0" w:type="auto"/>
            <w:gridSpan w:val="2"/>
            <w:shd w:val="clear" w:color="auto" w:fill="E2E2E2"/>
            <w:tcMar>
              <w:top w:w="40" w:type="dxa"/>
              <w:left w:w="20" w:type="dxa"/>
              <w:bottom w:w="40" w:type="dxa"/>
              <w:right w:w="0" w:type="dxa"/>
            </w:tcMar>
            <w:vAlign w:val="bottom"/>
          </w:tcPr>
          <w:p w14:paraId="22CFCEBA" w14:textId="77777777" w:rsidR="002661BA" w:rsidRDefault="00D972BC">
            <w:pPr>
              <w:jc w:val="right"/>
              <w:textAlignment w:val="bottom"/>
            </w:pPr>
            <w:r>
              <w:rPr>
                <w:rFonts w:ascii="Arial" w:eastAsia="宋体" w:hAnsi="Arial" w:cs="Arial"/>
                <w:color w:val="000000"/>
                <w:sz w:val="18"/>
                <w:szCs w:val="18"/>
              </w:rPr>
              <w:t>38 </w:t>
            </w:r>
          </w:p>
        </w:tc>
        <w:tc>
          <w:tcPr>
            <w:tcW w:w="0" w:type="auto"/>
            <w:shd w:val="clear" w:color="auto" w:fill="E2E2E2"/>
            <w:tcMar>
              <w:top w:w="40" w:type="dxa"/>
              <w:left w:w="0" w:type="dxa"/>
              <w:bottom w:w="40" w:type="dxa"/>
              <w:right w:w="20" w:type="dxa"/>
            </w:tcMar>
            <w:vAlign w:val="bottom"/>
          </w:tcPr>
          <w:p w14:paraId="22CFCEBB" w14:textId="77777777" w:rsidR="002661BA" w:rsidRDefault="002661BA">
            <w:pPr>
              <w:jc w:val="right"/>
              <w:rPr>
                <w:rFonts w:ascii="宋体"/>
              </w:rPr>
            </w:pPr>
          </w:p>
        </w:tc>
        <w:tc>
          <w:tcPr>
            <w:tcW w:w="0" w:type="auto"/>
            <w:shd w:val="clear" w:color="auto" w:fill="auto"/>
            <w:vAlign w:val="bottom"/>
          </w:tcPr>
          <w:p w14:paraId="22CFCEBC" w14:textId="77777777" w:rsidR="002661BA" w:rsidRDefault="002661BA">
            <w:pPr>
              <w:rPr>
                <w:rFonts w:ascii="宋体"/>
                <w:vanish/>
              </w:rPr>
            </w:pPr>
          </w:p>
        </w:tc>
        <w:tc>
          <w:tcPr>
            <w:tcW w:w="0" w:type="auto"/>
            <w:shd w:val="clear" w:color="auto" w:fill="auto"/>
            <w:vAlign w:val="bottom"/>
          </w:tcPr>
          <w:p w14:paraId="22CFCEBD" w14:textId="77777777" w:rsidR="002661BA" w:rsidRDefault="002661BA">
            <w:pPr>
              <w:rPr>
                <w:rFonts w:ascii="宋体"/>
                <w:vanish/>
              </w:rPr>
            </w:pPr>
          </w:p>
        </w:tc>
      </w:tr>
      <w:tr w:rsidR="002661BA" w14:paraId="22CFCEC4" w14:textId="77777777">
        <w:tc>
          <w:tcPr>
            <w:tcW w:w="0" w:type="auto"/>
            <w:gridSpan w:val="3"/>
            <w:shd w:val="clear" w:color="auto" w:fill="FFFFFF"/>
            <w:tcMar>
              <w:top w:w="40" w:type="dxa"/>
              <w:left w:w="20" w:type="dxa"/>
              <w:bottom w:w="40" w:type="dxa"/>
              <w:right w:w="20" w:type="dxa"/>
            </w:tcMar>
            <w:vAlign w:val="bottom"/>
          </w:tcPr>
          <w:p w14:paraId="22CFCEBF" w14:textId="77777777" w:rsidR="002661BA" w:rsidRDefault="00D972BC">
            <w:pPr>
              <w:textAlignment w:val="bottom"/>
            </w:pPr>
            <w:r>
              <w:rPr>
                <w:rFonts w:ascii="Arial" w:eastAsia="宋体" w:hAnsi="Arial" w:cs="Arial"/>
                <w:color w:val="000000"/>
                <w:sz w:val="18"/>
                <w:szCs w:val="18"/>
              </w:rPr>
              <w:t>2025</w:t>
            </w:r>
          </w:p>
        </w:tc>
        <w:tc>
          <w:tcPr>
            <w:tcW w:w="0" w:type="auto"/>
            <w:gridSpan w:val="2"/>
            <w:shd w:val="clear" w:color="auto" w:fill="FFFFFF"/>
            <w:tcMar>
              <w:top w:w="40" w:type="dxa"/>
              <w:left w:w="20" w:type="dxa"/>
              <w:bottom w:w="40" w:type="dxa"/>
              <w:right w:w="0" w:type="dxa"/>
            </w:tcMar>
            <w:vAlign w:val="bottom"/>
          </w:tcPr>
          <w:p w14:paraId="22CFCEC0" w14:textId="77777777" w:rsidR="002661BA" w:rsidRDefault="00D972BC">
            <w:pPr>
              <w:jc w:val="right"/>
              <w:textAlignment w:val="bottom"/>
            </w:pPr>
            <w:r>
              <w:rPr>
                <w:rFonts w:ascii="Arial" w:eastAsia="宋体" w:hAnsi="Arial" w:cs="Arial"/>
                <w:color w:val="000000"/>
                <w:sz w:val="18"/>
                <w:szCs w:val="18"/>
              </w:rPr>
              <w:t>27 </w:t>
            </w:r>
          </w:p>
        </w:tc>
        <w:tc>
          <w:tcPr>
            <w:tcW w:w="0" w:type="auto"/>
            <w:shd w:val="clear" w:color="auto" w:fill="FFFFFF"/>
            <w:tcMar>
              <w:top w:w="40" w:type="dxa"/>
              <w:left w:w="0" w:type="dxa"/>
              <w:bottom w:w="40" w:type="dxa"/>
              <w:right w:w="20" w:type="dxa"/>
            </w:tcMar>
            <w:vAlign w:val="bottom"/>
          </w:tcPr>
          <w:p w14:paraId="22CFCEC1" w14:textId="77777777" w:rsidR="002661BA" w:rsidRDefault="002661BA">
            <w:pPr>
              <w:jc w:val="right"/>
              <w:rPr>
                <w:rFonts w:ascii="宋体"/>
              </w:rPr>
            </w:pPr>
          </w:p>
        </w:tc>
        <w:tc>
          <w:tcPr>
            <w:tcW w:w="0" w:type="auto"/>
            <w:shd w:val="clear" w:color="auto" w:fill="auto"/>
            <w:vAlign w:val="bottom"/>
          </w:tcPr>
          <w:p w14:paraId="22CFCEC2" w14:textId="77777777" w:rsidR="002661BA" w:rsidRDefault="002661BA">
            <w:pPr>
              <w:rPr>
                <w:rFonts w:ascii="宋体"/>
                <w:vanish/>
              </w:rPr>
            </w:pPr>
          </w:p>
        </w:tc>
        <w:tc>
          <w:tcPr>
            <w:tcW w:w="0" w:type="auto"/>
            <w:shd w:val="clear" w:color="auto" w:fill="auto"/>
            <w:vAlign w:val="bottom"/>
          </w:tcPr>
          <w:p w14:paraId="22CFCEC3" w14:textId="77777777" w:rsidR="002661BA" w:rsidRDefault="002661BA">
            <w:pPr>
              <w:rPr>
                <w:rFonts w:ascii="宋体"/>
                <w:vanish/>
              </w:rPr>
            </w:pPr>
          </w:p>
        </w:tc>
      </w:tr>
      <w:tr w:rsidR="002661BA" w14:paraId="22CFCECA" w14:textId="77777777">
        <w:tc>
          <w:tcPr>
            <w:tcW w:w="0" w:type="auto"/>
            <w:gridSpan w:val="3"/>
            <w:shd w:val="clear" w:color="auto" w:fill="E2E2E2"/>
            <w:tcMar>
              <w:top w:w="40" w:type="dxa"/>
              <w:left w:w="20" w:type="dxa"/>
              <w:bottom w:w="40" w:type="dxa"/>
              <w:right w:w="20" w:type="dxa"/>
            </w:tcMar>
            <w:vAlign w:val="bottom"/>
          </w:tcPr>
          <w:p w14:paraId="22CFCEC5" w14:textId="77777777" w:rsidR="002661BA" w:rsidRDefault="00D972BC">
            <w:pPr>
              <w:textAlignment w:val="bottom"/>
            </w:pPr>
            <w:r>
              <w:rPr>
                <w:rFonts w:ascii="Arial" w:eastAsia="宋体" w:hAnsi="Arial" w:cs="Arial"/>
                <w:color w:val="000000"/>
                <w:sz w:val="18"/>
                <w:szCs w:val="18"/>
              </w:rPr>
              <w:t>2026</w:t>
            </w:r>
          </w:p>
        </w:tc>
        <w:tc>
          <w:tcPr>
            <w:tcW w:w="0" w:type="auto"/>
            <w:gridSpan w:val="2"/>
            <w:shd w:val="clear" w:color="auto" w:fill="E2E2E2"/>
            <w:tcMar>
              <w:top w:w="40" w:type="dxa"/>
              <w:left w:w="20" w:type="dxa"/>
              <w:bottom w:w="40" w:type="dxa"/>
              <w:right w:w="0" w:type="dxa"/>
            </w:tcMar>
            <w:vAlign w:val="bottom"/>
          </w:tcPr>
          <w:p w14:paraId="22CFCEC6" w14:textId="77777777" w:rsidR="002661BA" w:rsidRDefault="00D972BC">
            <w:pPr>
              <w:jc w:val="right"/>
              <w:textAlignment w:val="bottom"/>
            </w:pPr>
            <w:r>
              <w:rPr>
                <w:rFonts w:ascii="Arial" w:eastAsia="宋体" w:hAnsi="Arial" w:cs="Arial"/>
                <w:color w:val="000000"/>
                <w:sz w:val="18"/>
                <w:szCs w:val="18"/>
              </w:rPr>
              <w:t>14 </w:t>
            </w:r>
          </w:p>
        </w:tc>
        <w:tc>
          <w:tcPr>
            <w:tcW w:w="0" w:type="auto"/>
            <w:shd w:val="clear" w:color="auto" w:fill="E2E2E2"/>
            <w:tcMar>
              <w:top w:w="40" w:type="dxa"/>
              <w:left w:w="0" w:type="dxa"/>
              <w:bottom w:w="40" w:type="dxa"/>
              <w:right w:w="20" w:type="dxa"/>
            </w:tcMar>
            <w:vAlign w:val="bottom"/>
          </w:tcPr>
          <w:p w14:paraId="22CFCEC7" w14:textId="77777777" w:rsidR="002661BA" w:rsidRDefault="002661BA">
            <w:pPr>
              <w:jc w:val="right"/>
              <w:rPr>
                <w:rFonts w:ascii="宋体"/>
              </w:rPr>
            </w:pPr>
          </w:p>
        </w:tc>
        <w:tc>
          <w:tcPr>
            <w:tcW w:w="0" w:type="auto"/>
            <w:shd w:val="clear" w:color="auto" w:fill="auto"/>
            <w:vAlign w:val="bottom"/>
          </w:tcPr>
          <w:p w14:paraId="22CFCEC8" w14:textId="77777777" w:rsidR="002661BA" w:rsidRDefault="002661BA">
            <w:pPr>
              <w:rPr>
                <w:rFonts w:ascii="宋体"/>
                <w:vanish/>
              </w:rPr>
            </w:pPr>
          </w:p>
        </w:tc>
        <w:tc>
          <w:tcPr>
            <w:tcW w:w="0" w:type="auto"/>
            <w:shd w:val="clear" w:color="auto" w:fill="auto"/>
            <w:vAlign w:val="bottom"/>
          </w:tcPr>
          <w:p w14:paraId="22CFCEC9" w14:textId="77777777" w:rsidR="002661BA" w:rsidRDefault="002661BA">
            <w:pPr>
              <w:rPr>
                <w:rFonts w:ascii="宋体"/>
                <w:vanish/>
              </w:rPr>
            </w:pPr>
          </w:p>
        </w:tc>
      </w:tr>
      <w:tr w:rsidR="002661BA" w14:paraId="22CFCED0" w14:textId="77777777">
        <w:tc>
          <w:tcPr>
            <w:tcW w:w="0" w:type="auto"/>
            <w:gridSpan w:val="3"/>
            <w:shd w:val="clear" w:color="auto" w:fill="FFFFFF"/>
            <w:tcMar>
              <w:top w:w="40" w:type="dxa"/>
              <w:left w:w="20" w:type="dxa"/>
              <w:bottom w:w="40" w:type="dxa"/>
              <w:right w:w="20" w:type="dxa"/>
            </w:tcMar>
            <w:vAlign w:val="bottom"/>
          </w:tcPr>
          <w:p w14:paraId="22CFCECB" w14:textId="77777777" w:rsidR="002661BA" w:rsidRDefault="00D972BC">
            <w:pPr>
              <w:textAlignment w:val="bottom"/>
            </w:pPr>
            <w:r>
              <w:rPr>
                <w:rFonts w:ascii="Arial" w:eastAsia="宋体" w:hAnsi="Arial" w:cs="Arial"/>
                <w:color w:val="000000"/>
                <w:sz w:val="18"/>
                <w:szCs w:val="18"/>
              </w:rPr>
              <w:t>Thereafter</w:t>
            </w:r>
          </w:p>
        </w:tc>
        <w:tc>
          <w:tcPr>
            <w:tcW w:w="0" w:type="auto"/>
            <w:gridSpan w:val="2"/>
            <w:shd w:val="clear" w:color="auto" w:fill="FFFFFF"/>
            <w:tcMar>
              <w:top w:w="40" w:type="dxa"/>
              <w:left w:w="20" w:type="dxa"/>
              <w:bottom w:w="40" w:type="dxa"/>
              <w:right w:w="0" w:type="dxa"/>
            </w:tcMar>
            <w:vAlign w:val="bottom"/>
          </w:tcPr>
          <w:p w14:paraId="22CFCECC" w14:textId="77777777" w:rsidR="002661BA" w:rsidRDefault="00D972BC">
            <w:pPr>
              <w:jc w:val="right"/>
              <w:textAlignment w:val="bottom"/>
            </w:pPr>
            <w:r>
              <w:rPr>
                <w:rFonts w:ascii="Arial" w:eastAsia="宋体" w:hAnsi="Arial" w:cs="Arial"/>
                <w:color w:val="000000"/>
                <w:sz w:val="18"/>
                <w:szCs w:val="18"/>
              </w:rPr>
              <w:t>21 </w:t>
            </w:r>
          </w:p>
        </w:tc>
        <w:tc>
          <w:tcPr>
            <w:tcW w:w="0" w:type="auto"/>
            <w:shd w:val="clear" w:color="auto" w:fill="FFFFFF"/>
            <w:tcMar>
              <w:top w:w="40" w:type="dxa"/>
              <w:left w:w="0" w:type="dxa"/>
              <w:bottom w:w="40" w:type="dxa"/>
              <w:right w:w="20" w:type="dxa"/>
            </w:tcMar>
            <w:vAlign w:val="bottom"/>
          </w:tcPr>
          <w:p w14:paraId="22CFCECD" w14:textId="77777777" w:rsidR="002661BA" w:rsidRDefault="002661BA">
            <w:pPr>
              <w:jc w:val="right"/>
              <w:rPr>
                <w:rFonts w:ascii="宋体"/>
              </w:rPr>
            </w:pPr>
          </w:p>
        </w:tc>
        <w:tc>
          <w:tcPr>
            <w:tcW w:w="0" w:type="auto"/>
            <w:shd w:val="clear" w:color="auto" w:fill="auto"/>
            <w:vAlign w:val="bottom"/>
          </w:tcPr>
          <w:p w14:paraId="22CFCECE" w14:textId="77777777" w:rsidR="002661BA" w:rsidRDefault="002661BA">
            <w:pPr>
              <w:rPr>
                <w:rFonts w:ascii="宋体"/>
                <w:vanish/>
              </w:rPr>
            </w:pPr>
          </w:p>
        </w:tc>
        <w:tc>
          <w:tcPr>
            <w:tcW w:w="0" w:type="auto"/>
            <w:shd w:val="clear" w:color="auto" w:fill="auto"/>
            <w:vAlign w:val="bottom"/>
          </w:tcPr>
          <w:p w14:paraId="22CFCECF" w14:textId="77777777" w:rsidR="002661BA" w:rsidRDefault="002661BA">
            <w:pPr>
              <w:rPr>
                <w:rFonts w:ascii="宋体"/>
                <w:vanish/>
              </w:rPr>
            </w:pPr>
          </w:p>
        </w:tc>
      </w:tr>
      <w:tr w:rsidR="002661BA" w14:paraId="22CFCED6" w14:textId="77777777">
        <w:tc>
          <w:tcPr>
            <w:tcW w:w="0" w:type="auto"/>
            <w:gridSpan w:val="3"/>
            <w:shd w:val="clear" w:color="auto" w:fill="E2E2E2"/>
            <w:tcMar>
              <w:top w:w="40" w:type="dxa"/>
              <w:left w:w="245" w:type="dxa"/>
              <w:bottom w:w="40" w:type="dxa"/>
              <w:right w:w="20" w:type="dxa"/>
            </w:tcMar>
            <w:vAlign w:val="bottom"/>
          </w:tcPr>
          <w:p w14:paraId="22CFCED1" w14:textId="77777777" w:rsidR="002661BA" w:rsidRDefault="00D972BC">
            <w:pPr>
              <w:textAlignment w:val="bottom"/>
            </w:pPr>
            <w:r>
              <w:rPr>
                <w:rFonts w:ascii="Arial" w:eastAsia="宋体" w:hAnsi="Arial" w:cs="Arial"/>
                <w:color w:val="000000"/>
                <w:sz w:val="18"/>
                <w:szCs w:val="18"/>
              </w:rPr>
              <w:t>Total lease payments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CED2" w14:textId="77777777" w:rsidR="002661BA" w:rsidRDefault="00D972BC">
            <w:pPr>
              <w:jc w:val="right"/>
              <w:textAlignment w:val="bottom"/>
            </w:pPr>
            <w:r>
              <w:rPr>
                <w:rFonts w:ascii="Arial" w:eastAsia="宋体" w:hAnsi="Arial" w:cs="Arial"/>
                <w:color w:val="000000"/>
                <w:sz w:val="18"/>
                <w:szCs w:val="18"/>
              </w:rPr>
              <w:t>366 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CED3" w14:textId="77777777" w:rsidR="002661BA" w:rsidRDefault="002661BA">
            <w:pPr>
              <w:jc w:val="right"/>
              <w:rPr>
                <w:rFonts w:ascii="宋体"/>
              </w:rPr>
            </w:pPr>
          </w:p>
        </w:tc>
        <w:tc>
          <w:tcPr>
            <w:tcW w:w="0" w:type="auto"/>
            <w:shd w:val="clear" w:color="auto" w:fill="auto"/>
            <w:vAlign w:val="bottom"/>
          </w:tcPr>
          <w:p w14:paraId="22CFCED4" w14:textId="77777777" w:rsidR="002661BA" w:rsidRDefault="002661BA">
            <w:pPr>
              <w:rPr>
                <w:rFonts w:ascii="宋体"/>
                <w:vanish/>
              </w:rPr>
            </w:pPr>
          </w:p>
        </w:tc>
        <w:tc>
          <w:tcPr>
            <w:tcW w:w="0" w:type="auto"/>
            <w:shd w:val="clear" w:color="auto" w:fill="auto"/>
            <w:vAlign w:val="bottom"/>
          </w:tcPr>
          <w:p w14:paraId="22CFCED5" w14:textId="77777777" w:rsidR="002661BA" w:rsidRDefault="002661BA">
            <w:pPr>
              <w:rPr>
                <w:rFonts w:ascii="宋体"/>
                <w:vanish/>
              </w:rPr>
            </w:pPr>
          </w:p>
        </w:tc>
      </w:tr>
      <w:tr w:rsidR="002661BA" w14:paraId="22CFCEDC" w14:textId="77777777">
        <w:tc>
          <w:tcPr>
            <w:tcW w:w="0" w:type="auto"/>
            <w:gridSpan w:val="3"/>
            <w:shd w:val="clear" w:color="auto" w:fill="FFFFFF"/>
            <w:tcMar>
              <w:top w:w="40" w:type="dxa"/>
              <w:left w:w="20" w:type="dxa"/>
              <w:bottom w:w="40" w:type="dxa"/>
              <w:right w:w="20" w:type="dxa"/>
            </w:tcMar>
            <w:vAlign w:val="bottom"/>
          </w:tcPr>
          <w:p w14:paraId="22CFCED7" w14:textId="77777777" w:rsidR="002661BA" w:rsidRDefault="00D972BC">
            <w:pPr>
              <w:textAlignment w:val="bottom"/>
            </w:pPr>
            <w:r>
              <w:rPr>
                <w:rFonts w:ascii="Arial" w:eastAsia="宋体" w:hAnsi="Arial" w:cs="Arial"/>
                <w:color w:val="000000"/>
                <w:sz w:val="18"/>
                <w:szCs w:val="18"/>
              </w:rPr>
              <w:t xml:space="preserve">Less </w:t>
            </w:r>
            <w:r>
              <w:rPr>
                <w:rFonts w:ascii="Arial" w:eastAsia="宋体" w:hAnsi="Arial" w:cs="Arial"/>
                <w:color w:val="000000"/>
                <w:sz w:val="18"/>
                <w:szCs w:val="18"/>
              </w:rPr>
              <w:t>interest</w:t>
            </w:r>
          </w:p>
        </w:tc>
        <w:tc>
          <w:tcPr>
            <w:tcW w:w="0" w:type="auto"/>
            <w:gridSpan w:val="2"/>
            <w:shd w:val="clear" w:color="auto" w:fill="FFFFFF"/>
            <w:tcMar>
              <w:top w:w="40" w:type="dxa"/>
              <w:left w:w="20" w:type="dxa"/>
              <w:bottom w:w="40" w:type="dxa"/>
              <w:right w:w="0" w:type="dxa"/>
            </w:tcMar>
            <w:vAlign w:val="bottom"/>
          </w:tcPr>
          <w:p w14:paraId="22CFCED8" w14:textId="77777777" w:rsidR="002661BA" w:rsidRDefault="00D972BC">
            <w:pPr>
              <w:jc w:val="right"/>
              <w:textAlignment w:val="bottom"/>
            </w:pPr>
            <w:r>
              <w:rPr>
                <w:rFonts w:ascii="Arial" w:eastAsia="宋体" w:hAnsi="Arial" w:cs="Arial"/>
                <w:color w:val="000000"/>
                <w:sz w:val="18"/>
                <w:szCs w:val="18"/>
              </w:rPr>
              <w:t>(16)</w:t>
            </w:r>
          </w:p>
        </w:tc>
        <w:tc>
          <w:tcPr>
            <w:tcW w:w="0" w:type="auto"/>
            <w:shd w:val="clear" w:color="auto" w:fill="FFFFFF"/>
            <w:tcMar>
              <w:top w:w="40" w:type="dxa"/>
              <w:left w:w="0" w:type="dxa"/>
              <w:bottom w:w="40" w:type="dxa"/>
              <w:right w:w="20" w:type="dxa"/>
            </w:tcMar>
            <w:vAlign w:val="bottom"/>
          </w:tcPr>
          <w:p w14:paraId="22CFCED9" w14:textId="77777777" w:rsidR="002661BA" w:rsidRDefault="002661BA">
            <w:pPr>
              <w:jc w:val="right"/>
              <w:rPr>
                <w:rFonts w:ascii="宋体"/>
              </w:rPr>
            </w:pPr>
          </w:p>
        </w:tc>
        <w:tc>
          <w:tcPr>
            <w:tcW w:w="0" w:type="auto"/>
            <w:shd w:val="clear" w:color="auto" w:fill="auto"/>
            <w:vAlign w:val="bottom"/>
          </w:tcPr>
          <w:p w14:paraId="22CFCEDA" w14:textId="77777777" w:rsidR="002661BA" w:rsidRDefault="002661BA">
            <w:pPr>
              <w:rPr>
                <w:rFonts w:ascii="宋体"/>
                <w:vanish/>
              </w:rPr>
            </w:pPr>
          </w:p>
        </w:tc>
        <w:tc>
          <w:tcPr>
            <w:tcW w:w="0" w:type="auto"/>
            <w:shd w:val="clear" w:color="auto" w:fill="auto"/>
            <w:vAlign w:val="bottom"/>
          </w:tcPr>
          <w:p w14:paraId="22CFCEDB" w14:textId="77777777" w:rsidR="002661BA" w:rsidRDefault="002661BA">
            <w:pPr>
              <w:rPr>
                <w:rFonts w:ascii="宋体"/>
                <w:vanish/>
              </w:rPr>
            </w:pPr>
          </w:p>
        </w:tc>
      </w:tr>
      <w:tr w:rsidR="002661BA" w14:paraId="22CFCEE3" w14:textId="77777777">
        <w:tc>
          <w:tcPr>
            <w:tcW w:w="0" w:type="auto"/>
            <w:gridSpan w:val="3"/>
            <w:shd w:val="clear" w:color="auto" w:fill="E2E2E2"/>
            <w:tcMar>
              <w:top w:w="40" w:type="dxa"/>
              <w:left w:w="245" w:type="dxa"/>
              <w:bottom w:w="40" w:type="dxa"/>
              <w:right w:w="20" w:type="dxa"/>
            </w:tcMar>
            <w:vAlign w:val="bottom"/>
          </w:tcPr>
          <w:p w14:paraId="22CFCEDD" w14:textId="77777777" w:rsidR="002661BA" w:rsidRDefault="00D972BC">
            <w:pPr>
              <w:textAlignment w:val="bottom"/>
            </w:pPr>
            <w:r>
              <w:rPr>
                <w:rFonts w:ascii="Arial" w:eastAsia="宋体" w:hAnsi="Arial" w:cs="Arial"/>
                <w:color w:val="000000"/>
                <w:sz w:val="18"/>
                <w:szCs w:val="18"/>
              </w:rPr>
              <w:t>Present value of lease liabilities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CEDE"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CEDF" w14:textId="77777777" w:rsidR="002661BA" w:rsidRDefault="00D972BC">
            <w:pPr>
              <w:jc w:val="right"/>
              <w:textAlignment w:val="bottom"/>
            </w:pPr>
            <w:r>
              <w:rPr>
                <w:rFonts w:ascii="Arial" w:eastAsia="宋体" w:hAnsi="Arial" w:cs="Arial"/>
                <w:color w:val="000000"/>
                <w:sz w:val="18"/>
                <w:szCs w:val="18"/>
              </w:rPr>
              <w:t>350 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CEE0" w14:textId="77777777" w:rsidR="002661BA" w:rsidRDefault="002661BA">
            <w:pPr>
              <w:jc w:val="right"/>
              <w:rPr>
                <w:rFonts w:ascii="宋体"/>
              </w:rPr>
            </w:pPr>
          </w:p>
        </w:tc>
        <w:tc>
          <w:tcPr>
            <w:tcW w:w="0" w:type="auto"/>
            <w:shd w:val="clear" w:color="auto" w:fill="auto"/>
            <w:vAlign w:val="bottom"/>
          </w:tcPr>
          <w:p w14:paraId="22CFCEE1" w14:textId="77777777" w:rsidR="002661BA" w:rsidRDefault="002661BA">
            <w:pPr>
              <w:rPr>
                <w:rFonts w:ascii="宋体"/>
                <w:vanish/>
              </w:rPr>
            </w:pPr>
          </w:p>
        </w:tc>
        <w:tc>
          <w:tcPr>
            <w:tcW w:w="0" w:type="auto"/>
            <w:shd w:val="clear" w:color="auto" w:fill="auto"/>
            <w:vAlign w:val="bottom"/>
          </w:tcPr>
          <w:p w14:paraId="22CFCEE2" w14:textId="77777777" w:rsidR="002661BA" w:rsidRDefault="002661BA">
            <w:pPr>
              <w:rPr>
                <w:rFonts w:ascii="宋体"/>
                <w:vanish/>
              </w:rPr>
            </w:pPr>
          </w:p>
        </w:tc>
      </w:tr>
    </w:tbl>
    <w:p w14:paraId="22CFCEE4" w14:textId="77777777" w:rsidR="002661BA" w:rsidRDefault="002661BA">
      <w:pPr>
        <w:ind w:firstLine="540"/>
        <w:jc w:val="both"/>
      </w:pPr>
    </w:p>
    <w:p w14:paraId="22CFCEE5" w14:textId="77777777" w:rsidR="002661BA" w:rsidRDefault="002661BA">
      <w:pPr>
        <w:ind w:firstLine="540"/>
        <w:jc w:val="both"/>
      </w:pPr>
    </w:p>
    <w:p w14:paraId="22CFCEE6" w14:textId="77777777" w:rsidR="002661BA" w:rsidRDefault="00D972BC">
      <w:pPr>
        <w:ind w:firstLine="540"/>
        <w:jc w:val="both"/>
      </w:pPr>
      <w:r>
        <w:rPr>
          <w:rFonts w:ascii="Arial" w:eastAsia="宋体" w:hAnsi="Arial" w:cs="Arial"/>
          <w:color w:val="000000"/>
          <w:sz w:val="20"/>
          <w:szCs w:val="20"/>
        </w:rPr>
        <w:t xml:space="preserve">Rent expense for the years ended December 31, 2021, 2020 and 2019 totaled $192 million, $176 million and $179 million, respectively. Rent expense includes operating lease costs as well as </w:t>
      </w:r>
      <w:r>
        <w:rPr>
          <w:rFonts w:ascii="Arial" w:eastAsia="宋体" w:hAnsi="Arial" w:cs="Arial"/>
          <w:color w:val="000000"/>
          <w:sz w:val="20"/>
          <w:szCs w:val="20"/>
        </w:rPr>
        <w:t>expense for non-lease components such as common area maintenance.</w:t>
      </w:r>
    </w:p>
    <w:p w14:paraId="22CFCEE7" w14:textId="77777777" w:rsidR="002661BA" w:rsidRDefault="002661BA">
      <w:pPr>
        <w:ind w:firstLine="540"/>
        <w:jc w:val="both"/>
      </w:pPr>
    </w:p>
    <w:p w14:paraId="22CFCEE8" w14:textId="77777777" w:rsidR="002661BA" w:rsidRDefault="00D972BC">
      <w:pPr>
        <w:jc w:val="center"/>
      </w:pPr>
      <w:r>
        <w:rPr>
          <w:rFonts w:ascii="Arial" w:eastAsia="宋体" w:hAnsi="Arial" w:cs="Arial"/>
          <w:color w:val="000000"/>
          <w:sz w:val="18"/>
          <w:szCs w:val="18"/>
        </w:rPr>
        <w:t>99</w:t>
      </w:r>
    </w:p>
    <w:p w14:paraId="22CFCEE9" w14:textId="77777777" w:rsidR="002661BA" w:rsidRDefault="00D972BC">
      <w:r>
        <w:pict w14:anchorId="22CFE514">
          <v:rect id="_x0000_i1123" style="width:415.3pt;height:1.5pt" o:hralign="center" o:hrstd="t" o:hr="t" fillcolor="#a0a0a0" stroked="f"/>
        </w:pict>
      </w:r>
    </w:p>
    <w:p w14:paraId="22CFCEEA" w14:textId="77777777" w:rsidR="002661BA" w:rsidRDefault="00D972BC">
      <w:hyperlink r:id="rId134" w:anchor="id0d7a71b05ce452ea9fdb54f3cb359c7_7" w:history="1">
        <w:r>
          <w:rPr>
            <w:rStyle w:val="a5"/>
            <w:rFonts w:ascii="Arial" w:eastAsia="宋体" w:hAnsi="Arial" w:cs="Arial"/>
            <w:sz w:val="18"/>
            <w:szCs w:val="18"/>
          </w:rPr>
          <w:t>Table of Contents</w:t>
        </w:r>
      </w:hyperlink>
    </w:p>
    <w:p w14:paraId="22CFCEEB" w14:textId="77777777" w:rsidR="002661BA" w:rsidRDefault="00D972BC">
      <w:pPr>
        <w:jc w:val="center"/>
      </w:pPr>
      <w:r>
        <w:rPr>
          <w:rFonts w:ascii="Arial" w:eastAsia="宋体" w:hAnsi="Arial" w:cs="Arial"/>
          <w:b/>
          <w:bCs/>
          <w:color w:val="000000"/>
          <w:sz w:val="20"/>
          <w:szCs w:val="20"/>
        </w:rPr>
        <w:t>eBay Inc.</w:t>
      </w:r>
    </w:p>
    <w:p w14:paraId="22CFCEEC"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EED" w14:textId="77777777" w:rsidR="002661BA" w:rsidRDefault="00D972BC">
      <w:pPr>
        <w:spacing w:after="120"/>
        <w:ind w:firstLine="540"/>
        <w:jc w:val="both"/>
      </w:pPr>
      <w:r>
        <w:rPr>
          <w:rFonts w:ascii="Arial" w:eastAsia="宋体" w:hAnsi="Arial" w:cs="Arial"/>
          <w:color w:val="000000"/>
          <w:sz w:val="20"/>
          <w:szCs w:val="20"/>
        </w:rPr>
        <w:t>The following table presents supplemental information related to our leases included in the consolidated balance sheet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5909"/>
        <w:gridCol w:w="36"/>
        <w:gridCol w:w="36"/>
        <w:gridCol w:w="36"/>
        <w:gridCol w:w="36"/>
        <w:gridCol w:w="37"/>
        <w:gridCol w:w="849"/>
        <w:gridCol w:w="182"/>
        <w:gridCol w:w="36"/>
        <w:gridCol w:w="36"/>
        <w:gridCol w:w="36"/>
        <w:gridCol w:w="36"/>
        <w:gridCol w:w="853"/>
        <w:gridCol w:w="181"/>
      </w:tblGrid>
      <w:tr w:rsidR="002661BA" w14:paraId="22CFCEFD" w14:textId="77777777">
        <w:tc>
          <w:tcPr>
            <w:tcW w:w="50" w:type="pct"/>
            <w:shd w:val="clear" w:color="auto" w:fill="auto"/>
            <w:vAlign w:val="bottom"/>
          </w:tcPr>
          <w:p w14:paraId="22CFCEEE" w14:textId="77777777" w:rsidR="002661BA" w:rsidRDefault="002661BA">
            <w:pPr>
              <w:rPr>
                <w:rFonts w:ascii="宋体"/>
              </w:rPr>
            </w:pPr>
          </w:p>
        </w:tc>
        <w:tc>
          <w:tcPr>
            <w:tcW w:w="3614" w:type="pct"/>
            <w:shd w:val="clear" w:color="auto" w:fill="auto"/>
            <w:vAlign w:val="bottom"/>
          </w:tcPr>
          <w:p w14:paraId="22CFCEEF" w14:textId="77777777" w:rsidR="002661BA" w:rsidRDefault="002661BA">
            <w:pPr>
              <w:rPr>
                <w:rFonts w:ascii="宋体"/>
              </w:rPr>
            </w:pPr>
          </w:p>
        </w:tc>
        <w:tc>
          <w:tcPr>
            <w:tcW w:w="5" w:type="pct"/>
            <w:shd w:val="clear" w:color="auto" w:fill="auto"/>
            <w:vAlign w:val="bottom"/>
          </w:tcPr>
          <w:p w14:paraId="22CFCEF0" w14:textId="77777777" w:rsidR="002661BA" w:rsidRDefault="002661BA">
            <w:pPr>
              <w:rPr>
                <w:rFonts w:ascii="宋体"/>
              </w:rPr>
            </w:pPr>
          </w:p>
        </w:tc>
        <w:tc>
          <w:tcPr>
            <w:tcW w:w="5" w:type="pct"/>
            <w:shd w:val="clear" w:color="auto" w:fill="auto"/>
            <w:vAlign w:val="bottom"/>
          </w:tcPr>
          <w:p w14:paraId="22CFCEF1" w14:textId="77777777" w:rsidR="002661BA" w:rsidRDefault="002661BA">
            <w:pPr>
              <w:rPr>
                <w:rFonts w:ascii="宋体"/>
              </w:rPr>
            </w:pPr>
          </w:p>
        </w:tc>
        <w:tc>
          <w:tcPr>
            <w:tcW w:w="19" w:type="pct"/>
            <w:shd w:val="clear" w:color="auto" w:fill="auto"/>
            <w:vAlign w:val="bottom"/>
          </w:tcPr>
          <w:p w14:paraId="22CFCEF2" w14:textId="77777777" w:rsidR="002661BA" w:rsidRDefault="002661BA">
            <w:pPr>
              <w:rPr>
                <w:rFonts w:ascii="宋体"/>
              </w:rPr>
            </w:pPr>
          </w:p>
        </w:tc>
        <w:tc>
          <w:tcPr>
            <w:tcW w:w="5" w:type="pct"/>
            <w:shd w:val="clear" w:color="auto" w:fill="auto"/>
            <w:vAlign w:val="bottom"/>
          </w:tcPr>
          <w:p w14:paraId="22CFCEF3" w14:textId="77777777" w:rsidR="002661BA" w:rsidRDefault="002661BA">
            <w:pPr>
              <w:rPr>
                <w:rFonts w:ascii="宋体"/>
              </w:rPr>
            </w:pPr>
          </w:p>
        </w:tc>
        <w:tc>
          <w:tcPr>
            <w:tcW w:w="50" w:type="pct"/>
            <w:shd w:val="clear" w:color="auto" w:fill="auto"/>
            <w:vAlign w:val="bottom"/>
          </w:tcPr>
          <w:p w14:paraId="22CFCEF4" w14:textId="77777777" w:rsidR="002661BA" w:rsidRDefault="002661BA">
            <w:pPr>
              <w:rPr>
                <w:rFonts w:ascii="宋体"/>
              </w:rPr>
            </w:pPr>
          </w:p>
        </w:tc>
        <w:tc>
          <w:tcPr>
            <w:tcW w:w="580" w:type="pct"/>
            <w:shd w:val="clear" w:color="auto" w:fill="auto"/>
            <w:vAlign w:val="bottom"/>
          </w:tcPr>
          <w:p w14:paraId="22CFCEF5" w14:textId="77777777" w:rsidR="002661BA" w:rsidRDefault="002661BA">
            <w:pPr>
              <w:rPr>
                <w:rFonts w:ascii="宋体"/>
              </w:rPr>
            </w:pPr>
          </w:p>
        </w:tc>
        <w:tc>
          <w:tcPr>
            <w:tcW w:w="5" w:type="pct"/>
            <w:shd w:val="clear" w:color="auto" w:fill="auto"/>
            <w:vAlign w:val="bottom"/>
          </w:tcPr>
          <w:p w14:paraId="22CFCEF6" w14:textId="77777777" w:rsidR="002661BA" w:rsidRDefault="002661BA">
            <w:pPr>
              <w:rPr>
                <w:rFonts w:ascii="宋体"/>
              </w:rPr>
            </w:pPr>
          </w:p>
        </w:tc>
        <w:tc>
          <w:tcPr>
            <w:tcW w:w="5" w:type="pct"/>
            <w:shd w:val="clear" w:color="auto" w:fill="auto"/>
            <w:vAlign w:val="bottom"/>
          </w:tcPr>
          <w:p w14:paraId="22CFCEF7" w14:textId="77777777" w:rsidR="002661BA" w:rsidRDefault="002661BA">
            <w:pPr>
              <w:rPr>
                <w:rFonts w:ascii="宋体"/>
              </w:rPr>
            </w:pPr>
          </w:p>
        </w:tc>
        <w:tc>
          <w:tcPr>
            <w:tcW w:w="19" w:type="pct"/>
            <w:shd w:val="clear" w:color="auto" w:fill="auto"/>
            <w:vAlign w:val="bottom"/>
          </w:tcPr>
          <w:p w14:paraId="22CFCEF8" w14:textId="77777777" w:rsidR="002661BA" w:rsidRDefault="002661BA">
            <w:pPr>
              <w:rPr>
                <w:rFonts w:ascii="宋体"/>
              </w:rPr>
            </w:pPr>
          </w:p>
        </w:tc>
        <w:tc>
          <w:tcPr>
            <w:tcW w:w="5" w:type="pct"/>
            <w:shd w:val="clear" w:color="auto" w:fill="auto"/>
            <w:vAlign w:val="bottom"/>
          </w:tcPr>
          <w:p w14:paraId="22CFCEF9" w14:textId="77777777" w:rsidR="002661BA" w:rsidRDefault="002661BA">
            <w:pPr>
              <w:rPr>
                <w:rFonts w:ascii="宋体"/>
              </w:rPr>
            </w:pPr>
          </w:p>
        </w:tc>
        <w:tc>
          <w:tcPr>
            <w:tcW w:w="50" w:type="pct"/>
            <w:shd w:val="clear" w:color="auto" w:fill="auto"/>
            <w:vAlign w:val="bottom"/>
          </w:tcPr>
          <w:p w14:paraId="22CFCEFA" w14:textId="77777777" w:rsidR="002661BA" w:rsidRDefault="002661BA">
            <w:pPr>
              <w:rPr>
                <w:rFonts w:ascii="宋体"/>
              </w:rPr>
            </w:pPr>
          </w:p>
        </w:tc>
        <w:tc>
          <w:tcPr>
            <w:tcW w:w="581" w:type="pct"/>
            <w:shd w:val="clear" w:color="auto" w:fill="auto"/>
            <w:vAlign w:val="bottom"/>
          </w:tcPr>
          <w:p w14:paraId="22CFCEFB" w14:textId="77777777" w:rsidR="002661BA" w:rsidRDefault="002661BA">
            <w:pPr>
              <w:rPr>
                <w:rFonts w:ascii="宋体"/>
              </w:rPr>
            </w:pPr>
          </w:p>
        </w:tc>
        <w:tc>
          <w:tcPr>
            <w:tcW w:w="5" w:type="pct"/>
            <w:shd w:val="clear" w:color="auto" w:fill="auto"/>
            <w:vAlign w:val="bottom"/>
          </w:tcPr>
          <w:p w14:paraId="22CFCEFC" w14:textId="77777777" w:rsidR="002661BA" w:rsidRDefault="002661BA">
            <w:pPr>
              <w:rPr>
                <w:rFonts w:ascii="宋体"/>
              </w:rPr>
            </w:pPr>
          </w:p>
        </w:tc>
      </w:tr>
      <w:tr w:rsidR="002661BA" w14:paraId="22CFCF01" w14:textId="77777777">
        <w:tc>
          <w:tcPr>
            <w:tcW w:w="0" w:type="auto"/>
            <w:gridSpan w:val="3"/>
            <w:shd w:val="clear" w:color="auto" w:fill="auto"/>
            <w:tcMar>
              <w:top w:w="0" w:type="dxa"/>
              <w:left w:w="20" w:type="dxa"/>
              <w:bottom w:w="0" w:type="dxa"/>
              <w:right w:w="20" w:type="dxa"/>
            </w:tcMar>
            <w:vAlign w:val="bottom"/>
          </w:tcPr>
          <w:p w14:paraId="22CFCEF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CEFF"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CF00" w14:textId="77777777" w:rsidR="002661BA" w:rsidRDefault="00D972BC">
            <w:pPr>
              <w:jc w:val="center"/>
              <w:textAlignment w:val="bottom"/>
            </w:pPr>
            <w:r>
              <w:rPr>
                <w:rFonts w:ascii="Arial" w:eastAsia="宋体" w:hAnsi="Arial" w:cs="Arial"/>
                <w:b/>
                <w:bCs/>
                <w:color w:val="000000"/>
                <w:sz w:val="17"/>
                <w:szCs w:val="17"/>
              </w:rPr>
              <w:t>December 31,</w:t>
            </w:r>
          </w:p>
        </w:tc>
      </w:tr>
      <w:tr w:rsidR="002661BA" w14:paraId="22CFCF07" w14:textId="77777777">
        <w:tc>
          <w:tcPr>
            <w:tcW w:w="0" w:type="auto"/>
            <w:gridSpan w:val="3"/>
            <w:shd w:val="clear" w:color="auto" w:fill="auto"/>
            <w:tcMar>
              <w:top w:w="0" w:type="dxa"/>
              <w:left w:w="20" w:type="dxa"/>
              <w:bottom w:w="0" w:type="dxa"/>
              <w:right w:w="20" w:type="dxa"/>
            </w:tcMar>
            <w:vAlign w:val="bottom"/>
          </w:tcPr>
          <w:p w14:paraId="22CFCF0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CF03"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F04"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F05"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F06" w14:textId="77777777" w:rsidR="002661BA" w:rsidRDefault="00D972BC">
            <w:pPr>
              <w:jc w:val="center"/>
              <w:textAlignment w:val="bottom"/>
            </w:pPr>
            <w:r>
              <w:rPr>
                <w:rFonts w:ascii="Arial" w:eastAsia="宋体" w:hAnsi="Arial" w:cs="Arial"/>
                <w:b/>
                <w:bCs/>
                <w:color w:val="000000"/>
                <w:sz w:val="17"/>
                <w:szCs w:val="17"/>
              </w:rPr>
              <w:t>2020</w:t>
            </w:r>
          </w:p>
        </w:tc>
      </w:tr>
      <w:tr w:rsidR="002661BA" w14:paraId="22CFCF0D" w14:textId="77777777">
        <w:tc>
          <w:tcPr>
            <w:tcW w:w="0" w:type="auto"/>
            <w:gridSpan w:val="3"/>
            <w:shd w:val="clear" w:color="auto" w:fill="DBDBDB"/>
            <w:tcMar>
              <w:top w:w="40" w:type="dxa"/>
              <w:left w:w="20" w:type="dxa"/>
              <w:bottom w:w="40" w:type="dxa"/>
              <w:right w:w="20" w:type="dxa"/>
            </w:tcMar>
            <w:vAlign w:val="bottom"/>
          </w:tcPr>
          <w:p w14:paraId="22CFCF08" w14:textId="77777777" w:rsidR="002661BA" w:rsidRDefault="00D972BC">
            <w:pPr>
              <w:textAlignment w:val="bottom"/>
            </w:pPr>
            <w:r>
              <w:rPr>
                <w:rFonts w:ascii="Arial" w:eastAsia="宋体" w:hAnsi="Arial" w:cs="Arial"/>
                <w:b/>
                <w:bCs/>
                <w:color w:val="000000"/>
                <w:sz w:val="18"/>
                <w:szCs w:val="18"/>
              </w:rPr>
              <w:t>Weighted average remaining lease term</w:t>
            </w:r>
          </w:p>
        </w:tc>
        <w:tc>
          <w:tcPr>
            <w:tcW w:w="0" w:type="auto"/>
            <w:gridSpan w:val="3"/>
            <w:shd w:val="clear" w:color="auto" w:fill="DBDBDB"/>
            <w:tcMar>
              <w:top w:w="0" w:type="dxa"/>
              <w:left w:w="20" w:type="dxa"/>
              <w:bottom w:w="0" w:type="dxa"/>
              <w:right w:w="20" w:type="dxa"/>
            </w:tcMar>
            <w:vAlign w:val="bottom"/>
          </w:tcPr>
          <w:p w14:paraId="22CFCF09" w14:textId="77777777" w:rsidR="002661BA" w:rsidRDefault="002661BA">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22CFCF0A"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F0B" w14:textId="77777777" w:rsidR="002661BA" w:rsidRDefault="002661BA">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22CFCF0C" w14:textId="77777777" w:rsidR="002661BA" w:rsidRDefault="002661BA">
            <w:pPr>
              <w:rPr>
                <w:rFonts w:ascii="宋体"/>
              </w:rPr>
            </w:pPr>
          </w:p>
        </w:tc>
      </w:tr>
      <w:tr w:rsidR="002661BA" w14:paraId="22CFCF13" w14:textId="77777777">
        <w:tc>
          <w:tcPr>
            <w:tcW w:w="0" w:type="auto"/>
            <w:gridSpan w:val="3"/>
            <w:shd w:val="clear" w:color="auto" w:fill="FFFFFF"/>
            <w:tcMar>
              <w:top w:w="40" w:type="dxa"/>
              <w:left w:w="20" w:type="dxa"/>
              <w:bottom w:w="40" w:type="dxa"/>
              <w:right w:w="20" w:type="dxa"/>
            </w:tcMar>
            <w:vAlign w:val="bottom"/>
          </w:tcPr>
          <w:p w14:paraId="22CFCF0E" w14:textId="77777777" w:rsidR="002661BA" w:rsidRDefault="00D972BC">
            <w:pPr>
              <w:textAlignment w:val="bottom"/>
            </w:pPr>
            <w:r>
              <w:rPr>
                <w:rFonts w:ascii="Arial" w:eastAsia="宋体" w:hAnsi="Arial" w:cs="Arial"/>
                <w:color w:val="000000"/>
                <w:sz w:val="18"/>
                <w:szCs w:val="18"/>
              </w:rPr>
              <w:t>Operating leases</w:t>
            </w:r>
          </w:p>
        </w:tc>
        <w:tc>
          <w:tcPr>
            <w:tcW w:w="0" w:type="auto"/>
            <w:gridSpan w:val="3"/>
            <w:shd w:val="clear" w:color="auto" w:fill="FFFFFF"/>
            <w:tcMar>
              <w:top w:w="0" w:type="dxa"/>
              <w:left w:w="20" w:type="dxa"/>
              <w:bottom w:w="0" w:type="dxa"/>
              <w:right w:w="20" w:type="dxa"/>
            </w:tcMar>
            <w:vAlign w:val="bottom"/>
          </w:tcPr>
          <w:p w14:paraId="22CFCF0F"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CF10" w14:textId="77777777" w:rsidR="002661BA" w:rsidRDefault="00D972BC">
            <w:pPr>
              <w:jc w:val="right"/>
              <w:textAlignment w:val="bottom"/>
            </w:pPr>
            <w:r>
              <w:rPr>
                <w:rFonts w:ascii="Arial" w:eastAsia="宋体" w:hAnsi="Arial" w:cs="Arial"/>
                <w:color w:val="000000"/>
                <w:sz w:val="18"/>
                <w:szCs w:val="18"/>
              </w:rPr>
              <w:t>3.11 years</w:t>
            </w:r>
          </w:p>
        </w:tc>
        <w:tc>
          <w:tcPr>
            <w:tcW w:w="0" w:type="auto"/>
            <w:gridSpan w:val="3"/>
            <w:shd w:val="clear" w:color="auto" w:fill="FFFFFF"/>
            <w:tcMar>
              <w:top w:w="0" w:type="dxa"/>
              <w:left w:w="20" w:type="dxa"/>
              <w:bottom w:w="0" w:type="dxa"/>
              <w:right w:w="20" w:type="dxa"/>
            </w:tcMar>
            <w:vAlign w:val="bottom"/>
          </w:tcPr>
          <w:p w14:paraId="22CFCF11"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CF12" w14:textId="77777777" w:rsidR="002661BA" w:rsidRDefault="00D972BC">
            <w:pPr>
              <w:jc w:val="right"/>
              <w:textAlignment w:val="bottom"/>
            </w:pPr>
            <w:r>
              <w:rPr>
                <w:rFonts w:ascii="Arial" w:eastAsia="宋体" w:hAnsi="Arial" w:cs="Arial"/>
                <w:color w:val="000000"/>
                <w:sz w:val="18"/>
                <w:szCs w:val="18"/>
              </w:rPr>
              <w:t>3.74 years</w:t>
            </w:r>
          </w:p>
        </w:tc>
      </w:tr>
      <w:tr w:rsidR="002661BA" w14:paraId="22CFCF19" w14:textId="77777777">
        <w:trPr>
          <w:trHeight w:val="280"/>
        </w:trPr>
        <w:tc>
          <w:tcPr>
            <w:tcW w:w="0" w:type="auto"/>
            <w:gridSpan w:val="3"/>
            <w:shd w:val="clear" w:color="auto" w:fill="DBDBDB"/>
            <w:tcMar>
              <w:top w:w="0" w:type="dxa"/>
              <w:left w:w="20" w:type="dxa"/>
              <w:bottom w:w="0" w:type="dxa"/>
              <w:right w:w="20" w:type="dxa"/>
            </w:tcMar>
            <w:vAlign w:val="bottom"/>
          </w:tcPr>
          <w:p w14:paraId="22CFCF14"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F15"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F16"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F17"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F18" w14:textId="77777777" w:rsidR="002661BA" w:rsidRDefault="002661BA">
            <w:pPr>
              <w:rPr>
                <w:rFonts w:ascii="宋体"/>
              </w:rPr>
            </w:pPr>
          </w:p>
        </w:tc>
      </w:tr>
      <w:tr w:rsidR="002661BA" w14:paraId="22CFCF1F" w14:textId="77777777">
        <w:tc>
          <w:tcPr>
            <w:tcW w:w="0" w:type="auto"/>
            <w:gridSpan w:val="3"/>
            <w:shd w:val="clear" w:color="auto" w:fill="FFFFFF"/>
            <w:tcMar>
              <w:top w:w="40" w:type="dxa"/>
              <w:left w:w="20" w:type="dxa"/>
              <w:bottom w:w="40" w:type="dxa"/>
              <w:right w:w="20" w:type="dxa"/>
            </w:tcMar>
            <w:vAlign w:val="bottom"/>
          </w:tcPr>
          <w:p w14:paraId="22CFCF1A" w14:textId="77777777" w:rsidR="002661BA" w:rsidRDefault="00D972BC">
            <w:pPr>
              <w:textAlignment w:val="bottom"/>
            </w:pPr>
            <w:r>
              <w:rPr>
                <w:rFonts w:ascii="Arial" w:eastAsia="宋体" w:hAnsi="Arial" w:cs="Arial"/>
                <w:b/>
                <w:bCs/>
                <w:color w:val="000000"/>
                <w:sz w:val="18"/>
                <w:szCs w:val="18"/>
              </w:rPr>
              <w:t>Weighted average discount rate</w:t>
            </w:r>
          </w:p>
        </w:tc>
        <w:tc>
          <w:tcPr>
            <w:tcW w:w="0" w:type="auto"/>
            <w:gridSpan w:val="3"/>
            <w:shd w:val="clear" w:color="auto" w:fill="FFFFFF"/>
            <w:tcMar>
              <w:top w:w="0" w:type="dxa"/>
              <w:left w:w="20" w:type="dxa"/>
              <w:bottom w:w="0" w:type="dxa"/>
              <w:right w:w="20" w:type="dxa"/>
            </w:tcMar>
            <w:vAlign w:val="bottom"/>
          </w:tcPr>
          <w:p w14:paraId="22CFCF1B"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F1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F1D"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F1E" w14:textId="77777777" w:rsidR="002661BA" w:rsidRDefault="002661BA">
            <w:pPr>
              <w:rPr>
                <w:rFonts w:ascii="宋体"/>
              </w:rPr>
            </w:pPr>
          </w:p>
        </w:tc>
      </w:tr>
      <w:tr w:rsidR="002661BA" w14:paraId="22CFCF27" w14:textId="77777777">
        <w:tc>
          <w:tcPr>
            <w:tcW w:w="0" w:type="auto"/>
            <w:gridSpan w:val="3"/>
            <w:shd w:val="clear" w:color="auto" w:fill="DBDBDB"/>
            <w:tcMar>
              <w:top w:w="40" w:type="dxa"/>
              <w:left w:w="20" w:type="dxa"/>
              <w:bottom w:w="40" w:type="dxa"/>
              <w:right w:w="20" w:type="dxa"/>
            </w:tcMar>
            <w:vAlign w:val="bottom"/>
          </w:tcPr>
          <w:p w14:paraId="22CFCF20" w14:textId="77777777" w:rsidR="002661BA" w:rsidRDefault="00D972BC">
            <w:pPr>
              <w:textAlignment w:val="bottom"/>
            </w:pPr>
            <w:r>
              <w:rPr>
                <w:rFonts w:ascii="Arial" w:eastAsia="宋体" w:hAnsi="Arial" w:cs="Arial"/>
                <w:color w:val="000000"/>
                <w:sz w:val="18"/>
                <w:szCs w:val="18"/>
              </w:rPr>
              <w:t>Operating leases</w:t>
            </w:r>
          </w:p>
        </w:tc>
        <w:tc>
          <w:tcPr>
            <w:tcW w:w="0" w:type="auto"/>
            <w:gridSpan w:val="3"/>
            <w:shd w:val="clear" w:color="auto" w:fill="DBDBDB"/>
            <w:tcMar>
              <w:top w:w="0" w:type="dxa"/>
              <w:left w:w="20" w:type="dxa"/>
              <w:bottom w:w="0" w:type="dxa"/>
              <w:right w:w="20" w:type="dxa"/>
            </w:tcMar>
            <w:vAlign w:val="bottom"/>
          </w:tcPr>
          <w:p w14:paraId="22CFCF21"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F22" w14:textId="77777777" w:rsidR="002661BA" w:rsidRDefault="00D972BC">
            <w:pPr>
              <w:jc w:val="right"/>
              <w:textAlignment w:val="bottom"/>
            </w:pPr>
            <w:r>
              <w:rPr>
                <w:rFonts w:ascii="Arial" w:eastAsia="宋体" w:hAnsi="Arial" w:cs="Arial"/>
                <w:color w:val="000000"/>
                <w:sz w:val="18"/>
                <w:szCs w:val="18"/>
              </w:rPr>
              <w:t>2.06 </w:t>
            </w:r>
          </w:p>
        </w:tc>
        <w:tc>
          <w:tcPr>
            <w:tcW w:w="0" w:type="auto"/>
            <w:shd w:val="clear" w:color="auto" w:fill="DBDBDB"/>
            <w:tcMar>
              <w:top w:w="40" w:type="dxa"/>
              <w:left w:w="0" w:type="dxa"/>
              <w:bottom w:w="40" w:type="dxa"/>
              <w:right w:w="20" w:type="dxa"/>
            </w:tcMar>
            <w:vAlign w:val="bottom"/>
          </w:tcPr>
          <w:p w14:paraId="22CFCF23" w14:textId="77777777" w:rsidR="002661BA" w:rsidRDefault="00D972BC">
            <w:pPr>
              <w:jc w:val="right"/>
              <w:textAlignment w:val="bottom"/>
            </w:pPr>
            <w:r>
              <w:rPr>
                <w:rFonts w:ascii="Arial" w:eastAsia="宋体" w:hAnsi="Arial" w:cs="Arial"/>
                <w:color w:val="000000"/>
                <w:sz w:val="18"/>
                <w:szCs w:val="18"/>
              </w:rPr>
              <w:t>%</w:t>
            </w:r>
          </w:p>
        </w:tc>
        <w:tc>
          <w:tcPr>
            <w:tcW w:w="0" w:type="auto"/>
            <w:gridSpan w:val="3"/>
            <w:shd w:val="clear" w:color="auto" w:fill="DBDBDB"/>
            <w:tcMar>
              <w:top w:w="0" w:type="dxa"/>
              <w:left w:w="20" w:type="dxa"/>
              <w:bottom w:w="0" w:type="dxa"/>
              <w:right w:w="20" w:type="dxa"/>
            </w:tcMar>
            <w:vAlign w:val="bottom"/>
          </w:tcPr>
          <w:p w14:paraId="22CFCF24" w14:textId="77777777" w:rsidR="002661BA" w:rsidRDefault="002661BA">
            <w:pPr>
              <w:rPr>
                <w:rFonts w:ascii="宋体"/>
              </w:rPr>
            </w:pPr>
          </w:p>
        </w:tc>
        <w:tc>
          <w:tcPr>
            <w:tcW w:w="0" w:type="auto"/>
            <w:gridSpan w:val="2"/>
            <w:shd w:val="clear" w:color="auto" w:fill="DBDBDB"/>
            <w:tcMar>
              <w:top w:w="40" w:type="dxa"/>
              <w:left w:w="20" w:type="dxa"/>
              <w:bottom w:w="40" w:type="dxa"/>
              <w:right w:w="0" w:type="dxa"/>
            </w:tcMar>
            <w:vAlign w:val="bottom"/>
          </w:tcPr>
          <w:p w14:paraId="22CFCF25" w14:textId="77777777" w:rsidR="002661BA" w:rsidRDefault="00D972BC">
            <w:pPr>
              <w:jc w:val="right"/>
              <w:textAlignment w:val="bottom"/>
            </w:pPr>
            <w:r>
              <w:rPr>
                <w:rFonts w:ascii="Arial" w:eastAsia="宋体" w:hAnsi="Arial" w:cs="Arial"/>
                <w:color w:val="000000"/>
                <w:sz w:val="18"/>
                <w:szCs w:val="18"/>
              </w:rPr>
              <w:t>2.04 </w:t>
            </w:r>
          </w:p>
        </w:tc>
        <w:tc>
          <w:tcPr>
            <w:tcW w:w="0" w:type="auto"/>
            <w:shd w:val="clear" w:color="auto" w:fill="DBDBDB"/>
            <w:tcMar>
              <w:top w:w="40" w:type="dxa"/>
              <w:left w:w="0" w:type="dxa"/>
              <w:bottom w:w="40" w:type="dxa"/>
              <w:right w:w="20" w:type="dxa"/>
            </w:tcMar>
            <w:vAlign w:val="bottom"/>
          </w:tcPr>
          <w:p w14:paraId="22CFCF26" w14:textId="77777777" w:rsidR="002661BA" w:rsidRDefault="00D972BC">
            <w:pPr>
              <w:jc w:val="right"/>
              <w:textAlignment w:val="bottom"/>
            </w:pPr>
            <w:r>
              <w:rPr>
                <w:rFonts w:ascii="Arial" w:eastAsia="宋体" w:hAnsi="Arial" w:cs="Arial"/>
                <w:color w:val="000000"/>
                <w:sz w:val="18"/>
                <w:szCs w:val="18"/>
              </w:rPr>
              <w:t>%</w:t>
            </w:r>
          </w:p>
        </w:tc>
      </w:tr>
    </w:tbl>
    <w:p w14:paraId="22CFCF28" w14:textId="77777777" w:rsidR="002661BA" w:rsidRDefault="002661BA">
      <w:pPr>
        <w:jc w:val="both"/>
      </w:pPr>
    </w:p>
    <w:p w14:paraId="22CFCF29" w14:textId="77777777" w:rsidR="002661BA" w:rsidRDefault="002661BA">
      <w:pPr>
        <w:jc w:val="both"/>
      </w:pPr>
    </w:p>
    <w:p w14:paraId="22CFCF2A" w14:textId="77777777" w:rsidR="002661BA" w:rsidRDefault="00D972BC">
      <w:pPr>
        <w:spacing w:after="120"/>
        <w:ind w:firstLine="540"/>
        <w:jc w:val="both"/>
      </w:pPr>
      <w:r>
        <w:rPr>
          <w:rFonts w:ascii="Arial" w:eastAsia="宋体" w:hAnsi="Arial" w:cs="Arial"/>
          <w:color w:val="000000"/>
          <w:sz w:val="20"/>
          <w:szCs w:val="20"/>
        </w:rPr>
        <w:t xml:space="preserve">The following table presents supplemental information related to our leases for the </w:t>
      </w:r>
      <w:r>
        <w:rPr>
          <w:rFonts w:ascii="Arial" w:eastAsia="宋体" w:hAnsi="Arial" w:cs="Arial"/>
          <w:color w:val="000000"/>
          <w:sz w:val="20"/>
          <w:szCs w:val="20"/>
        </w:rPr>
        <w:t>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805"/>
        <w:gridCol w:w="36"/>
        <w:gridCol w:w="36"/>
        <w:gridCol w:w="36"/>
        <w:gridCol w:w="36"/>
        <w:gridCol w:w="121"/>
        <w:gridCol w:w="887"/>
        <w:gridCol w:w="36"/>
        <w:gridCol w:w="36"/>
        <w:gridCol w:w="36"/>
        <w:gridCol w:w="36"/>
        <w:gridCol w:w="121"/>
        <w:gridCol w:w="887"/>
        <w:gridCol w:w="36"/>
        <w:gridCol w:w="36"/>
        <w:gridCol w:w="36"/>
        <w:gridCol w:w="36"/>
        <w:gridCol w:w="121"/>
        <w:gridCol w:w="889"/>
        <w:gridCol w:w="36"/>
      </w:tblGrid>
      <w:tr w:rsidR="002661BA" w14:paraId="22CFCF40" w14:textId="77777777">
        <w:tc>
          <w:tcPr>
            <w:tcW w:w="50" w:type="pct"/>
            <w:shd w:val="clear" w:color="auto" w:fill="auto"/>
            <w:vAlign w:val="bottom"/>
          </w:tcPr>
          <w:p w14:paraId="22CFCF2B" w14:textId="77777777" w:rsidR="002661BA" w:rsidRDefault="002661BA">
            <w:pPr>
              <w:rPr>
                <w:rFonts w:ascii="宋体"/>
              </w:rPr>
            </w:pPr>
          </w:p>
        </w:tc>
        <w:tc>
          <w:tcPr>
            <w:tcW w:w="2949" w:type="pct"/>
            <w:shd w:val="clear" w:color="auto" w:fill="auto"/>
            <w:vAlign w:val="bottom"/>
          </w:tcPr>
          <w:p w14:paraId="22CFCF2C" w14:textId="77777777" w:rsidR="002661BA" w:rsidRDefault="002661BA">
            <w:pPr>
              <w:rPr>
                <w:rFonts w:ascii="宋体"/>
              </w:rPr>
            </w:pPr>
          </w:p>
        </w:tc>
        <w:tc>
          <w:tcPr>
            <w:tcW w:w="5" w:type="pct"/>
            <w:shd w:val="clear" w:color="auto" w:fill="auto"/>
            <w:vAlign w:val="bottom"/>
          </w:tcPr>
          <w:p w14:paraId="22CFCF2D" w14:textId="77777777" w:rsidR="002661BA" w:rsidRDefault="002661BA">
            <w:pPr>
              <w:rPr>
                <w:rFonts w:ascii="宋体"/>
              </w:rPr>
            </w:pPr>
          </w:p>
        </w:tc>
        <w:tc>
          <w:tcPr>
            <w:tcW w:w="5" w:type="pct"/>
            <w:shd w:val="clear" w:color="auto" w:fill="auto"/>
            <w:vAlign w:val="bottom"/>
          </w:tcPr>
          <w:p w14:paraId="22CFCF2E" w14:textId="77777777" w:rsidR="002661BA" w:rsidRDefault="002661BA">
            <w:pPr>
              <w:rPr>
                <w:rFonts w:ascii="宋体"/>
              </w:rPr>
            </w:pPr>
          </w:p>
        </w:tc>
        <w:tc>
          <w:tcPr>
            <w:tcW w:w="19" w:type="pct"/>
            <w:shd w:val="clear" w:color="auto" w:fill="auto"/>
            <w:vAlign w:val="bottom"/>
          </w:tcPr>
          <w:p w14:paraId="22CFCF2F" w14:textId="77777777" w:rsidR="002661BA" w:rsidRDefault="002661BA">
            <w:pPr>
              <w:rPr>
                <w:rFonts w:ascii="宋体"/>
              </w:rPr>
            </w:pPr>
          </w:p>
        </w:tc>
        <w:tc>
          <w:tcPr>
            <w:tcW w:w="5" w:type="pct"/>
            <w:shd w:val="clear" w:color="auto" w:fill="auto"/>
            <w:vAlign w:val="bottom"/>
          </w:tcPr>
          <w:p w14:paraId="22CFCF30" w14:textId="77777777" w:rsidR="002661BA" w:rsidRDefault="002661BA">
            <w:pPr>
              <w:rPr>
                <w:rFonts w:ascii="宋体"/>
              </w:rPr>
            </w:pPr>
          </w:p>
        </w:tc>
        <w:tc>
          <w:tcPr>
            <w:tcW w:w="50" w:type="pct"/>
            <w:shd w:val="clear" w:color="auto" w:fill="auto"/>
            <w:vAlign w:val="bottom"/>
          </w:tcPr>
          <w:p w14:paraId="22CFCF31" w14:textId="77777777" w:rsidR="002661BA" w:rsidRDefault="002661BA">
            <w:pPr>
              <w:rPr>
                <w:rFonts w:ascii="宋体"/>
              </w:rPr>
            </w:pPr>
          </w:p>
        </w:tc>
        <w:tc>
          <w:tcPr>
            <w:tcW w:w="580" w:type="pct"/>
            <w:shd w:val="clear" w:color="auto" w:fill="auto"/>
            <w:vAlign w:val="bottom"/>
          </w:tcPr>
          <w:p w14:paraId="22CFCF32" w14:textId="77777777" w:rsidR="002661BA" w:rsidRDefault="002661BA">
            <w:pPr>
              <w:rPr>
                <w:rFonts w:ascii="宋体"/>
              </w:rPr>
            </w:pPr>
          </w:p>
        </w:tc>
        <w:tc>
          <w:tcPr>
            <w:tcW w:w="5" w:type="pct"/>
            <w:shd w:val="clear" w:color="auto" w:fill="auto"/>
            <w:vAlign w:val="bottom"/>
          </w:tcPr>
          <w:p w14:paraId="22CFCF33" w14:textId="77777777" w:rsidR="002661BA" w:rsidRDefault="002661BA">
            <w:pPr>
              <w:rPr>
                <w:rFonts w:ascii="宋体"/>
              </w:rPr>
            </w:pPr>
          </w:p>
        </w:tc>
        <w:tc>
          <w:tcPr>
            <w:tcW w:w="5" w:type="pct"/>
            <w:shd w:val="clear" w:color="auto" w:fill="auto"/>
            <w:vAlign w:val="bottom"/>
          </w:tcPr>
          <w:p w14:paraId="22CFCF34" w14:textId="77777777" w:rsidR="002661BA" w:rsidRDefault="002661BA">
            <w:pPr>
              <w:rPr>
                <w:rFonts w:ascii="宋体"/>
              </w:rPr>
            </w:pPr>
          </w:p>
        </w:tc>
        <w:tc>
          <w:tcPr>
            <w:tcW w:w="19" w:type="pct"/>
            <w:shd w:val="clear" w:color="auto" w:fill="auto"/>
            <w:vAlign w:val="bottom"/>
          </w:tcPr>
          <w:p w14:paraId="22CFCF35" w14:textId="77777777" w:rsidR="002661BA" w:rsidRDefault="002661BA">
            <w:pPr>
              <w:rPr>
                <w:rFonts w:ascii="宋体"/>
              </w:rPr>
            </w:pPr>
          </w:p>
        </w:tc>
        <w:tc>
          <w:tcPr>
            <w:tcW w:w="5" w:type="pct"/>
            <w:shd w:val="clear" w:color="auto" w:fill="auto"/>
            <w:vAlign w:val="bottom"/>
          </w:tcPr>
          <w:p w14:paraId="22CFCF36" w14:textId="77777777" w:rsidR="002661BA" w:rsidRDefault="002661BA">
            <w:pPr>
              <w:rPr>
                <w:rFonts w:ascii="宋体"/>
              </w:rPr>
            </w:pPr>
          </w:p>
        </w:tc>
        <w:tc>
          <w:tcPr>
            <w:tcW w:w="50" w:type="pct"/>
            <w:shd w:val="clear" w:color="auto" w:fill="auto"/>
            <w:vAlign w:val="bottom"/>
          </w:tcPr>
          <w:p w14:paraId="22CFCF37" w14:textId="77777777" w:rsidR="002661BA" w:rsidRDefault="002661BA">
            <w:pPr>
              <w:rPr>
                <w:rFonts w:ascii="宋体"/>
              </w:rPr>
            </w:pPr>
          </w:p>
        </w:tc>
        <w:tc>
          <w:tcPr>
            <w:tcW w:w="580" w:type="pct"/>
            <w:shd w:val="clear" w:color="auto" w:fill="auto"/>
            <w:vAlign w:val="bottom"/>
          </w:tcPr>
          <w:p w14:paraId="22CFCF38" w14:textId="77777777" w:rsidR="002661BA" w:rsidRDefault="002661BA">
            <w:pPr>
              <w:rPr>
                <w:rFonts w:ascii="宋体"/>
              </w:rPr>
            </w:pPr>
          </w:p>
        </w:tc>
        <w:tc>
          <w:tcPr>
            <w:tcW w:w="5" w:type="pct"/>
            <w:shd w:val="clear" w:color="auto" w:fill="auto"/>
            <w:vAlign w:val="bottom"/>
          </w:tcPr>
          <w:p w14:paraId="22CFCF39" w14:textId="77777777" w:rsidR="002661BA" w:rsidRDefault="002661BA">
            <w:pPr>
              <w:rPr>
                <w:rFonts w:ascii="宋体"/>
              </w:rPr>
            </w:pPr>
          </w:p>
        </w:tc>
        <w:tc>
          <w:tcPr>
            <w:tcW w:w="5" w:type="pct"/>
            <w:shd w:val="clear" w:color="auto" w:fill="auto"/>
            <w:vAlign w:val="bottom"/>
          </w:tcPr>
          <w:p w14:paraId="22CFCF3A" w14:textId="77777777" w:rsidR="002661BA" w:rsidRDefault="002661BA">
            <w:pPr>
              <w:rPr>
                <w:rFonts w:ascii="宋体"/>
              </w:rPr>
            </w:pPr>
          </w:p>
        </w:tc>
        <w:tc>
          <w:tcPr>
            <w:tcW w:w="19" w:type="pct"/>
            <w:shd w:val="clear" w:color="auto" w:fill="auto"/>
            <w:vAlign w:val="bottom"/>
          </w:tcPr>
          <w:p w14:paraId="22CFCF3B" w14:textId="77777777" w:rsidR="002661BA" w:rsidRDefault="002661BA">
            <w:pPr>
              <w:rPr>
                <w:rFonts w:ascii="宋体"/>
              </w:rPr>
            </w:pPr>
          </w:p>
        </w:tc>
        <w:tc>
          <w:tcPr>
            <w:tcW w:w="5" w:type="pct"/>
            <w:shd w:val="clear" w:color="auto" w:fill="auto"/>
            <w:vAlign w:val="bottom"/>
          </w:tcPr>
          <w:p w14:paraId="22CFCF3C" w14:textId="77777777" w:rsidR="002661BA" w:rsidRDefault="002661BA">
            <w:pPr>
              <w:rPr>
                <w:rFonts w:ascii="宋体"/>
              </w:rPr>
            </w:pPr>
          </w:p>
        </w:tc>
        <w:tc>
          <w:tcPr>
            <w:tcW w:w="50" w:type="pct"/>
            <w:shd w:val="clear" w:color="auto" w:fill="auto"/>
            <w:vAlign w:val="bottom"/>
          </w:tcPr>
          <w:p w14:paraId="22CFCF3D" w14:textId="77777777" w:rsidR="002661BA" w:rsidRDefault="002661BA">
            <w:pPr>
              <w:rPr>
                <w:rFonts w:ascii="宋体"/>
              </w:rPr>
            </w:pPr>
          </w:p>
        </w:tc>
        <w:tc>
          <w:tcPr>
            <w:tcW w:w="581" w:type="pct"/>
            <w:shd w:val="clear" w:color="auto" w:fill="auto"/>
            <w:vAlign w:val="bottom"/>
          </w:tcPr>
          <w:p w14:paraId="22CFCF3E" w14:textId="77777777" w:rsidR="002661BA" w:rsidRDefault="002661BA">
            <w:pPr>
              <w:rPr>
                <w:rFonts w:ascii="宋体"/>
              </w:rPr>
            </w:pPr>
          </w:p>
        </w:tc>
        <w:tc>
          <w:tcPr>
            <w:tcW w:w="5" w:type="pct"/>
            <w:shd w:val="clear" w:color="auto" w:fill="auto"/>
            <w:vAlign w:val="bottom"/>
          </w:tcPr>
          <w:p w14:paraId="22CFCF3F" w14:textId="77777777" w:rsidR="002661BA" w:rsidRDefault="002661BA">
            <w:pPr>
              <w:rPr>
                <w:rFonts w:ascii="宋体"/>
              </w:rPr>
            </w:pPr>
          </w:p>
        </w:tc>
      </w:tr>
      <w:tr w:rsidR="002661BA" w14:paraId="22CFCF44" w14:textId="77777777">
        <w:tc>
          <w:tcPr>
            <w:tcW w:w="0" w:type="auto"/>
            <w:gridSpan w:val="3"/>
            <w:shd w:val="clear" w:color="auto" w:fill="auto"/>
            <w:tcMar>
              <w:top w:w="0" w:type="dxa"/>
              <w:left w:w="20" w:type="dxa"/>
              <w:bottom w:w="0" w:type="dxa"/>
              <w:right w:w="20" w:type="dxa"/>
            </w:tcMar>
            <w:vAlign w:val="bottom"/>
          </w:tcPr>
          <w:p w14:paraId="22CFCF4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CF42" w14:textId="77777777" w:rsidR="002661BA" w:rsidRDefault="002661BA">
            <w:pPr>
              <w:rPr>
                <w:rFonts w:ascii="宋体"/>
              </w:rPr>
            </w:pPr>
          </w:p>
        </w:tc>
        <w:tc>
          <w:tcPr>
            <w:tcW w:w="0" w:type="auto"/>
            <w:gridSpan w:val="15"/>
            <w:shd w:val="clear" w:color="auto" w:fill="auto"/>
            <w:tcMar>
              <w:top w:w="40" w:type="dxa"/>
              <w:left w:w="20" w:type="dxa"/>
              <w:bottom w:w="40" w:type="dxa"/>
              <w:right w:w="20" w:type="dxa"/>
            </w:tcMar>
            <w:vAlign w:val="bottom"/>
          </w:tcPr>
          <w:p w14:paraId="22CFCF43" w14:textId="77777777" w:rsidR="002661BA" w:rsidRDefault="00D972BC">
            <w:pPr>
              <w:jc w:val="center"/>
              <w:textAlignment w:val="bottom"/>
            </w:pPr>
            <w:r>
              <w:rPr>
                <w:rFonts w:ascii="Arial" w:eastAsia="宋体" w:hAnsi="Arial" w:cs="Arial"/>
                <w:b/>
                <w:bCs/>
                <w:color w:val="000000"/>
                <w:sz w:val="17"/>
                <w:szCs w:val="17"/>
              </w:rPr>
              <w:t>Year End</w:t>
            </w:r>
            <w:r>
              <w:rPr>
                <w:rFonts w:ascii="Arial" w:eastAsia="宋体" w:hAnsi="Arial" w:cs="Arial"/>
                <w:b/>
                <w:bCs/>
                <w:color w:val="000000"/>
                <w:sz w:val="17"/>
                <w:szCs w:val="17"/>
              </w:rPr>
              <w:t>ed December 31,</w:t>
            </w:r>
          </w:p>
        </w:tc>
      </w:tr>
      <w:tr w:rsidR="002661BA" w14:paraId="22CFCF4C" w14:textId="77777777">
        <w:tc>
          <w:tcPr>
            <w:tcW w:w="0" w:type="auto"/>
            <w:gridSpan w:val="3"/>
            <w:shd w:val="clear" w:color="auto" w:fill="auto"/>
            <w:tcMar>
              <w:top w:w="40" w:type="dxa"/>
              <w:left w:w="20" w:type="dxa"/>
              <w:bottom w:w="40" w:type="dxa"/>
              <w:right w:w="20" w:type="dxa"/>
            </w:tcMar>
            <w:vAlign w:val="bottom"/>
          </w:tcPr>
          <w:p w14:paraId="22CFCF45" w14:textId="77777777" w:rsidR="002661BA" w:rsidRDefault="00D972BC">
            <w:pPr>
              <w:textAlignment w:val="bottom"/>
            </w:pPr>
            <w:r>
              <w:rPr>
                <w:rFonts w:ascii="Arial" w:eastAsia="宋体" w:hAnsi="Arial" w:cs="Arial"/>
                <w:color w:val="000000"/>
                <w:sz w:val="16"/>
                <w:szCs w:val="16"/>
              </w:rPr>
              <w:t> </w:t>
            </w:r>
          </w:p>
        </w:tc>
        <w:tc>
          <w:tcPr>
            <w:tcW w:w="0" w:type="auto"/>
            <w:gridSpan w:val="3"/>
            <w:shd w:val="clear" w:color="auto" w:fill="auto"/>
            <w:tcMar>
              <w:top w:w="0" w:type="dxa"/>
              <w:left w:w="20" w:type="dxa"/>
              <w:bottom w:w="0" w:type="dxa"/>
              <w:right w:w="20" w:type="dxa"/>
            </w:tcMar>
            <w:vAlign w:val="bottom"/>
          </w:tcPr>
          <w:p w14:paraId="22CFCF46"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F47"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F48"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F49"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CF4A"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CF4B"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CF54" w14:textId="77777777">
        <w:tc>
          <w:tcPr>
            <w:tcW w:w="0" w:type="auto"/>
            <w:gridSpan w:val="3"/>
            <w:shd w:val="clear" w:color="auto" w:fill="DBDBDB"/>
            <w:tcMar>
              <w:top w:w="40" w:type="dxa"/>
              <w:left w:w="20" w:type="dxa"/>
              <w:bottom w:w="40" w:type="dxa"/>
              <w:right w:w="20" w:type="dxa"/>
            </w:tcMar>
            <w:vAlign w:val="bottom"/>
          </w:tcPr>
          <w:p w14:paraId="22CFCF4D" w14:textId="77777777" w:rsidR="002661BA" w:rsidRDefault="00D972BC">
            <w:pPr>
              <w:textAlignment w:val="bottom"/>
            </w:pPr>
            <w:r>
              <w:rPr>
                <w:rFonts w:ascii="Arial" w:eastAsia="宋体" w:hAnsi="Arial" w:cs="Arial"/>
                <w:color w:val="000000"/>
                <w:sz w:val="18"/>
                <w:szCs w:val="18"/>
              </w:rPr>
              <w:t>Cash paid for amounts included in the measurement of lease liabilities:</w:t>
            </w:r>
          </w:p>
        </w:tc>
        <w:tc>
          <w:tcPr>
            <w:tcW w:w="0" w:type="auto"/>
            <w:gridSpan w:val="3"/>
            <w:shd w:val="clear" w:color="auto" w:fill="DBDBDB"/>
            <w:tcMar>
              <w:top w:w="0" w:type="dxa"/>
              <w:left w:w="20" w:type="dxa"/>
              <w:bottom w:w="0" w:type="dxa"/>
              <w:right w:w="20" w:type="dxa"/>
            </w:tcMar>
            <w:vAlign w:val="bottom"/>
          </w:tcPr>
          <w:p w14:paraId="22CFCF4E" w14:textId="77777777" w:rsidR="002661BA" w:rsidRDefault="002661BA">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22CFCF4F"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F50" w14:textId="77777777" w:rsidR="002661BA" w:rsidRDefault="002661BA">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22CFCF51"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F52" w14:textId="77777777" w:rsidR="002661BA" w:rsidRDefault="002661BA">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22CFCF53" w14:textId="77777777" w:rsidR="002661BA" w:rsidRDefault="002661BA">
            <w:pPr>
              <w:rPr>
                <w:rFonts w:ascii="宋体"/>
              </w:rPr>
            </w:pPr>
          </w:p>
        </w:tc>
      </w:tr>
      <w:tr w:rsidR="002661BA" w14:paraId="22CFCF62" w14:textId="77777777">
        <w:tc>
          <w:tcPr>
            <w:tcW w:w="0" w:type="auto"/>
            <w:gridSpan w:val="3"/>
            <w:shd w:val="clear" w:color="auto" w:fill="FFFFFF"/>
            <w:tcMar>
              <w:top w:w="40" w:type="dxa"/>
              <w:left w:w="20" w:type="dxa"/>
              <w:bottom w:w="40" w:type="dxa"/>
              <w:right w:w="20" w:type="dxa"/>
            </w:tcMar>
            <w:vAlign w:val="bottom"/>
          </w:tcPr>
          <w:p w14:paraId="22CFCF55" w14:textId="77777777" w:rsidR="002661BA" w:rsidRDefault="00D972BC">
            <w:pPr>
              <w:textAlignment w:val="bottom"/>
            </w:pPr>
            <w:r>
              <w:rPr>
                <w:rFonts w:ascii="Arial" w:eastAsia="宋体" w:hAnsi="Arial" w:cs="Arial"/>
                <w:color w:val="000000"/>
                <w:sz w:val="18"/>
                <w:szCs w:val="18"/>
              </w:rPr>
              <w:t>Operating cash flows from operating leases</w:t>
            </w:r>
          </w:p>
        </w:tc>
        <w:tc>
          <w:tcPr>
            <w:tcW w:w="0" w:type="auto"/>
            <w:gridSpan w:val="3"/>
            <w:shd w:val="clear" w:color="auto" w:fill="FFFFFF"/>
            <w:tcMar>
              <w:top w:w="0" w:type="dxa"/>
              <w:left w:w="20" w:type="dxa"/>
              <w:bottom w:w="0" w:type="dxa"/>
              <w:right w:w="20" w:type="dxa"/>
            </w:tcMar>
            <w:vAlign w:val="bottom"/>
          </w:tcPr>
          <w:p w14:paraId="22CFCF56"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CF5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F58" w14:textId="77777777" w:rsidR="002661BA" w:rsidRDefault="00D972BC">
            <w:pPr>
              <w:jc w:val="right"/>
              <w:textAlignment w:val="bottom"/>
            </w:pPr>
            <w:r>
              <w:rPr>
                <w:rFonts w:ascii="Arial" w:eastAsia="宋体" w:hAnsi="Arial" w:cs="Arial"/>
                <w:color w:val="000000"/>
                <w:sz w:val="18"/>
                <w:szCs w:val="18"/>
              </w:rPr>
              <w:t>165 </w:t>
            </w:r>
          </w:p>
        </w:tc>
        <w:tc>
          <w:tcPr>
            <w:tcW w:w="0" w:type="auto"/>
            <w:shd w:val="clear" w:color="auto" w:fill="FFFFFF"/>
            <w:tcMar>
              <w:top w:w="40" w:type="dxa"/>
              <w:left w:w="0" w:type="dxa"/>
              <w:bottom w:w="40" w:type="dxa"/>
              <w:right w:w="20" w:type="dxa"/>
            </w:tcMar>
            <w:vAlign w:val="bottom"/>
          </w:tcPr>
          <w:p w14:paraId="22CFCF5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F5A"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CF5B"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F5C" w14:textId="77777777" w:rsidR="002661BA" w:rsidRDefault="00D972BC">
            <w:pPr>
              <w:jc w:val="right"/>
              <w:textAlignment w:val="bottom"/>
            </w:pPr>
            <w:r>
              <w:rPr>
                <w:rFonts w:ascii="Arial" w:eastAsia="宋体" w:hAnsi="Arial" w:cs="Arial"/>
                <w:color w:val="000000"/>
                <w:sz w:val="18"/>
                <w:szCs w:val="18"/>
              </w:rPr>
              <w:t>145 </w:t>
            </w:r>
          </w:p>
        </w:tc>
        <w:tc>
          <w:tcPr>
            <w:tcW w:w="0" w:type="auto"/>
            <w:shd w:val="clear" w:color="auto" w:fill="FFFFFF"/>
            <w:tcMar>
              <w:top w:w="40" w:type="dxa"/>
              <w:left w:w="0" w:type="dxa"/>
              <w:bottom w:w="40" w:type="dxa"/>
              <w:right w:w="20" w:type="dxa"/>
            </w:tcMar>
            <w:vAlign w:val="bottom"/>
          </w:tcPr>
          <w:p w14:paraId="22CFCF5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CF5E"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CF5F"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CF60" w14:textId="77777777" w:rsidR="002661BA" w:rsidRDefault="00D972BC">
            <w:pPr>
              <w:jc w:val="right"/>
              <w:textAlignment w:val="bottom"/>
            </w:pPr>
            <w:r>
              <w:rPr>
                <w:rFonts w:ascii="Arial" w:eastAsia="宋体" w:hAnsi="Arial" w:cs="Arial"/>
                <w:color w:val="000000"/>
                <w:sz w:val="18"/>
                <w:szCs w:val="18"/>
              </w:rPr>
              <w:t>152 </w:t>
            </w:r>
          </w:p>
        </w:tc>
        <w:tc>
          <w:tcPr>
            <w:tcW w:w="0" w:type="auto"/>
            <w:shd w:val="clear" w:color="auto" w:fill="FFFFFF"/>
            <w:tcMar>
              <w:top w:w="40" w:type="dxa"/>
              <w:left w:w="0" w:type="dxa"/>
              <w:bottom w:w="40" w:type="dxa"/>
              <w:right w:w="20" w:type="dxa"/>
            </w:tcMar>
            <w:vAlign w:val="bottom"/>
          </w:tcPr>
          <w:p w14:paraId="22CFCF61" w14:textId="77777777" w:rsidR="002661BA" w:rsidRDefault="002661BA">
            <w:pPr>
              <w:jc w:val="right"/>
              <w:rPr>
                <w:rFonts w:ascii="宋体"/>
              </w:rPr>
            </w:pPr>
          </w:p>
        </w:tc>
      </w:tr>
      <w:tr w:rsidR="002661BA" w14:paraId="22CFCF6A" w14:textId="77777777">
        <w:trPr>
          <w:trHeight w:val="300"/>
        </w:trPr>
        <w:tc>
          <w:tcPr>
            <w:tcW w:w="0" w:type="auto"/>
            <w:gridSpan w:val="3"/>
            <w:shd w:val="clear" w:color="auto" w:fill="DBDBDB"/>
            <w:tcMar>
              <w:top w:w="0" w:type="dxa"/>
              <w:left w:w="20" w:type="dxa"/>
              <w:bottom w:w="0" w:type="dxa"/>
              <w:right w:w="20" w:type="dxa"/>
            </w:tcMar>
            <w:vAlign w:val="bottom"/>
          </w:tcPr>
          <w:p w14:paraId="22CFCF63"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F64"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F65"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F66"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F67"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F68"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CF69" w14:textId="77777777" w:rsidR="002661BA" w:rsidRDefault="002661BA">
            <w:pPr>
              <w:rPr>
                <w:rFonts w:ascii="宋体"/>
              </w:rPr>
            </w:pPr>
          </w:p>
        </w:tc>
      </w:tr>
      <w:tr w:rsidR="002661BA" w14:paraId="22CFCF72" w14:textId="77777777">
        <w:tc>
          <w:tcPr>
            <w:tcW w:w="0" w:type="auto"/>
            <w:gridSpan w:val="3"/>
            <w:shd w:val="clear" w:color="auto" w:fill="FFFFFF"/>
            <w:tcMar>
              <w:top w:w="40" w:type="dxa"/>
              <w:left w:w="20" w:type="dxa"/>
              <w:bottom w:w="40" w:type="dxa"/>
              <w:right w:w="20" w:type="dxa"/>
            </w:tcMar>
            <w:vAlign w:val="bottom"/>
          </w:tcPr>
          <w:p w14:paraId="22CFCF6B" w14:textId="77777777" w:rsidR="002661BA" w:rsidRDefault="00D972BC">
            <w:pPr>
              <w:textAlignment w:val="bottom"/>
            </w:pPr>
            <w:r>
              <w:rPr>
                <w:rFonts w:ascii="Arial" w:eastAsia="宋体" w:hAnsi="Arial" w:cs="Arial"/>
                <w:color w:val="000000"/>
                <w:sz w:val="18"/>
                <w:szCs w:val="18"/>
              </w:rPr>
              <w:t>ROU assets obtained in exchange for new lease obligations:</w:t>
            </w:r>
          </w:p>
        </w:tc>
        <w:tc>
          <w:tcPr>
            <w:tcW w:w="0" w:type="auto"/>
            <w:gridSpan w:val="3"/>
            <w:shd w:val="clear" w:color="auto" w:fill="FFFFFF"/>
            <w:tcMar>
              <w:top w:w="0" w:type="dxa"/>
              <w:left w:w="20" w:type="dxa"/>
              <w:bottom w:w="0" w:type="dxa"/>
              <w:right w:w="20" w:type="dxa"/>
            </w:tcMar>
            <w:vAlign w:val="bottom"/>
          </w:tcPr>
          <w:p w14:paraId="22CFCF6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F6D"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F6E"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F6F"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F70"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CF71" w14:textId="77777777" w:rsidR="002661BA" w:rsidRDefault="002661BA">
            <w:pPr>
              <w:rPr>
                <w:rFonts w:ascii="宋体"/>
              </w:rPr>
            </w:pPr>
          </w:p>
        </w:tc>
      </w:tr>
      <w:tr w:rsidR="002661BA" w14:paraId="22CFCF80" w14:textId="77777777">
        <w:tc>
          <w:tcPr>
            <w:tcW w:w="0" w:type="auto"/>
            <w:gridSpan w:val="3"/>
            <w:shd w:val="clear" w:color="auto" w:fill="DBDBDB"/>
            <w:tcMar>
              <w:top w:w="40" w:type="dxa"/>
              <w:left w:w="140" w:type="dxa"/>
              <w:bottom w:w="40" w:type="dxa"/>
              <w:right w:w="20" w:type="dxa"/>
            </w:tcMar>
            <w:vAlign w:val="bottom"/>
          </w:tcPr>
          <w:p w14:paraId="22CFCF73" w14:textId="77777777" w:rsidR="002661BA" w:rsidRDefault="00D972BC">
            <w:pPr>
              <w:textAlignment w:val="bottom"/>
            </w:pPr>
            <w:r>
              <w:rPr>
                <w:rFonts w:ascii="Arial" w:eastAsia="宋体" w:hAnsi="Arial" w:cs="Arial"/>
                <w:color w:val="000000"/>
                <w:sz w:val="18"/>
                <w:szCs w:val="18"/>
              </w:rPr>
              <w:t>Operating leases</w:t>
            </w:r>
          </w:p>
        </w:tc>
        <w:tc>
          <w:tcPr>
            <w:tcW w:w="0" w:type="auto"/>
            <w:gridSpan w:val="3"/>
            <w:shd w:val="clear" w:color="auto" w:fill="DBDBDB"/>
            <w:tcMar>
              <w:top w:w="0" w:type="dxa"/>
              <w:left w:w="20" w:type="dxa"/>
              <w:bottom w:w="0" w:type="dxa"/>
              <w:right w:w="20" w:type="dxa"/>
            </w:tcMar>
            <w:vAlign w:val="bottom"/>
          </w:tcPr>
          <w:p w14:paraId="22CFCF74"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CF75"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F76" w14:textId="77777777" w:rsidR="002661BA" w:rsidRDefault="00D972BC">
            <w:pPr>
              <w:jc w:val="right"/>
              <w:textAlignment w:val="bottom"/>
            </w:pPr>
            <w:r>
              <w:rPr>
                <w:rFonts w:ascii="Arial" w:eastAsia="宋体" w:hAnsi="Arial" w:cs="Arial"/>
                <w:color w:val="000000"/>
                <w:sz w:val="18"/>
                <w:szCs w:val="18"/>
              </w:rPr>
              <w:t>38 </w:t>
            </w:r>
          </w:p>
        </w:tc>
        <w:tc>
          <w:tcPr>
            <w:tcW w:w="0" w:type="auto"/>
            <w:shd w:val="clear" w:color="auto" w:fill="DBDBDB"/>
            <w:tcMar>
              <w:top w:w="40" w:type="dxa"/>
              <w:left w:w="0" w:type="dxa"/>
              <w:bottom w:w="40" w:type="dxa"/>
              <w:right w:w="20" w:type="dxa"/>
            </w:tcMar>
            <w:vAlign w:val="bottom"/>
          </w:tcPr>
          <w:p w14:paraId="22CFCF77"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F78"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CF7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F7A" w14:textId="77777777" w:rsidR="002661BA" w:rsidRDefault="00D972BC">
            <w:pPr>
              <w:jc w:val="right"/>
              <w:textAlignment w:val="bottom"/>
            </w:pPr>
            <w:r>
              <w:rPr>
                <w:rFonts w:ascii="Arial" w:eastAsia="宋体" w:hAnsi="Arial" w:cs="Arial"/>
                <w:color w:val="000000"/>
                <w:sz w:val="18"/>
                <w:szCs w:val="18"/>
              </w:rPr>
              <w:t>84 </w:t>
            </w:r>
          </w:p>
        </w:tc>
        <w:tc>
          <w:tcPr>
            <w:tcW w:w="0" w:type="auto"/>
            <w:shd w:val="clear" w:color="auto" w:fill="DBDBDB"/>
            <w:tcMar>
              <w:top w:w="40" w:type="dxa"/>
              <w:left w:w="0" w:type="dxa"/>
              <w:bottom w:w="40" w:type="dxa"/>
              <w:right w:w="20" w:type="dxa"/>
            </w:tcMar>
            <w:vAlign w:val="bottom"/>
          </w:tcPr>
          <w:p w14:paraId="22CFCF7B"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CF7C"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CF7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CF7E" w14:textId="77777777" w:rsidR="002661BA" w:rsidRDefault="00D972BC">
            <w:pPr>
              <w:jc w:val="right"/>
              <w:textAlignment w:val="bottom"/>
            </w:pPr>
            <w:r>
              <w:rPr>
                <w:rFonts w:ascii="Arial" w:eastAsia="宋体" w:hAnsi="Arial" w:cs="Arial"/>
                <w:color w:val="000000"/>
                <w:sz w:val="18"/>
                <w:szCs w:val="18"/>
              </w:rPr>
              <w:t>87 </w:t>
            </w:r>
          </w:p>
        </w:tc>
        <w:tc>
          <w:tcPr>
            <w:tcW w:w="0" w:type="auto"/>
            <w:shd w:val="clear" w:color="auto" w:fill="DBDBDB"/>
            <w:tcMar>
              <w:top w:w="40" w:type="dxa"/>
              <w:left w:w="0" w:type="dxa"/>
              <w:bottom w:w="40" w:type="dxa"/>
              <w:right w:w="20" w:type="dxa"/>
            </w:tcMar>
            <w:vAlign w:val="bottom"/>
          </w:tcPr>
          <w:p w14:paraId="22CFCF7F" w14:textId="77777777" w:rsidR="002661BA" w:rsidRDefault="002661BA">
            <w:pPr>
              <w:jc w:val="right"/>
              <w:rPr>
                <w:rFonts w:ascii="宋体"/>
              </w:rPr>
            </w:pPr>
          </w:p>
        </w:tc>
      </w:tr>
    </w:tbl>
    <w:p w14:paraId="22CFCF81" w14:textId="77777777" w:rsidR="002661BA" w:rsidRDefault="00D972BC">
      <w:pPr>
        <w:jc w:val="center"/>
      </w:pPr>
      <w:r>
        <w:rPr>
          <w:rFonts w:ascii="Arial" w:eastAsia="宋体" w:hAnsi="Arial" w:cs="Arial"/>
          <w:color w:val="000000"/>
          <w:sz w:val="18"/>
          <w:szCs w:val="18"/>
        </w:rPr>
        <w:t>100</w:t>
      </w:r>
    </w:p>
    <w:p w14:paraId="22CFCF82" w14:textId="77777777" w:rsidR="002661BA" w:rsidRDefault="00D972BC">
      <w:r>
        <w:pict w14:anchorId="22CFE515">
          <v:rect id="_x0000_i1124" style="width:415.3pt;height:1.5pt" o:hralign="center" o:hrstd="t" o:hr="t" fillcolor="#a0a0a0" stroked="f"/>
        </w:pict>
      </w:r>
    </w:p>
    <w:p w14:paraId="22CFCF83" w14:textId="77777777" w:rsidR="002661BA" w:rsidRDefault="00D972BC">
      <w:hyperlink r:id="rId135" w:anchor="id0d7a71b05ce452ea9fdb54f3cb359c7_7" w:history="1">
        <w:r>
          <w:rPr>
            <w:rStyle w:val="a5"/>
            <w:rFonts w:ascii="Arial" w:eastAsia="宋体" w:hAnsi="Arial" w:cs="Arial"/>
            <w:sz w:val="18"/>
            <w:szCs w:val="18"/>
          </w:rPr>
          <w:t>Table of Contents</w:t>
        </w:r>
      </w:hyperlink>
    </w:p>
    <w:p w14:paraId="22CFCF84" w14:textId="77777777" w:rsidR="002661BA" w:rsidRDefault="00D972BC">
      <w:pPr>
        <w:jc w:val="center"/>
      </w:pPr>
      <w:r>
        <w:rPr>
          <w:rFonts w:ascii="Arial" w:eastAsia="宋体" w:hAnsi="Arial" w:cs="Arial"/>
          <w:b/>
          <w:bCs/>
          <w:color w:val="000000"/>
          <w:sz w:val="20"/>
          <w:szCs w:val="20"/>
        </w:rPr>
        <w:t>eBay Inc.</w:t>
      </w:r>
    </w:p>
    <w:p w14:paraId="22CFCF85"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F86" w14:textId="77777777" w:rsidR="002661BA" w:rsidRDefault="00D972BC">
      <w:pPr>
        <w:jc w:val="both"/>
      </w:pPr>
      <w:r>
        <w:rPr>
          <w:rFonts w:ascii="Arial" w:eastAsia="宋体" w:hAnsi="Arial" w:cs="Arial"/>
          <w:b/>
          <w:bCs/>
          <w:color w:val="000000"/>
          <w:sz w:val="20"/>
          <w:szCs w:val="20"/>
        </w:rPr>
        <w:t>Note 12 — Commitment</w:t>
      </w:r>
      <w:r>
        <w:rPr>
          <w:rFonts w:ascii="Arial" w:eastAsia="宋体" w:hAnsi="Arial" w:cs="Arial"/>
          <w:b/>
          <w:bCs/>
          <w:color w:val="000000"/>
          <w:sz w:val="20"/>
          <w:szCs w:val="20"/>
        </w:rPr>
        <w:t xml:space="preserve">s and Contingencies </w:t>
      </w:r>
    </w:p>
    <w:p w14:paraId="22CFCF87" w14:textId="77777777" w:rsidR="002661BA" w:rsidRDefault="002661BA">
      <w:pPr>
        <w:jc w:val="both"/>
      </w:pPr>
    </w:p>
    <w:p w14:paraId="22CFCF88" w14:textId="77777777" w:rsidR="002661BA" w:rsidRDefault="00D972BC">
      <w:pPr>
        <w:jc w:val="both"/>
      </w:pPr>
      <w:r>
        <w:rPr>
          <w:rFonts w:ascii="Arial" w:eastAsia="宋体" w:hAnsi="Arial" w:cs="Arial"/>
          <w:b/>
          <w:bCs/>
          <w:i/>
          <w:iCs/>
          <w:color w:val="000000"/>
          <w:sz w:val="20"/>
          <w:szCs w:val="20"/>
        </w:rPr>
        <w:t>Off-Balance Sheet Arrangements</w:t>
      </w:r>
    </w:p>
    <w:p w14:paraId="22CFCF89" w14:textId="77777777" w:rsidR="002661BA" w:rsidRDefault="002661BA">
      <w:pPr>
        <w:jc w:val="both"/>
      </w:pPr>
    </w:p>
    <w:p w14:paraId="22CFCF8A" w14:textId="77777777" w:rsidR="002661BA" w:rsidRDefault="00D972BC">
      <w:pPr>
        <w:ind w:firstLine="540"/>
        <w:jc w:val="both"/>
      </w:pPr>
      <w:r>
        <w:rPr>
          <w:rFonts w:ascii="Arial" w:eastAsia="宋体" w:hAnsi="Arial" w:cs="Arial"/>
          <w:color w:val="000000"/>
          <w:sz w:val="20"/>
          <w:szCs w:val="20"/>
        </w:rPr>
        <w:t>As of December 31, 2021, we had no off-balance sheet arrangements that have, or are reasonably likely to have, a current or future material effect on our consolidated financial condition, results of ope</w:t>
      </w:r>
      <w:r>
        <w:rPr>
          <w:rFonts w:ascii="Arial" w:eastAsia="宋体" w:hAnsi="Arial" w:cs="Arial"/>
          <w:color w:val="000000"/>
          <w:sz w:val="20"/>
          <w:szCs w:val="20"/>
        </w:rPr>
        <w:t xml:space="preserve">rations, liquidity, capital expenditures or capital resources. </w:t>
      </w:r>
    </w:p>
    <w:p w14:paraId="22CFCF8B" w14:textId="77777777" w:rsidR="002661BA" w:rsidRDefault="002661BA">
      <w:pPr>
        <w:ind w:firstLine="495"/>
        <w:jc w:val="both"/>
      </w:pPr>
    </w:p>
    <w:p w14:paraId="22CFCF8C" w14:textId="77777777" w:rsidR="002661BA" w:rsidRDefault="00D972BC">
      <w:pPr>
        <w:ind w:firstLine="540"/>
        <w:jc w:val="both"/>
      </w:pPr>
      <w:r>
        <w:rPr>
          <w:rFonts w:ascii="Arial" w:eastAsia="宋体" w:hAnsi="Arial" w:cs="Arial"/>
          <w:color w:val="000000"/>
          <w:sz w:val="20"/>
          <w:szCs w:val="20"/>
        </w:rPr>
        <w:t>We have a cash pooling arrangement with a financial institution for cash management purposes. This arrangement allows for cash withdrawals from the financial institution based upon our aggreg</w:t>
      </w:r>
      <w:r>
        <w:rPr>
          <w:rFonts w:ascii="Arial" w:eastAsia="宋体" w:hAnsi="Arial" w:cs="Arial"/>
          <w:color w:val="000000"/>
          <w:sz w:val="20"/>
          <w:szCs w:val="20"/>
        </w:rPr>
        <w:t>ate operating cash balances held within the same financial institution (“Aggregate Cash Deposits”). This arrangement also allows us to withdraw amounts exceeding the Aggregate Cash Deposits up to an agreed-upon limit. The net balance of the withdrawals and</w:t>
      </w:r>
      <w:r>
        <w:rPr>
          <w:rFonts w:ascii="Arial" w:eastAsia="宋体" w:hAnsi="Arial" w:cs="Arial"/>
          <w:color w:val="000000"/>
          <w:sz w:val="20"/>
          <w:szCs w:val="20"/>
        </w:rPr>
        <w:t xml:space="preserve"> the Aggregate Cash Deposits are used by the financial institution as a basis for calculating our net interest expense or income under the arrangement. As of December 31, 2021, we had a total of $3.7 billion in aggregate cash deposits, partially offset by </w:t>
      </w:r>
      <w:r>
        <w:rPr>
          <w:rFonts w:ascii="Arial" w:eastAsia="宋体" w:hAnsi="Arial" w:cs="Arial"/>
          <w:color w:val="000000"/>
          <w:sz w:val="20"/>
          <w:szCs w:val="20"/>
        </w:rPr>
        <w:t>$3.5 billion in cash withdrawals, held within the financial institution under the cash pooling arrangement.</w:t>
      </w:r>
    </w:p>
    <w:p w14:paraId="22CFCF8D" w14:textId="77777777" w:rsidR="002661BA" w:rsidRDefault="002661BA">
      <w:pPr>
        <w:ind w:firstLine="540"/>
        <w:jc w:val="both"/>
      </w:pPr>
    </w:p>
    <w:p w14:paraId="22CFCF8E" w14:textId="77777777" w:rsidR="002661BA" w:rsidRDefault="00D972BC">
      <w:pPr>
        <w:ind w:firstLine="270"/>
        <w:jc w:val="both"/>
      </w:pPr>
      <w:r>
        <w:rPr>
          <w:rFonts w:ascii="Arial" w:eastAsia="宋体" w:hAnsi="Arial" w:cs="Arial"/>
          <w:b/>
          <w:bCs/>
          <w:i/>
          <w:iCs/>
          <w:color w:val="000000"/>
          <w:sz w:val="20"/>
          <w:szCs w:val="20"/>
        </w:rPr>
        <w:t>Litigation and Other Legal Matters</w:t>
      </w:r>
    </w:p>
    <w:p w14:paraId="22CFCF8F" w14:textId="77777777" w:rsidR="002661BA" w:rsidRDefault="00D972BC">
      <w:pPr>
        <w:ind w:firstLine="270"/>
        <w:jc w:val="both"/>
      </w:pPr>
      <w:r>
        <w:rPr>
          <w:rFonts w:ascii="Arial" w:eastAsia="宋体" w:hAnsi="Arial" w:cs="Arial"/>
          <w:color w:val="000000"/>
          <w:sz w:val="20"/>
          <w:szCs w:val="20"/>
        </w:rPr>
        <w:t> </w:t>
      </w:r>
    </w:p>
    <w:p w14:paraId="22CFCF90" w14:textId="77777777" w:rsidR="002661BA" w:rsidRDefault="00D972BC">
      <w:pPr>
        <w:ind w:firstLine="540"/>
        <w:jc w:val="both"/>
      </w:pPr>
      <w:r>
        <w:rPr>
          <w:rFonts w:ascii="Arial" w:eastAsia="宋体" w:hAnsi="Arial" w:cs="Arial"/>
          <w:i/>
          <w:iCs/>
          <w:color w:val="000000"/>
          <w:sz w:val="20"/>
          <w:szCs w:val="20"/>
        </w:rPr>
        <w:t>Overview</w:t>
      </w:r>
    </w:p>
    <w:p w14:paraId="22CFCF91" w14:textId="77777777" w:rsidR="002661BA" w:rsidRDefault="002661BA">
      <w:pPr>
        <w:ind w:firstLine="540"/>
        <w:jc w:val="both"/>
      </w:pPr>
    </w:p>
    <w:p w14:paraId="22CFCF92" w14:textId="77777777" w:rsidR="002661BA" w:rsidRDefault="00D972BC">
      <w:pPr>
        <w:ind w:firstLine="540"/>
        <w:jc w:val="both"/>
      </w:pPr>
      <w:r>
        <w:rPr>
          <w:rFonts w:ascii="Arial" w:eastAsia="宋体" w:hAnsi="Arial" w:cs="Arial"/>
          <w:color w:val="000000"/>
          <w:sz w:val="20"/>
          <w:szCs w:val="20"/>
        </w:rPr>
        <w:t xml:space="preserve">We are involved in legal and regulatory proceedings on an ongoing basis. Many of these </w:t>
      </w:r>
      <w:r>
        <w:rPr>
          <w:rFonts w:ascii="Arial" w:eastAsia="宋体" w:hAnsi="Arial" w:cs="Arial"/>
          <w:color w:val="000000"/>
          <w:sz w:val="20"/>
          <w:szCs w:val="20"/>
        </w:rPr>
        <w:t>proceedings are in early stages and may seek an indeterminate amount of damages. If we believe that a loss arising from such matters is probable and can be reasonably estimated, we accrue the estimated liability in our financial statements. If only a range</w:t>
      </w:r>
      <w:r>
        <w:rPr>
          <w:rFonts w:ascii="Arial" w:eastAsia="宋体" w:hAnsi="Arial" w:cs="Arial"/>
          <w:color w:val="000000"/>
          <w:sz w:val="20"/>
          <w:szCs w:val="20"/>
        </w:rPr>
        <w:t xml:space="preserve"> of estimated losses can be determined, we accrue an amount within the range that, in our judgment, reflects the most likely outcome; if none of the estimates within that range is a better estimate than any other amount, we accrue the low end of the range.</w:t>
      </w:r>
      <w:r>
        <w:rPr>
          <w:rFonts w:ascii="Arial" w:eastAsia="宋体" w:hAnsi="Arial" w:cs="Arial"/>
          <w:color w:val="000000"/>
          <w:sz w:val="20"/>
          <w:szCs w:val="20"/>
        </w:rPr>
        <w:t xml:space="preserve"> For those proceedings in which an unfavorable outcome is reasonably possible but not probable, we have disclosed an estimate of the reasonably possible loss or range of losses or we have concluded that an estimate of the reasonably possible loss or range </w:t>
      </w:r>
      <w:r>
        <w:rPr>
          <w:rFonts w:ascii="Arial" w:eastAsia="宋体" w:hAnsi="Arial" w:cs="Arial"/>
          <w:color w:val="000000"/>
          <w:sz w:val="20"/>
          <w:szCs w:val="20"/>
        </w:rPr>
        <w:t>of losses arising directly from the proceeding (i.e., monetary damages or amounts paid in judgment or settlement) is not material. If we cannot estimate the probable or reasonably possible loss or range of losses arising from a proceeding, we have disclose</w:t>
      </w:r>
      <w:r>
        <w:rPr>
          <w:rFonts w:ascii="Arial" w:eastAsia="宋体" w:hAnsi="Arial" w:cs="Arial"/>
          <w:color w:val="000000"/>
          <w:sz w:val="20"/>
          <w:szCs w:val="20"/>
        </w:rPr>
        <w:t>d that fact. In assessing the materiality of a proceeding, we evaluate, among other factors, the amount of monetary damages claimed, as well as the potential impact of non-monetary remedies sought by plaintiffs (e.g., injunctive relief) that may require us</w:t>
      </w:r>
      <w:r>
        <w:rPr>
          <w:rFonts w:ascii="Arial" w:eastAsia="宋体" w:hAnsi="Arial" w:cs="Arial"/>
          <w:color w:val="000000"/>
          <w:sz w:val="20"/>
          <w:szCs w:val="20"/>
        </w:rPr>
        <w:t xml:space="preserve"> to change our business practices in a manner that could have a material adverse impact on our business. With respect to the matters disclosed in this Overview, we are unable to estimate the possible loss or range of losses that could potentially result fr</w:t>
      </w:r>
      <w:r>
        <w:rPr>
          <w:rFonts w:ascii="Arial" w:eastAsia="宋体" w:hAnsi="Arial" w:cs="Arial"/>
          <w:color w:val="000000"/>
          <w:sz w:val="20"/>
          <w:szCs w:val="20"/>
        </w:rPr>
        <w:t>om the application of such non-monetary remedies.</w:t>
      </w:r>
    </w:p>
    <w:p w14:paraId="22CFCF93" w14:textId="77777777" w:rsidR="002661BA" w:rsidRDefault="002661BA">
      <w:pPr>
        <w:ind w:firstLine="540"/>
        <w:jc w:val="both"/>
      </w:pPr>
    </w:p>
    <w:p w14:paraId="22CFCF94" w14:textId="77777777" w:rsidR="002661BA" w:rsidRDefault="00D972BC">
      <w:pPr>
        <w:ind w:firstLine="540"/>
        <w:jc w:val="both"/>
      </w:pPr>
      <w:r>
        <w:rPr>
          <w:rFonts w:ascii="Arial" w:eastAsia="宋体" w:hAnsi="Arial" w:cs="Arial"/>
          <w:color w:val="000000"/>
          <w:sz w:val="20"/>
          <w:szCs w:val="20"/>
        </w:rPr>
        <w:t>Amounts accrued for legal and regulatory proceedings for which we believe a loss is probable were not material for the year ended December 31, 2021. We have concluded, based on currently available informat</w:t>
      </w:r>
      <w:r>
        <w:rPr>
          <w:rFonts w:ascii="Arial" w:eastAsia="宋体" w:hAnsi="Arial" w:cs="Arial"/>
          <w:color w:val="000000"/>
          <w:sz w:val="20"/>
          <w:szCs w:val="20"/>
        </w:rPr>
        <w:t>ion, that reasonably possible losses arising directly from the proceedings (i.e., monetary damages or amounts paid in judgment or settlement) in excess of our recorded accruals are also not material. However, legal and regulatory proceedings are inherently</w:t>
      </w:r>
      <w:r>
        <w:rPr>
          <w:rFonts w:ascii="Arial" w:eastAsia="宋体" w:hAnsi="Arial" w:cs="Arial"/>
          <w:color w:val="000000"/>
          <w:sz w:val="20"/>
          <w:szCs w:val="20"/>
        </w:rPr>
        <w:t xml:space="preserve"> unpredictable and subject to significant uncertainties. If one or more matters were resolved against us in a reporting period for amounts in excess of management’s expectations, the impact on our operating results or financial condition for that reporting</w:t>
      </w:r>
      <w:r>
        <w:rPr>
          <w:rFonts w:ascii="Arial" w:eastAsia="宋体" w:hAnsi="Arial" w:cs="Arial"/>
          <w:color w:val="000000"/>
          <w:sz w:val="20"/>
          <w:szCs w:val="20"/>
        </w:rPr>
        <w:t xml:space="preserve"> period could be material. Legal fees are expensed as incurred.</w:t>
      </w:r>
    </w:p>
    <w:p w14:paraId="22CFCF95" w14:textId="77777777" w:rsidR="002661BA" w:rsidRDefault="002661BA">
      <w:pPr>
        <w:ind w:firstLine="540"/>
        <w:jc w:val="both"/>
      </w:pPr>
    </w:p>
    <w:p w14:paraId="22CFCF96" w14:textId="77777777" w:rsidR="002661BA" w:rsidRDefault="002661BA">
      <w:pPr>
        <w:ind w:firstLine="540"/>
        <w:jc w:val="both"/>
      </w:pPr>
    </w:p>
    <w:p w14:paraId="22CFCF97" w14:textId="77777777" w:rsidR="002661BA" w:rsidRDefault="00D972BC">
      <w:pPr>
        <w:jc w:val="center"/>
      </w:pPr>
      <w:r>
        <w:rPr>
          <w:rFonts w:ascii="Arial" w:eastAsia="宋体" w:hAnsi="Arial" w:cs="Arial"/>
          <w:color w:val="000000"/>
          <w:sz w:val="18"/>
          <w:szCs w:val="18"/>
        </w:rPr>
        <w:t>101</w:t>
      </w:r>
    </w:p>
    <w:p w14:paraId="22CFCF98" w14:textId="77777777" w:rsidR="002661BA" w:rsidRDefault="00D972BC">
      <w:r>
        <w:pict w14:anchorId="22CFE516">
          <v:rect id="_x0000_i1125" style="width:415.3pt;height:1.5pt" o:hralign="center" o:hrstd="t" o:hr="t" fillcolor="#a0a0a0" stroked="f"/>
        </w:pict>
      </w:r>
    </w:p>
    <w:p w14:paraId="22CFCF99" w14:textId="77777777" w:rsidR="002661BA" w:rsidRDefault="00D972BC">
      <w:hyperlink r:id="rId136" w:anchor="id0d7a71b05ce452ea9fdb54f3cb359c7_7" w:history="1">
        <w:r>
          <w:rPr>
            <w:rStyle w:val="a5"/>
            <w:rFonts w:ascii="Arial" w:eastAsia="宋体" w:hAnsi="Arial" w:cs="Arial"/>
            <w:sz w:val="18"/>
            <w:szCs w:val="18"/>
          </w:rPr>
          <w:t>Table of Contents</w:t>
        </w:r>
      </w:hyperlink>
    </w:p>
    <w:p w14:paraId="22CFCF9A" w14:textId="77777777" w:rsidR="002661BA" w:rsidRDefault="00D972BC">
      <w:pPr>
        <w:jc w:val="center"/>
      </w:pPr>
      <w:r>
        <w:rPr>
          <w:rFonts w:ascii="Arial" w:eastAsia="宋体" w:hAnsi="Arial" w:cs="Arial"/>
          <w:b/>
          <w:bCs/>
          <w:color w:val="000000"/>
          <w:sz w:val="20"/>
          <w:szCs w:val="20"/>
        </w:rPr>
        <w:t>eBay Inc.</w:t>
      </w:r>
    </w:p>
    <w:p w14:paraId="22CFCF9B"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F9C" w14:textId="77777777" w:rsidR="002661BA" w:rsidRDefault="00D972BC">
      <w:pPr>
        <w:ind w:firstLine="540"/>
        <w:jc w:val="both"/>
      </w:pPr>
      <w:r>
        <w:rPr>
          <w:rFonts w:ascii="Arial" w:eastAsia="宋体" w:hAnsi="Arial" w:cs="Arial"/>
          <w:i/>
          <w:iCs/>
          <w:color w:val="000000"/>
          <w:sz w:val="20"/>
          <w:szCs w:val="20"/>
        </w:rPr>
        <w:t>General Matters</w:t>
      </w:r>
    </w:p>
    <w:p w14:paraId="22CFCF9D" w14:textId="77777777" w:rsidR="002661BA" w:rsidRDefault="002661BA">
      <w:pPr>
        <w:jc w:val="both"/>
      </w:pPr>
    </w:p>
    <w:p w14:paraId="22CFCF9E" w14:textId="77777777" w:rsidR="002661BA" w:rsidRDefault="00D972BC">
      <w:pPr>
        <w:ind w:firstLine="540"/>
        <w:jc w:val="both"/>
      </w:pPr>
      <w:r>
        <w:rPr>
          <w:rFonts w:ascii="Arial" w:eastAsia="宋体" w:hAnsi="Arial" w:cs="Arial"/>
          <w:color w:val="000000"/>
          <w:sz w:val="20"/>
          <w:szCs w:val="20"/>
        </w:rPr>
        <w:t>Thi</w:t>
      </w:r>
      <w:r>
        <w:rPr>
          <w:rFonts w:ascii="Arial" w:eastAsia="宋体" w:hAnsi="Arial" w:cs="Arial"/>
          <w:color w:val="000000"/>
          <w:sz w:val="20"/>
          <w:szCs w:val="20"/>
        </w:rPr>
        <w:t>rd parties have from time to time claimed, and others may claim in the future, that we have infringed their intellectual property rights. We are subject to patent disputes, and expect that we could be subject to additional patent infringement claims involv</w:t>
      </w:r>
      <w:r>
        <w:rPr>
          <w:rFonts w:ascii="Arial" w:eastAsia="宋体" w:hAnsi="Arial" w:cs="Arial"/>
          <w:color w:val="000000"/>
          <w:sz w:val="20"/>
          <w:szCs w:val="20"/>
        </w:rPr>
        <w:t>ing various aspects of our business as our products and services continue to expand in scope and complexity. Such claims may be brought directly or indirectly against us and/or against our customers (who may be entitled to contractual indemnification under</w:t>
      </w:r>
      <w:r>
        <w:rPr>
          <w:rFonts w:ascii="Arial" w:eastAsia="宋体" w:hAnsi="Arial" w:cs="Arial"/>
          <w:color w:val="000000"/>
          <w:sz w:val="20"/>
          <w:szCs w:val="20"/>
        </w:rPr>
        <w:t xml:space="preserve"> their contracts with us), and we are subject to increased exposure to such claims as a result of our acquisitions and divestitures and in cases where we are entering new lines of business. We have in the past been forced to litigate such claims. We may al</w:t>
      </w:r>
      <w:r>
        <w:rPr>
          <w:rFonts w:ascii="Arial" w:eastAsia="宋体" w:hAnsi="Arial" w:cs="Arial"/>
          <w:color w:val="000000"/>
          <w:sz w:val="20"/>
          <w:szCs w:val="20"/>
        </w:rPr>
        <w:t>so become more vulnerable to third-party claims as laws such as the Digital Millennium Copyright Act, the Lanham Act and the Communications Decency Act are interpreted by the courts, and as we expand the scope of our business (both in terms of the range of</w:t>
      </w:r>
      <w:r>
        <w:rPr>
          <w:rFonts w:ascii="Arial" w:eastAsia="宋体" w:hAnsi="Arial" w:cs="Arial"/>
          <w:color w:val="000000"/>
          <w:sz w:val="20"/>
          <w:szCs w:val="20"/>
        </w:rPr>
        <w:t xml:space="preserve"> products and services that we offer and our geographical operations) and become subject to laws in jurisdictions where the underlying laws with respect to the potential liability of online intermediaries like ourselves are either unclear or less favorable</w:t>
      </w:r>
      <w:r>
        <w:rPr>
          <w:rFonts w:ascii="Arial" w:eastAsia="宋体" w:hAnsi="Arial" w:cs="Arial"/>
          <w:color w:val="000000"/>
          <w:sz w:val="20"/>
          <w:szCs w:val="20"/>
        </w:rPr>
        <w:t xml:space="preserve">. We believe that additional lawsuits alleging that we have violated patent, copyright or trademark laws will be filed against us. Intellectual property claims, whether meritorious or not, are time consuming and costly to defend and resolve, could require </w:t>
      </w:r>
      <w:r>
        <w:rPr>
          <w:rFonts w:ascii="Arial" w:eastAsia="宋体" w:hAnsi="Arial" w:cs="Arial"/>
          <w:color w:val="000000"/>
          <w:sz w:val="20"/>
          <w:szCs w:val="20"/>
        </w:rPr>
        <w:t>expensive changes in our methods of doing business or could require us to enter into costly royalty or licensing agreements on unfavorable terms.</w:t>
      </w:r>
    </w:p>
    <w:p w14:paraId="22CFCF9F" w14:textId="77777777" w:rsidR="002661BA" w:rsidRDefault="002661BA">
      <w:pPr>
        <w:ind w:firstLine="540"/>
        <w:jc w:val="both"/>
      </w:pPr>
    </w:p>
    <w:p w14:paraId="22CFCFA0" w14:textId="77777777" w:rsidR="002661BA" w:rsidRDefault="00D972BC">
      <w:pPr>
        <w:ind w:firstLine="540"/>
        <w:jc w:val="both"/>
      </w:pPr>
      <w:r>
        <w:rPr>
          <w:rFonts w:ascii="Arial" w:eastAsia="宋体" w:hAnsi="Arial" w:cs="Arial"/>
          <w:color w:val="000000"/>
          <w:sz w:val="20"/>
          <w:szCs w:val="20"/>
        </w:rPr>
        <w:t>From time to time, we are involved in other disputes or regulatory inquiries that arise in the ordinary cours</w:t>
      </w:r>
      <w:r>
        <w:rPr>
          <w:rFonts w:ascii="Arial" w:eastAsia="宋体" w:hAnsi="Arial" w:cs="Arial"/>
          <w:color w:val="000000"/>
          <w:sz w:val="20"/>
          <w:szCs w:val="20"/>
        </w:rPr>
        <w:t>e of business, including suits by our users (individually or as class actions) alleging, among other things, improper disclosure of our prices, rules or policies, that our practices, prices, rules, policies or customer/user agreements violate applicable la</w:t>
      </w:r>
      <w:r>
        <w:rPr>
          <w:rFonts w:ascii="Arial" w:eastAsia="宋体" w:hAnsi="Arial" w:cs="Arial"/>
          <w:color w:val="000000"/>
          <w:sz w:val="20"/>
          <w:szCs w:val="20"/>
        </w:rPr>
        <w:t>w or that we have acted unfairly and/or not acted in conformity with such practices, prices, rules, policies or agreements. Further, the number and significance of these disputes and inquiries are increasing as the political and regulatory landscape change</w:t>
      </w:r>
      <w:r>
        <w:rPr>
          <w:rFonts w:ascii="Arial" w:eastAsia="宋体" w:hAnsi="Arial" w:cs="Arial"/>
          <w:color w:val="000000"/>
          <w:sz w:val="20"/>
          <w:szCs w:val="20"/>
        </w:rPr>
        <w:t>s and, as we have grown larger, our businesses have expanded in scope (both in terms of the range of products and services that we offer and our geographical operations) and our products and services have increased in complexity. Any claims or regulatory a</w:t>
      </w:r>
      <w:r>
        <w:rPr>
          <w:rFonts w:ascii="Arial" w:eastAsia="宋体" w:hAnsi="Arial" w:cs="Arial"/>
          <w:color w:val="000000"/>
          <w:sz w:val="20"/>
          <w:szCs w:val="20"/>
        </w:rPr>
        <w:t>ctions against us, whether meritorious or not, could be time consuming, result in costly litigation, damage awards (including statutory damages for certain causes of action in certain jurisdictions), injunctive relief or increased costs of doing business t</w:t>
      </w:r>
      <w:r>
        <w:rPr>
          <w:rFonts w:ascii="Arial" w:eastAsia="宋体" w:hAnsi="Arial" w:cs="Arial"/>
          <w:color w:val="000000"/>
          <w:sz w:val="20"/>
          <w:szCs w:val="20"/>
        </w:rPr>
        <w:t>hrough adverse judgment or settlement, require us to change our business practices in expensive ways, require significant amounts of management time, result in the diversion of significant operational resources or otherwise harm our business.</w:t>
      </w:r>
    </w:p>
    <w:p w14:paraId="22CFCFA1" w14:textId="77777777" w:rsidR="002661BA" w:rsidRDefault="002661BA">
      <w:pPr>
        <w:ind w:firstLine="540"/>
        <w:jc w:val="both"/>
      </w:pPr>
    </w:p>
    <w:p w14:paraId="22CFCFA2" w14:textId="77777777" w:rsidR="002661BA" w:rsidRDefault="00D972BC">
      <w:pPr>
        <w:ind w:firstLine="540"/>
        <w:jc w:val="both"/>
      </w:pPr>
      <w:r>
        <w:rPr>
          <w:rFonts w:ascii="Arial" w:eastAsia="宋体" w:hAnsi="Arial" w:cs="Arial"/>
          <w:color w:val="000000"/>
          <w:sz w:val="20"/>
          <w:szCs w:val="20"/>
        </w:rPr>
        <w:t>From time to</w:t>
      </w:r>
      <w:r>
        <w:rPr>
          <w:rFonts w:ascii="Arial" w:eastAsia="宋体" w:hAnsi="Arial" w:cs="Arial"/>
          <w:color w:val="000000"/>
          <w:sz w:val="20"/>
          <w:szCs w:val="20"/>
        </w:rPr>
        <w:t xml:space="preserve"> time, the Company receives subpoenas or requests for information from various government agencies, typically for potential misconduct by sellers on the Company’s Marketplace platforms. More recently, the Company has received subpoenas or requests for info</w:t>
      </w:r>
      <w:r>
        <w:rPr>
          <w:rFonts w:ascii="Arial" w:eastAsia="宋体" w:hAnsi="Arial" w:cs="Arial"/>
          <w:color w:val="000000"/>
          <w:sz w:val="20"/>
          <w:szCs w:val="20"/>
        </w:rPr>
        <w:t>rmation from government agencies related to potential liability of the Company for products sold by sellers on the Marketplace platforms. The Company generally responds to government subpoenas and requests in the ordinary course of business and in a cooper</w:t>
      </w:r>
      <w:r>
        <w:rPr>
          <w:rFonts w:ascii="Arial" w:eastAsia="宋体" w:hAnsi="Arial" w:cs="Arial"/>
          <w:color w:val="000000"/>
          <w:sz w:val="20"/>
          <w:szCs w:val="20"/>
        </w:rPr>
        <w:t xml:space="preserve">ative, thorough and timely manner. These responses sometimes require time and effort and can result in considerable costs being incurred by the Company. </w:t>
      </w:r>
    </w:p>
    <w:p w14:paraId="22CFCFA3" w14:textId="77777777" w:rsidR="002661BA" w:rsidRDefault="002661BA">
      <w:pPr>
        <w:ind w:firstLine="540"/>
        <w:jc w:val="both"/>
      </w:pPr>
    </w:p>
    <w:p w14:paraId="22CFCFA4" w14:textId="77777777" w:rsidR="002661BA" w:rsidRDefault="00D972BC">
      <w:pPr>
        <w:ind w:firstLine="540"/>
        <w:jc w:val="both"/>
      </w:pPr>
      <w:r>
        <w:rPr>
          <w:rFonts w:ascii="Arial" w:eastAsia="宋体" w:hAnsi="Arial" w:cs="Arial"/>
          <w:color w:val="000000"/>
          <w:sz w:val="20"/>
          <w:szCs w:val="20"/>
        </w:rPr>
        <w:t xml:space="preserve">In this regard, the Company has responded to inquiries from the U.S. Department of Justice regarding </w:t>
      </w:r>
      <w:r>
        <w:rPr>
          <w:rFonts w:ascii="Arial" w:eastAsia="宋体" w:hAnsi="Arial" w:cs="Arial"/>
          <w:color w:val="000000"/>
          <w:sz w:val="20"/>
          <w:szCs w:val="20"/>
        </w:rPr>
        <w:t>products sold on the Marketplace platforms alleged to violate certain laws and regulations, including regulations of the Environmental Protection Agency and, separately, regulations of the Drug Enforcement Agency. If the Company is found to be liable for s</w:t>
      </w:r>
      <w:r>
        <w:rPr>
          <w:rFonts w:ascii="Arial" w:eastAsia="宋体" w:hAnsi="Arial" w:cs="Arial"/>
          <w:color w:val="000000"/>
          <w:sz w:val="20"/>
          <w:szCs w:val="20"/>
        </w:rPr>
        <w:t>uch activities on the Marketplace, it could be subject to monetary damages, changes in our business practices, or other remedies that could have a material adverse impact on our business. At this time, we are unable to estimate the possible loss because th</w:t>
      </w:r>
      <w:r>
        <w:rPr>
          <w:rFonts w:ascii="Arial" w:eastAsia="宋体" w:hAnsi="Arial" w:cs="Arial"/>
          <w:color w:val="000000"/>
          <w:sz w:val="20"/>
          <w:szCs w:val="20"/>
        </w:rPr>
        <w:t>e matters are still under investigation and involve novel legal questions relevant to the Company’s potential liability. Given the uncertainties involved, the ultimate resolution of these matters may be material to our operating results for a particular pe</w:t>
      </w:r>
      <w:r>
        <w:rPr>
          <w:rFonts w:ascii="Arial" w:eastAsia="宋体" w:hAnsi="Arial" w:cs="Arial"/>
          <w:color w:val="000000"/>
          <w:sz w:val="20"/>
          <w:szCs w:val="20"/>
        </w:rPr>
        <w:t>riod, depending on, among other factors, the size of the loss or liability imposed and the level of our net income or loss for that period.</w:t>
      </w:r>
    </w:p>
    <w:p w14:paraId="22CFCFA5" w14:textId="77777777" w:rsidR="002661BA" w:rsidRDefault="002661BA">
      <w:pPr>
        <w:ind w:firstLine="540"/>
        <w:jc w:val="both"/>
      </w:pPr>
    </w:p>
    <w:p w14:paraId="22CFCFA6" w14:textId="77777777" w:rsidR="002661BA" w:rsidRDefault="00D972BC">
      <w:pPr>
        <w:ind w:firstLine="270"/>
        <w:jc w:val="both"/>
      </w:pPr>
      <w:r>
        <w:rPr>
          <w:rFonts w:ascii="Arial" w:eastAsia="宋体" w:hAnsi="Arial" w:cs="Arial"/>
          <w:b/>
          <w:bCs/>
          <w:i/>
          <w:iCs/>
          <w:color w:val="000000"/>
          <w:sz w:val="20"/>
          <w:szCs w:val="20"/>
        </w:rPr>
        <w:t>Indemnification Provisions</w:t>
      </w:r>
    </w:p>
    <w:p w14:paraId="22CFCFA7" w14:textId="77777777" w:rsidR="002661BA" w:rsidRDefault="002661BA">
      <w:pPr>
        <w:jc w:val="both"/>
      </w:pPr>
    </w:p>
    <w:p w14:paraId="22CFCFA8" w14:textId="77777777" w:rsidR="002661BA" w:rsidRDefault="00D972BC">
      <w:pPr>
        <w:ind w:firstLine="540"/>
        <w:jc w:val="both"/>
      </w:pPr>
      <w:r>
        <w:rPr>
          <w:rFonts w:ascii="Arial" w:eastAsia="宋体" w:hAnsi="Arial" w:cs="Arial"/>
          <w:color w:val="000000"/>
          <w:sz w:val="20"/>
          <w:szCs w:val="20"/>
        </w:rPr>
        <w:t xml:space="preserve">We entered into a separation and distribution agreement and various other </w:t>
      </w:r>
      <w:r>
        <w:rPr>
          <w:rFonts w:ascii="Arial" w:eastAsia="宋体" w:hAnsi="Arial" w:cs="Arial"/>
          <w:color w:val="000000"/>
          <w:sz w:val="20"/>
          <w:szCs w:val="20"/>
        </w:rPr>
        <w:t>agreements with PayPal to govern the separation and relationship of the two companies. These agreements provide for specific indemnity and liability obligations and could lead to disputes between us and PayPal, which may be significant. In addition, the in</w:t>
      </w:r>
      <w:r>
        <w:rPr>
          <w:rFonts w:ascii="Arial" w:eastAsia="宋体" w:hAnsi="Arial" w:cs="Arial"/>
          <w:color w:val="000000"/>
          <w:sz w:val="20"/>
          <w:szCs w:val="20"/>
        </w:rPr>
        <w:t>demnity rights we have against PayPal under the agreements may not be sufficient to protect us and our indemnity obligations to PayPal may be significant.</w:t>
      </w:r>
    </w:p>
    <w:p w14:paraId="22CFCFA9" w14:textId="77777777" w:rsidR="002661BA" w:rsidRDefault="00D972BC">
      <w:pPr>
        <w:jc w:val="center"/>
      </w:pPr>
      <w:r>
        <w:rPr>
          <w:rFonts w:ascii="Arial" w:eastAsia="宋体" w:hAnsi="Arial" w:cs="Arial"/>
          <w:color w:val="000000"/>
          <w:sz w:val="18"/>
          <w:szCs w:val="18"/>
        </w:rPr>
        <w:t>102</w:t>
      </w:r>
    </w:p>
    <w:p w14:paraId="22CFCFAA" w14:textId="77777777" w:rsidR="002661BA" w:rsidRDefault="00D972BC">
      <w:r>
        <w:pict w14:anchorId="22CFE517">
          <v:rect id="_x0000_i1126" style="width:415.3pt;height:1.5pt" o:hralign="center" o:hrstd="t" o:hr="t" fillcolor="#a0a0a0" stroked="f"/>
        </w:pict>
      </w:r>
    </w:p>
    <w:p w14:paraId="22CFCFAB" w14:textId="77777777" w:rsidR="002661BA" w:rsidRDefault="00D972BC">
      <w:hyperlink r:id="rId137" w:anchor="id0d7a71b05ce452ea9fdb54f3cb359c7_7" w:history="1">
        <w:r>
          <w:rPr>
            <w:rStyle w:val="a5"/>
            <w:rFonts w:ascii="Arial" w:eastAsia="宋体" w:hAnsi="Arial" w:cs="Arial"/>
            <w:sz w:val="18"/>
            <w:szCs w:val="18"/>
          </w:rPr>
          <w:t>Table of Contents</w:t>
        </w:r>
      </w:hyperlink>
    </w:p>
    <w:p w14:paraId="22CFCFAC" w14:textId="77777777" w:rsidR="002661BA" w:rsidRDefault="00D972BC">
      <w:pPr>
        <w:jc w:val="center"/>
      </w:pPr>
      <w:r>
        <w:rPr>
          <w:rFonts w:ascii="Arial" w:eastAsia="宋体" w:hAnsi="Arial" w:cs="Arial"/>
          <w:b/>
          <w:bCs/>
          <w:color w:val="000000"/>
          <w:sz w:val="20"/>
          <w:szCs w:val="20"/>
        </w:rPr>
        <w:t>eBay Inc.</w:t>
      </w:r>
    </w:p>
    <w:p w14:paraId="22CFCFAD"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FAE" w14:textId="77777777" w:rsidR="002661BA" w:rsidRDefault="002661BA">
      <w:pPr>
        <w:ind w:firstLine="540"/>
        <w:jc w:val="both"/>
      </w:pPr>
    </w:p>
    <w:p w14:paraId="22CFCFAF" w14:textId="77777777" w:rsidR="002661BA" w:rsidRDefault="00D972BC">
      <w:pPr>
        <w:ind w:firstLine="540"/>
        <w:jc w:val="both"/>
      </w:pPr>
      <w:r>
        <w:rPr>
          <w:rFonts w:ascii="Arial" w:eastAsia="宋体" w:hAnsi="Arial" w:cs="Arial"/>
          <w:color w:val="000000"/>
          <w:sz w:val="20"/>
          <w:szCs w:val="20"/>
        </w:rPr>
        <w:t>In addition, we hav</w:t>
      </w:r>
      <w:r>
        <w:rPr>
          <w:rFonts w:ascii="Arial" w:eastAsia="宋体" w:hAnsi="Arial" w:cs="Arial"/>
          <w:color w:val="000000"/>
          <w:sz w:val="20"/>
          <w:szCs w:val="20"/>
        </w:rPr>
        <w:t>e entered into indemnification agreements with each of our directors, executive officers and certain other officers. These agreements require us to indemnify such individuals, to the fullest extent permitted by Delaware law, for certain liabilities to whic</w:t>
      </w:r>
      <w:r>
        <w:rPr>
          <w:rFonts w:ascii="Arial" w:eastAsia="宋体" w:hAnsi="Arial" w:cs="Arial"/>
          <w:color w:val="000000"/>
          <w:sz w:val="20"/>
          <w:szCs w:val="20"/>
        </w:rPr>
        <w:t xml:space="preserve">h they may become subject as a result of their affiliation with us. </w:t>
      </w:r>
    </w:p>
    <w:p w14:paraId="22CFCFB0" w14:textId="77777777" w:rsidR="002661BA" w:rsidRDefault="002661BA">
      <w:pPr>
        <w:ind w:firstLine="540"/>
        <w:jc w:val="both"/>
      </w:pPr>
    </w:p>
    <w:p w14:paraId="22CFCFB1" w14:textId="77777777" w:rsidR="002661BA" w:rsidRDefault="00D972BC">
      <w:pPr>
        <w:ind w:firstLine="540"/>
        <w:jc w:val="both"/>
      </w:pPr>
      <w:r>
        <w:rPr>
          <w:rFonts w:ascii="Arial" w:eastAsia="宋体" w:hAnsi="Arial" w:cs="Arial"/>
          <w:color w:val="000000"/>
          <w:sz w:val="20"/>
          <w:szCs w:val="20"/>
        </w:rPr>
        <w:t>In the ordinary course of business, we have included limited indemnification provisions in certain of our agreements with parties with which we have commercial relations, including our s</w:t>
      </w:r>
      <w:r>
        <w:rPr>
          <w:rFonts w:ascii="Arial" w:eastAsia="宋体" w:hAnsi="Arial" w:cs="Arial"/>
          <w:color w:val="000000"/>
          <w:sz w:val="20"/>
          <w:szCs w:val="20"/>
        </w:rPr>
        <w:t>tandard marketing, promotions and application programming interface license agreements. Under these contracts, we generally indemnify, hold harmless and agree to reimburse the indemnified party for losses suffered or incurred by the indemnified party in co</w:t>
      </w:r>
      <w:r>
        <w:rPr>
          <w:rFonts w:ascii="Arial" w:eastAsia="宋体" w:hAnsi="Arial" w:cs="Arial"/>
          <w:color w:val="000000"/>
          <w:sz w:val="20"/>
          <w:szCs w:val="20"/>
        </w:rPr>
        <w:t>nnection with claims by a third party with respect to our domain names, trademarks, logos and other branding elements to the extent that such marks are applicable to our performance under the subject agreement. In certain cases, we have agreed to provide i</w:t>
      </w:r>
      <w:r>
        <w:rPr>
          <w:rFonts w:ascii="Arial" w:eastAsia="宋体" w:hAnsi="Arial" w:cs="Arial"/>
          <w:color w:val="000000"/>
          <w:sz w:val="20"/>
          <w:szCs w:val="20"/>
        </w:rPr>
        <w:t>ndemnification for intellectual property infringement. It is not possible to determine the maximum potential loss under these indemnification provisions due to our limited history of prior indemnification claims and the unique facts and circumstances invol</w:t>
      </w:r>
      <w:r>
        <w:rPr>
          <w:rFonts w:ascii="Arial" w:eastAsia="宋体" w:hAnsi="Arial" w:cs="Arial"/>
          <w:color w:val="000000"/>
          <w:sz w:val="20"/>
          <w:szCs w:val="20"/>
        </w:rPr>
        <w:t>ved in each particular provision. To date, losses recorded in our consolidated statement of income in connection with our indemnification provisions have not been significant, either individually or collectively. </w:t>
      </w:r>
    </w:p>
    <w:p w14:paraId="22CFCFB2" w14:textId="77777777" w:rsidR="002661BA" w:rsidRDefault="002661BA">
      <w:pPr>
        <w:jc w:val="both"/>
      </w:pPr>
    </w:p>
    <w:p w14:paraId="22CFCFB3" w14:textId="77777777" w:rsidR="002661BA" w:rsidRDefault="00D972BC">
      <w:pPr>
        <w:jc w:val="center"/>
      </w:pPr>
      <w:r>
        <w:rPr>
          <w:rFonts w:ascii="Arial" w:eastAsia="宋体" w:hAnsi="Arial" w:cs="Arial"/>
          <w:color w:val="000000"/>
          <w:sz w:val="18"/>
          <w:szCs w:val="18"/>
        </w:rPr>
        <w:t>103</w:t>
      </w:r>
    </w:p>
    <w:p w14:paraId="22CFCFB4" w14:textId="77777777" w:rsidR="002661BA" w:rsidRDefault="00D972BC">
      <w:r>
        <w:pict w14:anchorId="22CFE518">
          <v:rect id="_x0000_i1127" style="width:415.3pt;height:1.5pt" o:hralign="center" o:hrstd="t" o:hr="t" fillcolor="#a0a0a0" stroked="f"/>
        </w:pict>
      </w:r>
    </w:p>
    <w:p w14:paraId="22CFCFB5" w14:textId="77777777" w:rsidR="002661BA" w:rsidRDefault="00D972BC">
      <w:hyperlink r:id="rId138" w:anchor="id0d7a71b05ce452ea9fdb54f3cb359c7_7" w:history="1">
        <w:r>
          <w:rPr>
            <w:rStyle w:val="a5"/>
            <w:rFonts w:ascii="Arial" w:eastAsia="宋体" w:hAnsi="Arial" w:cs="Arial"/>
            <w:sz w:val="18"/>
            <w:szCs w:val="18"/>
          </w:rPr>
          <w:t>Table of Contents</w:t>
        </w:r>
      </w:hyperlink>
    </w:p>
    <w:p w14:paraId="22CFCFB6" w14:textId="77777777" w:rsidR="002661BA" w:rsidRDefault="00D972BC">
      <w:pPr>
        <w:jc w:val="center"/>
      </w:pPr>
      <w:r>
        <w:rPr>
          <w:rFonts w:ascii="Arial" w:eastAsia="宋体" w:hAnsi="Arial" w:cs="Arial"/>
          <w:b/>
          <w:bCs/>
          <w:color w:val="000000"/>
          <w:sz w:val="20"/>
          <w:szCs w:val="20"/>
        </w:rPr>
        <w:t>eBay Inc.</w:t>
      </w:r>
    </w:p>
    <w:p w14:paraId="22CFCFB7"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FB8" w14:textId="77777777" w:rsidR="002661BA" w:rsidRDefault="00D972BC">
      <w:pPr>
        <w:jc w:val="both"/>
      </w:pPr>
      <w:r>
        <w:rPr>
          <w:rFonts w:ascii="Arial" w:eastAsia="宋体" w:hAnsi="Arial" w:cs="Arial"/>
          <w:b/>
          <w:bCs/>
          <w:color w:val="000000"/>
          <w:sz w:val="20"/>
          <w:szCs w:val="20"/>
        </w:rPr>
        <w:t xml:space="preserve">Note 13 — Stockholders’ Equity </w:t>
      </w:r>
    </w:p>
    <w:p w14:paraId="22CFCFB9" w14:textId="77777777" w:rsidR="002661BA" w:rsidRDefault="002661BA">
      <w:pPr>
        <w:ind w:firstLine="180"/>
        <w:jc w:val="both"/>
      </w:pPr>
    </w:p>
    <w:p w14:paraId="22CFCFBA" w14:textId="77777777" w:rsidR="002661BA" w:rsidRDefault="00D972BC">
      <w:pPr>
        <w:ind w:firstLine="180"/>
        <w:jc w:val="both"/>
      </w:pPr>
      <w:r>
        <w:rPr>
          <w:rFonts w:ascii="Arial" w:eastAsia="宋体" w:hAnsi="Arial" w:cs="Arial"/>
          <w:b/>
          <w:bCs/>
          <w:i/>
          <w:iCs/>
          <w:color w:val="000000"/>
          <w:sz w:val="20"/>
          <w:szCs w:val="20"/>
        </w:rPr>
        <w:t>Preferred Stock</w:t>
      </w:r>
    </w:p>
    <w:p w14:paraId="22CFCFBB" w14:textId="77777777" w:rsidR="002661BA" w:rsidRDefault="002661BA">
      <w:pPr>
        <w:ind w:firstLine="495"/>
        <w:jc w:val="both"/>
      </w:pPr>
    </w:p>
    <w:p w14:paraId="22CFCFBC" w14:textId="77777777" w:rsidR="002661BA" w:rsidRDefault="00D972BC">
      <w:pPr>
        <w:ind w:firstLine="540"/>
        <w:jc w:val="both"/>
      </w:pPr>
      <w:r>
        <w:rPr>
          <w:rFonts w:ascii="Arial" w:eastAsia="宋体" w:hAnsi="Arial" w:cs="Arial"/>
          <w:color w:val="000000"/>
          <w:sz w:val="20"/>
          <w:szCs w:val="20"/>
        </w:rPr>
        <w:t>We ar</w:t>
      </w:r>
      <w:r>
        <w:rPr>
          <w:rFonts w:ascii="Arial" w:eastAsia="宋体" w:hAnsi="Arial" w:cs="Arial"/>
          <w:color w:val="000000"/>
          <w:sz w:val="20"/>
          <w:szCs w:val="20"/>
        </w:rPr>
        <w:t>e authorized, subject to limitations prescribed by Delaware law, to issue preferred stock in one or more series; to establish the number of shares included within each series; to fix the rights, preferences and privileges of the shares of each wholly uniss</w:t>
      </w:r>
      <w:r>
        <w:rPr>
          <w:rFonts w:ascii="Arial" w:eastAsia="宋体" w:hAnsi="Arial" w:cs="Arial"/>
          <w:color w:val="000000"/>
          <w:sz w:val="20"/>
          <w:szCs w:val="20"/>
        </w:rPr>
        <w:t>ued series and any related qualifications, limitations or restrictions; and to increase or decrease the number of shares of any series (but not below the number of shares of a series then outstanding) without any further vote or action by our stockholders.</w:t>
      </w:r>
      <w:r>
        <w:rPr>
          <w:rFonts w:ascii="Arial" w:eastAsia="宋体" w:hAnsi="Arial" w:cs="Arial"/>
          <w:color w:val="000000"/>
          <w:sz w:val="20"/>
          <w:szCs w:val="20"/>
        </w:rPr>
        <w:t xml:space="preserve"> As of December 31, 2021 and 2020, there were 10 million shares of $0.001 par value preferred stock authorized for issuance, and no shares issued or outstanding. </w:t>
      </w:r>
    </w:p>
    <w:p w14:paraId="22CFCFBD" w14:textId="77777777" w:rsidR="002661BA" w:rsidRDefault="002661BA">
      <w:pPr>
        <w:ind w:firstLine="180"/>
        <w:jc w:val="both"/>
      </w:pPr>
    </w:p>
    <w:p w14:paraId="22CFCFBE" w14:textId="77777777" w:rsidR="002661BA" w:rsidRDefault="00D972BC">
      <w:pPr>
        <w:ind w:firstLine="180"/>
        <w:jc w:val="both"/>
      </w:pPr>
      <w:r>
        <w:rPr>
          <w:rFonts w:ascii="Arial" w:eastAsia="宋体" w:hAnsi="Arial" w:cs="Arial"/>
          <w:b/>
          <w:bCs/>
          <w:i/>
          <w:iCs/>
          <w:color w:val="000000"/>
          <w:sz w:val="20"/>
          <w:szCs w:val="20"/>
        </w:rPr>
        <w:t>Common Stock</w:t>
      </w:r>
    </w:p>
    <w:p w14:paraId="22CFCFBF" w14:textId="77777777" w:rsidR="002661BA" w:rsidRDefault="002661BA">
      <w:pPr>
        <w:ind w:firstLine="450"/>
        <w:jc w:val="both"/>
      </w:pPr>
    </w:p>
    <w:p w14:paraId="22CFCFC0" w14:textId="77777777" w:rsidR="002661BA" w:rsidRDefault="00D972BC">
      <w:pPr>
        <w:ind w:firstLine="540"/>
        <w:jc w:val="both"/>
      </w:pPr>
      <w:r>
        <w:rPr>
          <w:rFonts w:ascii="Arial" w:eastAsia="宋体" w:hAnsi="Arial" w:cs="Arial"/>
          <w:color w:val="000000"/>
          <w:sz w:val="20"/>
          <w:szCs w:val="20"/>
        </w:rPr>
        <w:t xml:space="preserve">Our Amended and Restated Certificate of Incorporation authorizes us to issue 3.6 billion shares of common stock. </w:t>
      </w:r>
    </w:p>
    <w:p w14:paraId="22CFCFC1" w14:textId="77777777" w:rsidR="002661BA" w:rsidRDefault="002661BA">
      <w:pPr>
        <w:ind w:firstLine="450"/>
        <w:jc w:val="both"/>
      </w:pPr>
    </w:p>
    <w:p w14:paraId="22CFCFC2" w14:textId="77777777" w:rsidR="002661BA" w:rsidRDefault="00D972BC">
      <w:pPr>
        <w:ind w:firstLine="180"/>
        <w:jc w:val="both"/>
      </w:pPr>
      <w:r>
        <w:rPr>
          <w:rFonts w:ascii="Arial" w:eastAsia="宋体" w:hAnsi="Arial" w:cs="Arial"/>
          <w:b/>
          <w:bCs/>
          <w:i/>
          <w:iCs/>
          <w:color w:val="000000"/>
          <w:sz w:val="20"/>
          <w:szCs w:val="20"/>
        </w:rPr>
        <w:t xml:space="preserve">Stock Repurchase Programs </w:t>
      </w:r>
    </w:p>
    <w:p w14:paraId="22CFCFC3" w14:textId="77777777" w:rsidR="002661BA" w:rsidRDefault="002661BA">
      <w:pPr>
        <w:ind w:firstLine="540"/>
      </w:pPr>
    </w:p>
    <w:p w14:paraId="22CFCFC4" w14:textId="77777777" w:rsidR="002661BA" w:rsidRDefault="00D972BC">
      <w:pPr>
        <w:ind w:firstLine="540"/>
        <w:jc w:val="both"/>
      </w:pPr>
      <w:r>
        <w:rPr>
          <w:rFonts w:ascii="Arial" w:eastAsia="宋体" w:hAnsi="Arial" w:cs="Arial"/>
          <w:color w:val="000000"/>
          <w:sz w:val="20"/>
          <w:szCs w:val="20"/>
        </w:rPr>
        <w:t>Our stock repurchase programs are intended to programmatically offset the impact of dilution from our equity comp</w:t>
      </w:r>
      <w:r>
        <w:rPr>
          <w:rFonts w:ascii="Arial" w:eastAsia="宋体" w:hAnsi="Arial" w:cs="Arial"/>
          <w:color w:val="000000"/>
          <w:sz w:val="20"/>
          <w:szCs w:val="20"/>
        </w:rPr>
        <w:t>ensation programs and, subject to market conditions and other factors, to make opportunistic and programmatic repurchases of our common stock to reduce our outstanding share count. Any share repurchases under our stock repurchase programs may be made throu</w:t>
      </w:r>
      <w:r>
        <w:rPr>
          <w:rFonts w:ascii="Arial" w:eastAsia="宋体" w:hAnsi="Arial" w:cs="Arial"/>
          <w:color w:val="000000"/>
          <w:sz w:val="20"/>
          <w:szCs w:val="20"/>
        </w:rPr>
        <w:t>gh open market transactions, block trades, privately negotiated transactions (including accelerated share repurchase transactions) or other means at times and in such amounts as management deems appropriate and will be funded from our working capital or ot</w:t>
      </w:r>
      <w:r>
        <w:rPr>
          <w:rFonts w:ascii="Arial" w:eastAsia="宋体" w:hAnsi="Arial" w:cs="Arial"/>
          <w:color w:val="000000"/>
          <w:sz w:val="20"/>
          <w:szCs w:val="20"/>
        </w:rPr>
        <w:t>her financing alternatives. Our stock repurchase programs may be limited or terminated at any time without prior notice. The timing and actual number of shares repurchased will depend on a variety of factors, including corporate and regulatory requirements</w:t>
      </w:r>
      <w:r>
        <w:rPr>
          <w:rFonts w:ascii="Arial" w:eastAsia="宋体" w:hAnsi="Arial" w:cs="Arial"/>
          <w:color w:val="000000"/>
          <w:sz w:val="20"/>
          <w:szCs w:val="20"/>
        </w:rPr>
        <w:t xml:space="preserve">, price and other market conditions and management’s determination as to the appropriate use of our cash.  </w:t>
      </w:r>
    </w:p>
    <w:p w14:paraId="22CFCFC5" w14:textId="77777777" w:rsidR="002661BA" w:rsidRDefault="002661BA">
      <w:pPr>
        <w:ind w:firstLine="540"/>
        <w:jc w:val="both"/>
      </w:pPr>
    </w:p>
    <w:p w14:paraId="22CFCFC6" w14:textId="77777777" w:rsidR="002661BA" w:rsidRDefault="00D972BC">
      <w:pPr>
        <w:ind w:firstLine="540"/>
        <w:jc w:val="both"/>
      </w:pPr>
      <w:r>
        <w:rPr>
          <w:rFonts w:ascii="Arial" w:eastAsia="宋体" w:hAnsi="Arial" w:cs="Arial"/>
          <w:color w:val="000000"/>
          <w:sz w:val="20"/>
          <w:szCs w:val="20"/>
        </w:rPr>
        <w:t>In January 2019, our Board authorized a $4.0 billion stock repurchase program, in January 2020 our Board authorized an additional $5.0 billion stoc</w:t>
      </w:r>
      <w:r>
        <w:rPr>
          <w:rFonts w:ascii="Arial" w:eastAsia="宋体" w:hAnsi="Arial" w:cs="Arial"/>
          <w:color w:val="000000"/>
          <w:sz w:val="20"/>
          <w:szCs w:val="20"/>
        </w:rPr>
        <w:t>k repurchase program, in February 2021 our Board authorized an additional $4.0 billion stock repurchase program and i</w:t>
      </w:r>
      <w:r>
        <w:rPr>
          <w:rFonts w:ascii="Arial" w:eastAsia="宋体" w:hAnsi="Arial" w:cs="Arial"/>
          <w:color w:val="212529"/>
          <w:sz w:val="20"/>
          <w:szCs w:val="20"/>
        </w:rPr>
        <w:t xml:space="preserve">n August 2021 our Board authorized an additional </w:t>
      </w:r>
      <w:r>
        <w:rPr>
          <w:rFonts w:ascii="Arial" w:eastAsia="宋体" w:hAnsi="Arial" w:cs="Arial"/>
          <w:color w:val="000000"/>
          <w:sz w:val="20"/>
          <w:szCs w:val="20"/>
        </w:rPr>
        <w:t xml:space="preserve">$3.0 billion </w:t>
      </w:r>
      <w:r>
        <w:rPr>
          <w:rFonts w:ascii="Arial" w:eastAsia="宋体" w:hAnsi="Arial" w:cs="Arial"/>
          <w:color w:val="212529"/>
          <w:sz w:val="20"/>
          <w:szCs w:val="20"/>
        </w:rPr>
        <w:t xml:space="preserve">stock repurchase program. </w:t>
      </w:r>
      <w:r>
        <w:rPr>
          <w:rFonts w:ascii="Arial" w:eastAsia="宋体" w:hAnsi="Arial" w:cs="Arial"/>
          <w:color w:val="000000"/>
          <w:sz w:val="20"/>
          <w:szCs w:val="20"/>
        </w:rPr>
        <w:t xml:space="preserve">These stock repurchase programs have no expiration </w:t>
      </w:r>
      <w:r>
        <w:rPr>
          <w:rFonts w:ascii="Arial" w:eastAsia="宋体" w:hAnsi="Arial" w:cs="Arial"/>
          <w:color w:val="000000"/>
          <w:sz w:val="20"/>
          <w:szCs w:val="20"/>
        </w:rPr>
        <w:t xml:space="preserve">from the date of authorization. </w:t>
      </w:r>
    </w:p>
    <w:p w14:paraId="22CFCFC7" w14:textId="77777777" w:rsidR="002661BA" w:rsidRDefault="002661BA">
      <w:pPr>
        <w:ind w:firstLine="540"/>
        <w:jc w:val="both"/>
      </w:pPr>
    </w:p>
    <w:p w14:paraId="22CFCFC8" w14:textId="77777777" w:rsidR="002661BA" w:rsidRDefault="00D972BC">
      <w:pPr>
        <w:ind w:firstLine="540"/>
        <w:jc w:val="both"/>
      </w:pPr>
      <w:r>
        <w:rPr>
          <w:rFonts w:ascii="Arial" w:eastAsia="宋体" w:hAnsi="Arial" w:cs="Arial"/>
          <w:color w:val="000000"/>
          <w:sz w:val="20"/>
          <w:szCs w:val="20"/>
        </w:rPr>
        <w:t>In February 2022, our Board authorized an additional $4.0 billion stock repurchase program, with no expiration from the date of authorization.</w:t>
      </w:r>
    </w:p>
    <w:p w14:paraId="22CFCFC9" w14:textId="77777777" w:rsidR="002661BA" w:rsidRDefault="002661BA">
      <w:pPr>
        <w:ind w:firstLine="540"/>
        <w:jc w:val="both"/>
      </w:pPr>
    </w:p>
    <w:p w14:paraId="22CFCFCA" w14:textId="77777777" w:rsidR="002661BA" w:rsidRDefault="00D972BC">
      <w:pPr>
        <w:ind w:firstLine="540"/>
        <w:jc w:val="both"/>
      </w:pPr>
      <w:r>
        <w:rPr>
          <w:rFonts w:ascii="Arial" w:eastAsia="宋体" w:hAnsi="Arial" w:cs="Arial"/>
          <w:color w:val="000000"/>
          <w:sz w:val="20"/>
          <w:szCs w:val="20"/>
        </w:rPr>
        <w:t>On October 29, 2021, we entered into accelerated share repurchase agreements (</w:t>
      </w:r>
      <w:r>
        <w:rPr>
          <w:rFonts w:ascii="Arial" w:eastAsia="宋体" w:hAnsi="Arial" w:cs="Arial"/>
          <w:color w:val="000000"/>
          <w:sz w:val="20"/>
          <w:szCs w:val="20"/>
        </w:rPr>
        <w:t xml:space="preserve">the “2021 ASR Agreements”) with two financial institutions (each a “2021 ASR Counterparty”), as part of our share repurchase program. Under the 2021 ASR Agreements, we paid an aggregate amount of $2.5 billion to the 2021 ASR Counterparties and received an </w:t>
      </w:r>
      <w:r>
        <w:rPr>
          <w:rFonts w:ascii="Arial" w:eastAsia="宋体" w:hAnsi="Arial" w:cs="Arial"/>
          <w:color w:val="000000"/>
          <w:sz w:val="20"/>
          <w:szCs w:val="20"/>
        </w:rPr>
        <w:t>initial delivery of approximately 29.3 million shares of our common stock, which were recorded as a $2,125 million increase to treasury stock. In December 2021, the 2021 ASR Agreement with one of the 2021 ASR Counterparties settled and resulted in a delive</w:t>
      </w:r>
      <w:r>
        <w:rPr>
          <w:rFonts w:ascii="Arial" w:eastAsia="宋体" w:hAnsi="Arial" w:cs="Arial"/>
          <w:color w:val="000000"/>
          <w:sz w:val="20"/>
          <w:szCs w:val="20"/>
        </w:rPr>
        <w:t>ry of approximately 3.4 million additional shares of our common stock, which were recorded as a $187.5 million increase to treasury stock. The remaining $187.5 million was evaluated as an unsettled forward contract indexed to our own stock, classified with</w:t>
      </w:r>
      <w:r>
        <w:rPr>
          <w:rFonts w:ascii="Arial" w:eastAsia="宋体" w:hAnsi="Arial" w:cs="Arial"/>
          <w:color w:val="000000"/>
          <w:sz w:val="20"/>
          <w:szCs w:val="20"/>
        </w:rPr>
        <w:t>in stockholders’ equity.</w:t>
      </w:r>
    </w:p>
    <w:p w14:paraId="22CFCFCB" w14:textId="77777777" w:rsidR="002661BA" w:rsidRDefault="002661BA">
      <w:pPr>
        <w:ind w:firstLine="540"/>
        <w:jc w:val="both"/>
      </w:pPr>
    </w:p>
    <w:p w14:paraId="22CFCFCC" w14:textId="77777777" w:rsidR="002661BA" w:rsidRDefault="00D972BC">
      <w:pPr>
        <w:ind w:firstLine="540"/>
        <w:jc w:val="both"/>
      </w:pPr>
      <w:r>
        <w:rPr>
          <w:rFonts w:ascii="Arial" w:eastAsia="宋体" w:hAnsi="Arial" w:cs="Arial"/>
          <w:color w:val="000000"/>
          <w:sz w:val="20"/>
          <w:szCs w:val="20"/>
        </w:rPr>
        <w:t>Subsequent to December 31, 2021, the 2021 ASR Agreement with the remaining 2021 ASR Counterparty settled and resulted in a delivery of approximately 3.3 million additional shares of our common stock. The related forward contract w</w:t>
      </w:r>
      <w:r>
        <w:rPr>
          <w:rFonts w:ascii="Arial" w:eastAsia="宋体" w:hAnsi="Arial" w:cs="Arial"/>
          <w:color w:val="000000"/>
          <w:sz w:val="20"/>
          <w:szCs w:val="20"/>
        </w:rPr>
        <w:t>as settled and recorded as a $187.5 million increase to treasury stock. In total under the 2021 ASR Agreements, approximately 36.0 million shares were repurchased at an average price per share of $69.43.</w:t>
      </w:r>
    </w:p>
    <w:p w14:paraId="22CFCFCD" w14:textId="77777777" w:rsidR="002661BA" w:rsidRDefault="002661BA">
      <w:pPr>
        <w:ind w:firstLine="540"/>
        <w:jc w:val="both"/>
      </w:pPr>
    </w:p>
    <w:p w14:paraId="22CFCFCE" w14:textId="77777777" w:rsidR="002661BA" w:rsidRDefault="00D972BC">
      <w:pPr>
        <w:jc w:val="center"/>
      </w:pPr>
      <w:r>
        <w:rPr>
          <w:rFonts w:ascii="Arial" w:eastAsia="宋体" w:hAnsi="Arial" w:cs="Arial"/>
          <w:color w:val="000000"/>
          <w:sz w:val="18"/>
          <w:szCs w:val="18"/>
        </w:rPr>
        <w:t>104</w:t>
      </w:r>
    </w:p>
    <w:p w14:paraId="22CFCFCF" w14:textId="77777777" w:rsidR="002661BA" w:rsidRDefault="00D972BC">
      <w:r>
        <w:pict w14:anchorId="22CFE519">
          <v:rect id="_x0000_i1128" style="width:415.3pt;height:1.5pt" o:hralign="center" o:hrstd="t" o:hr="t" fillcolor="#a0a0a0" stroked="f"/>
        </w:pict>
      </w:r>
    </w:p>
    <w:p w14:paraId="22CFCFD0" w14:textId="77777777" w:rsidR="002661BA" w:rsidRDefault="00D972BC">
      <w:hyperlink r:id="rId139" w:anchor="id0d7a71b05ce452ea9fdb54f3cb359c7_7" w:history="1">
        <w:r>
          <w:rPr>
            <w:rStyle w:val="a5"/>
            <w:rFonts w:ascii="Arial" w:eastAsia="宋体" w:hAnsi="Arial" w:cs="Arial"/>
            <w:sz w:val="18"/>
            <w:szCs w:val="18"/>
          </w:rPr>
          <w:t>Table of Contents</w:t>
        </w:r>
      </w:hyperlink>
    </w:p>
    <w:p w14:paraId="22CFCFD1" w14:textId="77777777" w:rsidR="002661BA" w:rsidRDefault="00D972BC">
      <w:pPr>
        <w:jc w:val="center"/>
      </w:pPr>
      <w:r>
        <w:rPr>
          <w:rFonts w:ascii="Arial" w:eastAsia="宋体" w:hAnsi="Arial" w:cs="Arial"/>
          <w:b/>
          <w:bCs/>
          <w:color w:val="000000"/>
          <w:sz w:val="20"/>
          <w:szCs w:val="20"/>
        </w:rPr>
        <w:t>eBay Inc.</w:t>
      </w:r>
    </w:p>
    <w:p w14:paraId="22CFCFD2"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CFD3" w14:textId="77777777" w:rsidR="002661BA" w:rsidRDefault="00D972BC">
      <w:pPr>
        <w:ind w:firstLine="540"/>
        <w:jc w:val="both"/>
      </w:pPr>
      <w:r>
        <w:rPr>
          <w:rFonts w:ascii="Arial" w:eastAsia="宋体" w:hAnsi="Arial" w:cs="Arial"/>
          <w:color w:val="212529"/>
          <w:sz w:val="20"/>
          <w:szCs w:val="20"/>
        </w:rPr>
        <w:t xml:space="preserve">On February 13, 2020, we entered into accelerated share </w:t>
      </w:r>
      <w:r>
        <w:rPr>
          <w:rFonts w:ascii="Arial" w:eastAsia="宋体" w:hAnsi="Arial" w:cs="Arial"/>
          <w:color w:val="212529"/>
          <w:sz w:val="20"/>
          <w:szCs w:val="20"/>
        </w:rPr>
        <w:t>repurchase agreements (the “2020 ASR Agreements”) with three financial institutions (each a “2020 ASR Counterparty”), as part of our share repurchase program. Under the 2020 ASR Agreements, we paid an aggregate amount of $3.0 billion to the 2020 ASR Counte</w:t>
      </w:r>
      <w:r>
        <w:rPr>
          <w:rFonts w:ascii="Arial" w:eastAsia="宋体" w:hAnsi="Arial" w:cs="Arial"/>
          <w:color w:val="212529"/>
          <w:sz w:val="20"/>
          <w:szCs w:val="20"/>
        </w:rPr>
        <w:t>rparties and received an initial delivery of approximately 69 million shares of our common stock, which shares were recorded as a $2.55 billion increase to treasury stock. The remaining $450 million was evaluated as an unsettled forward contract indexed to</w:t>
      </w:r>
      <w:r>
        <w:rPr>
          <w:rFonts w:ascii="Arial" w:eastAsia="宋体" w:hAnsi="Arial" w:cs="Arial"/>
          <w:color w:val="212529"/>
          <w:sz w:val="20"/>
          <w:szCs w:val="20"/>
        </w:rPr>
        <w:t xml:space="preserve"> our own stock, classified within stockholders’ equity. In July 2020, the 2020 ASR Agreements settled and resulted in approximately 74 million shares repurchased at an average price per share of $40.77 and the forward contract was settled and recorded as a</w:t>
      </w:r>
      <w:r>
        <w:rPr>
          <w:rFonts w:ascii="Arial" w:eastAsia="宋体" w:hAnsi="Arial" w:cs="Arial"/>
          <w:color w:val="212529"/>
          <w:sz w:val="20"/>
          <w:szCs w:val="20"/>
        </w:rPr>
        <w:t>n increase to treasury stock.</w:t>
      </w:r>
    </w:p>
    <w:p w14:paraId="22CFCFD4" w14:textId="77777777" w:rsidR="002661BA" w:rsidRDefault="002661BA">
      <w:pPr>
        <w:ind w:firstLine="540"/>
        <w:jc w:val="both"/>
      </w:pPr>
    </w:p>
    <w:p w14:paraId="22CFCFD5" w14:textId="77777777" w:rsidR="002661BA" w:rsidRDefault="00D972BC">
      <w:pPr>
        <w:spacing w:after="120"/>
        <w:ind w:firstLine="540"/>
        <w:jc w:val="both"/>
      </w:pPr>
      <w:r>
        <w:rPr>
          <w:rFonts w:ascii="Arial" w:eastAsia="宋体" w:hAnsi="Arial" w:cs="Arial"/>
          <w:color w:val="000000"/>
          <w:sz w:val="20"/>
          <w:szCs w:val="20"/>
        </w:rPr>
        <w:t>The stock repurchase activity under our stock repurchase programs during 2021 was as follows (in millions,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8"/>
        <w:gridCol w:w="3482"/>
        <w:gridCol w:w="37"/>
        <w:gridCol w:w="85"/>
        <w:gridCol w:w="1025"/>
        <w:gridCol w:w="36"/>
        <w:gridCol w:w="36"/>
        <w:gridCol w:w="36"/>
        <w:gridCol w:w="36"/>
        <w:gridCol w:w="122"/>
        <w:gridCol w:w="905"/>
        <w:gridCol w:w="36"/>
        <w:gridCol w:w="36"/>
        <w:gridCol w:w="36"/>
        <w:gridCol w:w="36"/>
        <w:gridCol w:w="122"/>
        <w:gridCol w:w="1025"/>
        <w:gridCol w:w="36"/>
        <w:gridCol w:w="36"/>
        <w:gridCol w:w="36"/>
        <w:gridCol w:w="36"/>
        <w:gridCol w:w="122"/>
        <w:gridCol w:w="905"/>
        <w:gridCol w:w="36"/>
      </w:tblGrid>
      <w:tr w:rsidR="002661BA" w14:paraId="22CFCFEE" w14:textId="77777777">
        <w:tc>
          <w:tcPr>
            <w:tcW w:w="50" w:type="pct"/>
            <w:shd w:val="clear" w:color="auto" w:fill="auto"/>
            <w:vAlign w:val="bottom"/>
          </w:tcPr>
          <w:p w14:paraId="22CFCFD6" w14:textId="77777777" w:rsidR="002661BA" w:rsidRDefault="002661BA">
            <w:pPr>
              <w:rPr>
                <w:rFonts w:ascii="宋体"/>
              </w:rPr>
            </w:pPr>
          </w:p>
        </w:tc>
        <w:tc>
          <w:tcPr>
            <w:tcW w:w="2196" w:type="pct"/>
            <w:shd w:val="clear" w:color="auto" w:fill="auto"/>
            <w:vAlign w:val="bottom"/>
          </w:tcPr>
          <w:p w14:paraId="22CFCFD7" w14:textId="77777777" w:rsidR="002661BA" w:rsidRDefault="002661BA">
            <w:pPr>
              <w:rPr>
                <w:rFonts w:ascii="宋体"/>
              </w:rPr>
            </w:pPr>
          </w:p>
        </w:tc>
        <w:tc>
          <w:tcPr>
            <w:tcW w:w="5" w:type="pct"/>
            <w:shd w:val="clear" w:color="auto" w:fill="auto"/>
            <w:vAlign w:val="bottom"/>
          </w:tcPr>
          <w:p w14:paraId="22CFCFD8" w14:textId="77777777" w:rsidR="002661BA" w:rsidRDefault="002661BA">
            <w:pPr>
              <w:rPr>
                <w:rFonts w:ascii="宋体"/>
              </w:rPr>
            </w:pPr>
          </w:p>
        </w:tc>
        <w:tc>
          <w:tcPr>
            <w:tcW w:w="50" w:type="pct"/>
            <w:shd w:val="clear" w:color="auto" w:fill="auto"/>
            <w:vAlign w:val="bottom"/>
          </w:tcPr>
          <w:p w14:paraId="22CFCFD9" w14:textId="77777777" w:rsidR="002661BA" w:rsidRDefault="002661BA">
            <w:pPr>
              <w:rPr>
                <w:rFonts w:ascii="宋体"/>
              </w:rPr>
            </w:pPr>
          </w:p>
        </w:tc>
        <w:tc>
          <w:tcPr>
            <w:tcW w:w="610" w:type="pct"/>
            <w:shd w:val="clear" w:color="auto" w:fill="auto"/>
            <w:vAlign w:val="bottom"/>
          </w:tcPr>
          <w:p w14:paraId="22CFCFDA" w14:textId="77777777" w:rsidR="002661BA" w:rsidRDefault="002661BA">
            <w:pPr>
              <w:rPr>
                <w:rFonts w:ascii="宋体"/>
              </w:rPr>
            </w:pPr>
          </w:p>
        </w:tc>
        <w:tc>
          <w:tcPr>
            <w:tcW w:w="5" w:type="pct"/>
            <w:shd w:val="clear" w:color="auto" w:fill="auto"/>
            <w:vAlign w:val="bottom"/>
          </w:tcPr>
          <w:p w14:paraId="22CFCFDB" w14:textId="77777777" w:rsidR="002661BA" w:rsidRDefault="002661BA">
            <w:pPr>
              <w:rPr>
                <w:rFonts w:ascii="宋体"/>
              </w:rPr>
            </w:pPr>
          </w:p>
        </w:tc>
        <w:tc>
          <w:tcPr>
            <w:tcW w:w="5" w:type="pct"/>
            <w:shd w:val="clear" w:color="auto" w:fill="auto"/>
            <w:vAlign w:val="bottom"/>
          </w:tcPr>
          <w:p w14:paraId="22CFCFDC" w14:textId="77777777" w:rsidR="002661BA" w:rsidRDefault="002661BA">
            <w:pPr>
              <w:rPr>
                <w:rFonts w:ascii="宋体"/>
              </w:rPr>
            </w:pPr>
          </w:p>
        </w:tc>
        <w:tc>
          <w:tcPr>
            <w:tcW w:w="19" w:type="pct"/>
            <w:shd w:val="clear" w:color="auto" w:fill="auto"/>
            <w:vAlign w:val="bottom"/>
          </w:tcPr>
          <w:p w14:paraId="22CFCFDD" w14:textId="77777777" w:rsidR="002661BA" w:rsidRDefault="002661BA">
            <w:pPr>
              <w:rPr>
                <w:rFonts w:ascii="宋体"/>
              </w:rPr>
            </w:pPr>
          </w:p>
        </w:tc>
        <w:tc>
          <w:tcPr>
            <w:tcW w:w="5" w:type="pct"/>
            <w:shd w:val="clear" w:color="auto" w:fill="auto"/>
            <w:vAlign w:val="bottom"/>
          </w:tcPr>
          <w:p w14:paraId="22CFCFDE" w14:textId="77777777" w:rsidR="002661BA" w:rsidRDefault="002661BA">
            <w:pPr>
              <w:rPr>
                <w:rFonts w:ascii="宋体"/>
              </w:rPr>
            </w:pPr>
          </w:p>
        </w:tc>
        <w:tc>
          <w:tcPr>
            <w:tcW w:w="50" w:type="pct"/>
            <w:shd w:val="clear" w:color="auto" w:fill="auto"/>
            <w:vAlign w:val="bottom"/>
          </w:tcPr>
          <w:p w14:paraId="22CFCFDF" w14:textId="77777777" w:rsidR="002661BA" w:rsidRDefault="002661BA">
            <w:pPr>
              <w:rPr>
                <w:rFonts w:ascii="宋体"/>
              </w:rPr>
            </w:pPr>
          </w:p>
        </w:tc>
        <w:tc>
          <w:tcPr>
            <w:tcW w:w="610" w:type="pct"/>
            <w:shd w:val="clear" w:color="auto" w:fill="auto"/>
            <w:vAlign w:val="bottom"/>
          </w:tcPr>
          <w:p w14:paraId="22CFCFE0" w14:textId="77777777" w:rsidR="002661BA" w:rsidRDefault="002661BA">
            <w:pPr>
              <w:rPr>
                <w:rFonts w:ascii="宋体"/>
              </w:rPr>
            </w:pPr>
          </w:p>
        </w:tc>
        <w:tc>
          <w:tcPr>
            <w:tcW w:w="5" w:type="pct"/>
            <w:shd w:val="clear" w:color="auto" w:fill="auto"/>
            <w:vAlign w:val="bottom"/>
          </w:tcPr>
          <w:p w14:paraId="22CFCFE1" w14:textId="77777777" w:rsidR="002661BA" w:rsidRDefault="002661BA">
            <w:pPr>
              <w:rPr>
                <w:rFonts w:ascii="宋体"/>
              </w:rPr>
            </w:pPr>
          </w:p>
        </w:tc>
        <w:tc>
          <w:tcPr>
            <w:tcW w:w="5" w:type="pct"/>
            <w:shd w:val="clear" w:color="auto" w:fill="auto"/>
            <w:vAlign w:val="bottom"/>
          </w:tcPr>
          <w:p w14:paraId="22CFCFE2" w14:textId="77777777" w:rsidR="002661BA" w:rsidRDefault="002661BA">
            <w:pPr>
              <w:rPr>
                <w:rFonts w:ascii="宋体"/>
              </w:rPr>
            </w:pPr>
          </w:p>
        </w:tc>
        <w:tc>
          <w:tcPr>
            <w:tcW w:w="19" w:type="pct"/>
            <w:shd w:val="clear" w:color="auto" w:fill="auto"/>
            <w:vAlign w:val="bottom"/>
          </w:tcPr>
          <w:p w14:paraId="22CFCFE3" w14:textId="77777777" w:rsidR="002661BA" w:rsidRDefault="002661BA">
            <w:pPr>
              <w:rPr>
                <w:rFonts w:ascii="宋体"/>
              </w:rPr>
            </w:pPr>
          </w:p>
        </w:tc>
        <w:tc>
          <w:tcPr>
            <w:tcW w:w="5" w:type="pct"/>
            <w:shd w:val="clear" w:color="auto" w:fill="auto"/>
            <w:vAlign w:val="bottom"/>
          </w:tcPr>
          <w:p w14:paraId="22CFCFE4" w14:textId="77777777" w:rsidR="002661BA" w:rsidRDefault="002661BA">
            <w:pPr>
              <w:rPr>
                <w:rFonts w:ascii="宋体"/>
              </w:rPr>
            </w:pPr>
          </w:p>
        </w:tc>
        <w:tc>
          <w:tcPr>
            <w:tcW w:w="50" w:type="pct"/>
            <w:shd w:val="clear" w:color="auto" w:fill="auto"/>
            <w:vAlign w:val="bottom"/>
          </w:tcPr>
          <w:p w14:paraId="22CFCFE5" w14:textId="77777777" w:rsidR="002661BA" w:rsidRDefault="002661BA">
            <w:pPr>
              <w:rPr>
                <w:rFonts w:ascii="宋体"/>
              </w:rPr>
            </w:pPr>
          </w:p>
        </w:tc>
        <w:tc>
          <w:tcPr>
            <w:tcW w:w="610" w:type="pct"/>
            <w:shd w:val="clear" w:color="auto" w:fill="auto"/>
            <w:vAlign w:val="bottom"/>
          </w:tcPr>
          <w:p w14:paraId="22CFCFE6" w14:textId="77777777" w:rsidR="002661BA" w:rsidRDefault="002661BA">
            <w:pPr>
              <w:rPr>
                <w:rFonts w:ascii="宋体"/>
              </w:rPr>
            </w:pPr>
          </w:p>
        </w:tc>
        <w:tc>
          <w:tcPr>
            <w:tcW w:w="5" w:type="pct"/>
            <w:shd w:val="clear" w:color="auto" w:fill="auto"/>
            <w:vAlign w:val="bottom"/>
          </w:tcPr>
          <w:p w14:paraId="22CFCFE7" w14:textId="77777777" w:rsidR="002661BA" w:rsidRDefault="002661BA">
            <w:pPr>
              <w:rPr>
                <w:rFonts w:ascii="宋体"/>
              </w:rPr>
            </w:pPr>
          </w:p>
        </w:tc>
        <w:tc>
          <w:tcPr>
            <w:tcW w:w="5" w:type="pct"/>
            <w:shd w:val="clear" w:color="auto" w:fill="auto"/>
            <w:vAlign w:val="bottom"/>
          </w:tcPr>
          <w:p w14:paraId="22CFCFE8" w14:textId="77777777" w:rsidR="002661BA" w:rsidRDefault="002661BA">
            <w:pPr>
              <w:rPr>
                <w:rFonts w:ascii="宋体"/>
              </w:rPr>
            </w:pPr>
          </w:p>
        </w:tc>
        <w:tc>
          <w:tcPr>
            <w:tcW w:w="19" w:type="pct"/>
            <w:shd w:val="clear" w:color="auto" w:fill="auto"/>
            <w:vAlign w:val="bottom"/>
          </w:tcPr>
          <w:p w14:paraId="22CFCFE9" w14:textId="77777777" w:rsidR="002661BA" w:rsidRDefault="002661BA">
            <w:pPr>
              <w:rPr>
                <w:rFonts w:ascii="宋体"/>
              </w:rPr>
            </w:pPr>
          </w:p>
        </w:tc>
        <w:tc>
          <w:tcPr>
            <w:tcW w:w="5" w:type="pct"/>
            <w:shd w:val="clear" w:color="auto" w:fill="auto"/>
            <w:vAlign w:val="bottom"/>
          </w:tcPr>
          <w:p w14:paraId="22CFCFEA" w14:textId="77777777" w:rsidR="002661BA" w:rsidRDefault="002661BA">
            <w:pPr>
              <w:rPr>
                <w:rFonts w:ascii="宋体"/>
              </w:rPr>
            </w:pPr>
          </w:p>
        </w:tc>
        <w:tc>
          <w:tcPr>
            <w:tcW w:w="50" w:type="pct"/>
            <w:shd w:val="clear" w:color="auto" w:fill="auto"/>
            <w:vAlign w:val="bottom"/>
          </w:tcPr>
          <w:p w14:paraId="22CFCFEB" w14:textId="77777777" w:rsidR="002661BA" w:rsidRDefault="002661BA">
            <w:pPr>
              <w:rPr>
                <w:rFonts w:ascii="宋体"/>
              </w:rPr>
            </w:pPr>
          </w:p>
        </w:tc>
        <w:tc>
          <w:tcPr>
            <w:tcW w:w="610" w:type="pct"/>
            <w:shd w:val="clear" w:color="auto" w:fill="auto"/>
            <w:vAlign w:val="bottom"/>
          </w:tcPr>
          <w:p w14:paraId="22CFCFEC" w14:textId="77777777" w:rsidR="002661BA" w:rsidRDefault="002661BA">
            <w:pPr>
              <w:rPr>
                <w:rFonts w:ascii="宋体"/>
              </w:rPr>
            </w:pPr>
          </w:p>
        </w:tc>
        <w:tc>
          <w:tcPr>
            <w:tcW w:w="5" w:type="pct"/>
            <w:shd w:val="clear" w:color="auto" w:fill="auto"/>
            <w:vAlign w:val="bottom"/>
          </w:tcPr>
          <w:p w14:paraId="22CFCFED" w14:textId="77777777" w:rsidR="002661BA" w:rsidRDefault="002661BA">
            <w:pPr>
              <w:rPr>
                <w:rFonts w:ascii="宋体"/>
              </w:rPr>
            </w:pPr>
          </w:p>
        </w:tc>
      </w:tr>
      <w:tr w:rsidR="002661BA" w14:paraId="22CFCFF8" w14:textId="77777777">
        <w:tc>
          <w:tcPr>
            <w:tcW w:w="0" w:type="auto"/>
            <w:gridSpan w:val="3"/>
            <w:shd w:val="clear" w:color="auto" w:fill="auto"/>
            <w:tcMar>
              <w:top w:w="0" w:type="dxa"/>
              <w:left w:w="20" w:type="dxa"/>
              <w:bottom w:w="0" w:type="dxa"/>
              <w:right w:w="20" w:type="dxa"/>
            </w:tcMar>
            <w:vAlign w:val="bottom"/>
          </w:tcPr>
          <w:p w14:paraId="22CFCFE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FF0" w14:textId="77777777" w:rsidR="002661BA" w:rsidRDefault="00D972BC">
            <w:pPr>
              <w:jc w:val="center"/>
              <w:textAlignment w:val="bottom"/>
            </w:pPr>
            <w:r>
              <w:rPr>
                <w:rFonts w:ascii="Arial" w:eastAsia="宋体" w:hAnsi="Arial" w:cs="Arial"/>
                <w:b/>
                <w:bCs/>
                <w:color w:val="000000"/>
                <w:sz w:val="17"/>
                <w:szCs w:val="17"/>
              </w:rPr>
              <w:t xml:space="preserve">Shares Repurchased </w:t>
            </w:r>
            <w:r>
              <w:rPr>
                <w:rFonts w:ascii="Arial" w:eastAsia="宋体" w:hAnsi="Arial" w:cs="Arial"/>
                <w:b/>
                <w:bCs/>
                <w:color w:val="000000"/>
                <w:sz w:val="11"/>
                <w:szCs w:val="11"/>
              </w:rPr>
              <w:t>(1)</w:t>
            </w:r>
          </w:p>
        </w:tc>
        <w:tc>
          <w:tcPr>
            <w:tcW w:w="0" w:type="auto"/>
            <w:gridSpan w:val="3"/>
            <w:shd w:val="clear" w:color="auto" w:fill="auto"/>
            <w:tcMar>
              <w:top w:w="0" w:type="dxa"/>
              <w:left w:w="20" w:type="dxa"/>
              <w:bottom w:w="0" w:type="dxa"/>
              <w:right w:w="20" w:type="dxa"/>
            </w:tcMar>
            <w:vAlign w:val="bottom"/>
          </w:tcPr>
          <w:p w14:paraId="22CFCFF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FF2" w14:textId="77777777" w:rsidR="002661BA" w:rsidRDefault="00D972BC">
            <w:pPr>
              <w:jc w:val="center"/>
              <w:textAlignment w:val="bottom"/>
            </w:pPr>
            <w:r>
              <w:rPr>
                <w:rFonts w:ascii="Arial" w:eastAsia="宋体" w:hAnsi="Arial" w:cs="Arial"/>
                <w:b/>
                <w:bCs/>
                <w:color w:val="000000"/>
                <w:sz w:val="17"/>
                <w:szCs w:val="17"/>
              </w:rPr>
              <w:t xml:space="preserve">Average Price per Share </w:t>
            </w:r>
            <w:r>
              <w:rPr>
                <w:rFonts w:ascii="Arial" w:eastAsia="宋体" w:hAnsi="Arial" w:cs="Arial"/>
                <w:b/>
                <w:bCs/>
                <w:color w:val="000000"/>
                <w:sz w:val="11"/>
                <w:szCs w:val="11"/>
              </w:rPr>
              <w:t>(2)</w:t>
            </w:r>
          </w:p>
        </w:tc>
        <w:tc>
          <w:tcPr>
            <w:tcW w:w="0" w:type="auto"/>
            <w:gridSpan w:val="3"/>
            <w:shd w:val="clear" w:color="auto" w:fill="auto"/>
            <w:tcMar>
              <w:top w:w="0" w:type="dxa"/>
              <w:left w:w="20" w:type="dxa"/>
              <w:bottom w:w="0" w:type="dxa"/>
              <w:right w:w="20" w:type="dxa"/>
            </w:tcMar>
            <w:vAlign w:val="bottom"/>
          </w:tcPr>
          <w:p w14:paraId="22CFCFF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FF4" w14:textId="77777777" w:rsidR="002661BA" w:rsidRDefault="00D972BC">
            <w:pPr>
              <w:jc w:val="center"/>
              <w:textAlignment w:val="bottom"/>
            </w:pPr>
            <w:r>
              <w:rPr>
                <w:rFonts w:ascii="Arial" w:eastAsia="宋体" w:hAnsi="Arial" w:cs="Arial"/>
                <w:b/>
                <w:bCs/>
                <w:color w:val="000000"/>
                <w:sz w:val="17"/>
                <w:szCs w:val="17"/>
              </w:rPr>
              <w:t xml:space="preserve">Value of Shares </w:t>
            </w:r>
          </w:p>
          <w:p w14:paraId="22CFCFF5" w14:textId="77777777" w:rsidR="002661BA" w:rsidRDefault="00D972BC">
            <w:pPr>
              <w:jc w:val="center"/>
              <w:textAlignment w:val="bottom"/>
            </w:pPr>
            <w:r>
              <w:rPr>
                <w:rFonts w:ascii="Arial" w:eastAsia="宋体" w:hAnsi="Arial" w:cs="Arial"/>
                <w:b/>
                <w:bCs/>
                <w:color w:val="000000"/>
                <w:sz w:val="17"/>
                <w:szCs w:val="17"/>
              </w:rPr>
              <w:t xml:space="preserve">Repurchased </w:t>
            </w:r>
            <w:r>
              <w:rPr>
                <w:rFonts w:ascii="Arial" w:eastAsia="宋体" w:hAnsi="Arial" w:cs="Arial"/>
                <w:b/>
                <w:bCs/>
                <w:color w:val="000000"/>
                <w:sz w:val="11"/>
                <w:szCs w:val="11"/>
              </w:rPr>
              <w:t>(2)</w:t>
            </w:r>
          </w:p>
        </w:tc>
        <w:tc>
          <w:tcPr>
            <w:tcW w:w="0" w:type="auto"/>
            <w:gridSpan w:val="3"/>
            <w:shd w:val="clear" w:color="auto" w:fill="auto"/>
            <w:tcMar>
              <w:top w:w="0" w:type="dxa"/>
              <w:left w:w="20" w:type="dxa"/>
              <w:bottom w:w="0" w:type="dxa"/>
              <w:right w:w="20" w:type="dxa"/>
            </w:tcMar>
            <w:vAlign w:val="bottom"/>
          </w:tcPr>
          <w:p w14:paraId="22CFCFF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CFF7" w14:textId="77777777" w:rsidR="002661BA" w:rsidRDefault="00D972BC">
            <w:pPr>
              <w:jc w:val="center"/>
              <w:textAlignment w:val="bottom"/>
            </w:pPr>
            <w:r>
              <w:rPr>
                <w:rFonts w:ascii="Arial" w:eastAsia="宋体" w:hAnsi="Arial" w:cs="Arial"/>
                <w:b/>
                <w:bCs/>
                <w:color w:val="000000"/>
                <w:sz w:val="17"/>
                <w:szCs w:val="17"/>
              </w:rPr>
              <w:t>Remaining Amount Authorized</w:t>
            </w:r>
          </w:p>
        </w:tc>
      </w:tr>
      <w:tr w:rsidR="002661BA" w14:paraId="22CFD003" w14:textId="77777777">
        <w:tc>
          <w:tcPr>
            <w:tcW w:w="0" w:type="auto"/>
            <w:gridSpan w:val="3"/>
            <w:shd w:val="clear" w:color="auto" w:fill="E2E2E2"/>
            <w:tcMar>
              <w:top w:w="40" w:type="dxa"/>
              <w:left w:w="20" w:type="dxa"/>
              <w:bottom w:w="40" w:type="dxa"/>
              <w:right w:w="20" w:type="dxa"/>
            </w:tcMar>
            <w:vAlign w:val="bottom"/>
          </w:tcPr>
          <w:p w14:paraId="22CFCFF9" w14:textId="77777777" w:rsidR="002661BA" w:rsidRDefault="00D972BC">
            <w:pPr>
              <w:textAlignment w:val="bottom"/>
            </w:pPr>
            <w:r>
              <w:rPr>
                <w:rFonts w:ascii="Arial" w:eastAsia="宋体" w:hAnsi="Arial" w:cs="Arial"/>
                <w:color w:val="000000"/>
                <w:sz w:val="18"/>
                <w:szCs w:val="18"/>
              </w:rPr>
              <w:t>Balance as of January 1, 2021</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FFA"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FFB"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FFC"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FFD"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CFFE"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CFFF"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00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001" w14:textId="77777777" w:rsidR="002661BA" w:rsidRDefault="00D972BC">
            <w:pPr>
              <w:jc w:val="right"/>
              <w:textAlignment w:val="bottom"/>
            </w:pPr>
            <w:r>
              <w:rPr>
                <w:rFonts w:ascii="Arial" w:eastAsia="宋体" w:hAnsi="Arial" w:cs="Arial"/>
                <w:color w:val="000000"/>
                <w:sz w:val="18"/>
                <w:szCs w:val="18"/>
              </w:rPr>
              <w:t>2,033 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002" w14:textId="77777777" w:rsidR="002661BA" w:rsidRDefault="002661BA">
            <w:pPr>
              <w:jc w:val="right"/>
              <w:rPr>
                <w:rFonts w:ascii="宋体"/>
              </w:rPr>
            </w:pPr>
          </w:p>
        </w:tc>
      </w:tr>
      <w:tr w:rsidR="002661BA" w14:paraId="22CFD00D" w14:textId="77777777">
        <w:tc>
          <w:tcPr>
            <w:tcW w:w="0" w:type="auto"/>
            <w:gridSpan w:val="3"/>
            <w:shd w:val="clear" w:color="auto" w:fill="FFFFFF"/>
            <w:tcMar>
              <w:top w:w="40" w:type="dxa"/>
              <w:left w:w="20" w:type="dxa"/>
              <w:bottom w:w="40" w:type="dxa"/>
              <w:right w:w="20" w:type="dxa"/>
            </w:tcMar>
            <w:vAlign w:val="bottom"/>
          </w:tcPr>
          <w:p w14:paraId="22CFD004" w14:textId="77777777" w:rsidR="002661BA" w:rsidRDefault="00D972BC">
            <w:pPr>
              <w:textAlignment w:val="bottom"/>
            </w:pPr>
            <w:r>
              <w:rPr>
                <w:rFonts w:ascii="Arial" w:eastAsia="宋体" w:hAnsi="Arial" w:cs="Arial"/>
                <w:color w:val="000000"/>
                <w:sz w:val="18"/>
                <w:szCs w:val="18"/>
              </w:rPr>
              <w:t>Authorization of additional plan in February 2021</w:t>
            </w:r>
          </w:p>
        </w:tc>
        <w:tc>
          <w:tcPr>
            <w:tcW w:w="0" w:type="auto"/>
            <w:gridSpan w:val="3"/>
            <w:shd w:val="clear" w:color="auto" w:fill="FFFFFF"/>
            <w:tcMar>
              <w:top w:w="0" w:type="dxa"/>
              <w:left w:w="20" w:type="dxa"/>
              <w:bottom w:w="0" w:type="dxa"/>
              <w:right w:w="20" w:type="dxa"/>
            </w:tcMar>
            <w:vAlign w:val="bottom"/>
          </w:tcPr>
          <w:p w14:paraId="22CFD005"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006"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007"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008"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009"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00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00B" w14:textId="77777777" w:rsidR="002661BA" w:rsidRDefault="00D972BC">
            <w:pPr>
              <w:jc w:val="right"/>
              <w:textAlignment w:val="bottom"/>
            </w:pPr>
            <w:r>
              <w:rPr>
                <w:rFonts w:ascii="Arial" w:eastAsia="宋体" w:hAnsi="Arial" w:cs="Arial"/>
                <w:color w:val="000000"/>
                <w:sz w:val="18"/>
                <w:szCs w:val="18"/>
              </w:rPr>
              <w:t>4,000 </w:t>
            </w:r>
          </w:p>
        </w:tc>
        <w:tc>
          <w:tcPr>
            <w:tcW w:w="0" w:type="auto"/>
            <w:shd w:val="clear" w:color="auto" w:fill="FFFFFF"/>
            <w:tcMar>
              <w:top w:w="40" w:type="dxa"/>
              <w:left w:w="0" w:type="dxa"/>
              <w:bottom w:w="40" w:type="dxa"/>
              <w:right w:w="20" w:type="dxa"/>
            </w:tcMar>
            <w:vAlign w:val="bottom"/>
          </w:tcPr>
          <w:p w14:paraId="22CFD00C" w14:textId="77777777" w:rsidR="002661BA" w:rsidRDefault="002661BA">
            <w:pPr>
              <w:jc w:val="right"/>
              <w:rPr>
                <w:rFonts w:ascii="宋体"/>
              </w:rPr>
            </w:pPr>
          </w:p>
        </w:tc>
      </w:tr>
      <w:tr w:rsidR="002661BA" w14:paraId="22CFD017" w14:textId="77777777">
        <w:tc>
          <w:tcPr>
            <w:tcW w:w="0" w:type="auto"/>
            <w:gridSpan w:val="3"/>
            <w:shd w:val="clear" w:color="auto" w:fill="E2E2E2"/>
            <w:tcMar>
              <w:top w:w="40" w:type="dxa"/>
              <w:left w:w="20" w:type="dxa"/>
              <w:bottom w:w="40" w:type="dxa"/>
              <w:right w:w="20" w:type="dxa"/>
            </w:tcMar>
            <w:vAlign w:val="bottom"/>
          </w:tcPr>
          <w:p w14:paraId="22CFD00E" w14:textId="77777777" w:rsidR="002661BA" w:rsidRDefault="00D972BC">
            <w:pPr>
              <w:textAlignment w:val="bottom"/>
            </w:pPr>
            <w:r>
              <w:rPr>
                <w:rFonts w:ascii="Arial" w:eastAsia="宋体" w:hAnsi="Arial" w:cs="Arial"/>
                <w:color w:val="000000"/>
                <w:sz w:val="18"/>
                <w:szCs w:val="18"/>
              </w:rPr>
              <w:t>Authorization of additional plan in August 2021</w:t>
            </w:r>
          </w:p>
        </w:tc>
        <w:tc>
          <w:tcPr>
            <w:tcW w:w="0" w:type="auto"/>
            <w:gridSpan w:val="3"/>
            <w:shd w:val="clear" w:color="auto" w:fill="E2E2E2"/>
            <w:tcMar>
              <w:top w:w="0" w:type="dxa"/>
              <w:left w:w="20" w:type="dxa"/>
              <w:bottom w:w="0" w:type="dxa"/>
              <w:right w:w="20" w:type="dxa"/>
            </w:tcMar>
            <w:vAlign w:val="bottom"/>
          </w:tcPr>
          <w:p w14:paraId="22CFD00F"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010"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011"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012"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013"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014"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015" w14:textId="77777777" w:rsidR="002661BA" w:rsidRDefault="00D972BC">
            <w:pPr>
              <w:jc w:val="right"/>
              <w:textAlignment w:val="bottom"/>
            </w:pPr>
            <w:r>
              <w:rPr>
                <w:rFonts w:ascii="Arial" w:eastAsia="宋体" w:hAnsi="Arial" w:cs="Arial"/>
                <w:color w:val="000000"/>
                <w:sz w:val="18"/>
                <w:szCs w:val="18"/>
              </w:rPr>
              <w:t>3,000 </w:t>
            </w:r>
          </w:p>
        </w:tc>
        <w:tc>
          <w:tcPr>
            <w:tcW w:w="0" w:type="auto"/>
            <w:shd w:val="clear" w:color="auto" w:fill="E2E2E2"/>
            <w:tcMar>
              <w:top w:w="40" w:type="dxa"/>
              <w:left w:w="0" w:type="dxa"/>
              <w:bottom w:w="40" w:type="dxa"/>
              <w:right w:w="20" w:type="dxa"/>
            </w:tcMar>
            <w:vAlign w:val="bottom"/>
          </w:tcPr>
          <w:p w14:paraId="22CFD016" w14:textId="77777777" w:rsidR="002661BA" w:rsidRDefault="002661BA">
            <w:pPr>
              <w:jc w:val="right"/>
              <w:rPr>
                <w:rFonts w:ascii="宋体"/>
              </w:rPr>
            </w:pPr>
          </w:p>
        </w:tc>
      </w:tr>
      <w:tr w:rsidR="002661BA" w14:paraId="22CFD026" w14:textId="77777777">
        <w:tc>
          <w:tcPr>
            <w:tcW w:w="0" w:type="auto"/>
            <w:gridSpan w:val="3"/>
            <w:shd w:val="clear" w:color="auto" w:fill="FFFFFF"/>
            <w:tcMar>
              <w:top w:w="40" w:type="dxa"/>
              <w:left w:w="20" w:type="dxa"/>
              <w:bottom w:w="40" w:type="dxa"/>
              <w:right w:w="20" w:type="dxa"/>
            </w:tcMar>
            <w:vAlign w:val="bottom"/>
          </w:tcPr>
          <w:p w14:paraId="22CFD018" w14:textId="77777777" w:rsidR="002661BA" w:rsidRDefault="00D972BC">
            <w:pPr>
              <w:textAlignment w:val="bottom"/>
            </w:pPr>
            <w:r>
              <w:rPr>
                <w:rFonts w:ascii="Arial" w:eastAsia="宋体" w:hAnsi="Arial" w:cs="Arial"/>
                <w:color w:val="000000"/>
                <w:sz w:val="18"/>
                <w:szCs w:val="18"/>
              </w:rPr>
              <w:t>Repurchase of shares of common stock</w:t>
            </w:r>
          </w:p>
        </w:tc>
        <w:tc>
          <w:tcPr>
            <w:tcW w:w="0" w:type="auto"/>
            <w:gridSpan w:val="2"/>
            <w:shd w:val="clear" w:color="auto" w:fill="FFFFFF"/>
            <w:tcMar>
              <w:top w:w="40" w:type="dxa"/>
              <w:left w:w="20" w:type="dxa"/>
              <w:bottom w:w="40" w:type="dxa"/>
              <w:right w:w="0" w:type="dxa"/>
            </w:tcMar>
            <w:vAlign w:val="bottom"/>
          </w:tcPr>
          <w:p w14:paraId="22CFD019" w14:textId="77777777" w:rsidR="002661BA" w:rsidRDefault="00D972BC">
            <w:pPr>
              <w:jc w:val="right"/>
              <w:textAlignment w:val="bottom"/>
            </w:pPr>
            <w:r>
              <w:rPr>
                <w:rFonts w:ascii="Arial" w:eastAsia="宋体" w:hAnsi="Arial" w:cs="Arial"/>
                <w:color w:val="000000"/>
                <w:sz w:val="18"/>
                <w:szCs w:val="18"/>
              </w:rPr>
              <w:t>67 </w:t>
            </w:r>
          </w:p>
        </w:tc>
        <w:tc>
          <w:tcPr>
            <w:tcW w:w="0" w:type="auto"/>
            <w:shd w:val="clear" w:color="auto" w:fill="FFFFFF"/>
            <w:tcMar>
              <w:top w:w="40" w:type="dxa"/>
              <w:left w:w="0" w:type="dxa"/>
              <w:bottom w:w="40" w:type="dxa"/>
              <w:right w:w="20" w:type="dxa"/>
            </w:tcMar>
            <w:vAlign w:val="bottom"/>
          </w:tcPr>
          <w:p w14:paraId="22CFD01A"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01B"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01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01D" w14:textId="77777777" w:rsidR="002661BA" w:rsidRDefault="00D972BC">
            <w:pPr>
              <w:jc w:val="right"/>
              <w:textAlignment w:val="bottom"/>
            </w:pPr>
            <w:r>
              <w:rPr>
                <w:rFonts w:ascii="Arial" w:eastAsia="宋体" w:hAnsi="Arial" w:cs="Arial"/>
                <w:color w:val="000000"/>
                <w:sz w:val="18"/>
                <w:szCs w:val="18"/>
              </w:rPr>
              <w:t>67.86 </w:t>
            </w:r>
          </w:p>
        </w:tc>
        <w:tc>
          <w:tcPr>
            <w:tcW w:w="0" w:type="auto"/>
            <w:shd w:val="clear" w:color="auto" w:fill="FFFFFF"/>
            <w:tcMar>
              <w:top w:w="40" w:type="dxa"/>
              <w:left w:w="0" w:type="dxa"/>
              <w:bottom w:w="40" w:type="dxa"/>
              <w:right w:w="20" w:type="dxa"/>
            </w:tcMar>
            <w:vAlign w:val="bottom"/>
          </w:tcPr>
          <w:p w14:paraId="22CFD01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01F"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020"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021" w14:textId="77777777" w:rsidR="002661BA" w:rsidRDefault="00D972BC">
            <w:pPr>
              <w:jc w:val="right"/>
              <w:textAlignment w:val="bottom"/>
            </w:pPr>
            <w:r>
              <w:rPr>
                <w:rFonts w:ascii="Arial" w:eastAsia="宋体" w:hAnsi="Arial" w:cs="Arial"/>
                <w:color w:val="000000"/>
                <w:sz w:val="18"/>
                <w:szCs w:val="18"/>
              </w:rPr>
              <w:t>4,542 </w:t>
            </w:r>
          </w:p>
        </w:tc>
        <w:tc>
          <w:tcPr>
            <w:tcW w:w="0" w:type="auto"/>
            <w:shd w:val="clear" w:color="auto" w:fill="FFFFFF"/>
            <w:tcMar>
              <w:top w:w="40" w:type="dxa"/>
              <w:left w:w="0" w:type="dxa"/>
              <w:bottom w:w="40" w:type="dxa"/>
              <w:right w:w="20" w:type="dxa"/>
            </w:tcMar>
            <w:vAlign w:val="bottom"/>
          </w:tcPr>
          <w:p w14:paraId="22CFD02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023"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024" w14:textId="77777777" w:rsidR="002661BA" w:rsidRDefault="00D972BC">
            <w:pPr>
              <w:jc w:val="right"/>
              <w:textAlignment w:val="bottom"/>
            </w:pPr>
            <w:r>
              <w:rPr>
                <w:rFonts w:ascii="Arial" w:eastAsia="宋体" w:hAnsi="Arial" w:cs="Arial"/>
                <w:color w:val="000000"/>
                <w:sz w:val="18"/>
                <w:szCs w:val="18"/>
              </w:rPr>
              <w:t>(4,542)</w:t>
            </w:r>
          </w:p>
        </w:tc>
        <w:tc>
          <w:tcPr>
            <w:tcW w:w="0" w:type="auto"/>
            <w:shd w:val="clear" w:color="auto" w:fill="FFFFFF"/>
            <w:tcMar>
              <w:top w:w="40" w:type="dxa"/>
              <w:left w:w="0" w:type="dxa"/>
              <w:bottom w:w="40" w:type="dxa"/>
              <w:right w:w="20" w:type="dxa"/>
            </w:tcMar>
            <w:vAlign w:val="bottom"/>
          </w:tcPr>
          <w:p w14:paraId="22CFD025" w14:textId="77777777" w:rsidR="002661BA" w:rsidRDefault="002661BA">
            <w:pPr>
              <w:jc w:val="right"/>
              <w:rPr>
                <w:rFonts w:ascii="宋体"/>
              </w:rPr>
            </w:pPr>
          </w:p>
        </w:tc>
      </w:tr>
      <w:tr w:rsidR="002661BA" w14:paraId="22CFD034" w14:textId="77777777">
        <w:tc>
          <w:tcPr>
            <w:tcW w:w="0" w:type="auto"/>
            <w:gridSpan w:val="3"/>
            <w:shd w:val="clear" w:color="auto" w:fill="E2E2E2"/>
            <w:tcMar>
              <w:top w:w="40" w:type="dxa"/>
              <w:left w:w="20" w:type="dxa"/>
              <w:bottom w:w="40" w:type="dxa"/>
              <w:right w:w="20" w:type="dxa"/>
            </w:tcMar>
            <w:vAlign w:val="bottom"/>
          </w:tcPr>
          <w:p w14:paraId="22CFD027" w14:textId="77777777" w:rsidR="002661BA" w:rsidRDefault="00D972BC">
            <w:pPr>
              <w:textAlignment w:val="bottom"/>
            </w:pPr>
            <w:r>
              <w:rPr>
                <w:rFonts w:ascii="Arial" w:eastAsia="宋体" w:hAnsi="Arial" w:cs="Arial"/>
                <w:color w:val="000000"/>
                <w:sz w:val="18"/>
                <w:szCs w:val="18"/>
              </w:rPr>
              <w:t xml:space="preserve">Accelerated share repurchases </w:t>
            </w:r>
            <w:r>
              <w:rPr>
                <w:rFonts w:ascii="Arial" w:eastAsia="宋体" w:hAnsi="Arial" w:cs="Arial"/>
                <w:color w:val="000000"/>
                <w:sz w:val="11"/>
                <w:szCs w:val="11"/>
              </w:rPr>
              <w:t>(3)</w:t>
            </w:r>
          </w:p>
        </w:tc>
        <w:tc>
          <w:tcPr>
            <w:tcW w:w="0" w:type="auto"/>
            <w:gridSpan w:val="2"/>
            <w:shd w:val="clear" w:color="auto" w:fill="E2E2E2"/>
            <w:tcMar>
              <w:top w:w="40" w:type="dxa"/>
              <w:left w:w="20" w:type="dxa"/>
              <w:bottom w:w="40" w:type="dxa"/>
              <w:right w:w="0" w:type="dxa"/>
            </w:tcMar>
            <w:vAlign w:val="bottom"/>
          </w:tcPr>
          <w:p w14:paraId="22CFD028" w14:textId="77777777" w:rsidR="002661BA" w:rsidRDefault="00D972BC">
            <w:pPr>
              <w:jc w:val="right"/>
              <w:textAlignment w:val="bottom"/>
            </w:pPr>
            <w:r>
              <w:rPr>
                <w:rFonts w:ascii="Arial" w:eastAsia="宋体" w:hAnsi="Arial" w:cs="Arial"/>
                <w:color w:val="000000"/>
                <w:sz w:val="18"/>
                <w:szCs w:val="18"/>
              </w:rPr>
              <w:t>33 </w:t>
            </w:r>
          </w:p>
        </w:tc>
        <w:tc>
          <w:tcPr>
            <w:tcW w:w="0" w:type="auto"/>
            <w:shd w:val="clear" w:color="auto" w:fill="E2E2E2"/>
            <w:tcMar>
              <w:top w:w="40" w:type="dxa"/>
              <w:left w:w="0" w:type="dxa"/>
              <w:bottom w:w="40" w:type="dxa"/>
              <w:right w:w="20" w:type="dxa"/>
            </w:tcMar>
            <w:vAlign w:val="bottom"/>
          </w:tcPr>
          <w:p w14:paraId="22CFD02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02A"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02B"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02C"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D02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02E" w14:textId="77777777" w:rsidR="002661BA" w:rsidRDefault="00D972BC">
            <w:pPr>
              <w:jc w:val="right"/>
              <w:textAlignment w:val="bottom"/>
            </w:pPr>
            <w:r>
              <w:rPr>
                <w:rFonts w:ascii="Arial" w:eastAsia="宋体" w:hAnsi="Arial" w:cs="Arial"/>
                <w:color w:val="000000"/>
                <w:sz w:val="18"/>
                <w:szCs w:val="18"/>
              </w:rPr>
              <w:t>2,312 </w:t>
            </w:r>
          </w:p>
        </w:tc>
        <w:tc>
          <w:tcPr>
            <w:tcW w:w="0" w:type="auto"/>
            <w:shd w:val="clear" w:color="auto" w:fill="E2E2E2"/>
            <w:tcMar>
              <w:top w:w="40" w:type="dxa"/>
              <w:left w:w="0" w:type="dxa"/>
              <w:bottom w:w="40" w:type="dxa"/>
              <w:right w:w="20" w:type="dxa"/>
            </w:tcMar>
            <w:vAlign w:val="bottom"/>
          </w:tcPr>
          <w:p w14:paraId="22CFD02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030"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D031"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032" w14:textId="77777777" w:rsidR="002661BA" w:rsidRDefault="00D972BC">
            <w:pPr>
              <w:jc w:val="right"/>
              <w:textAlignment w:val="bottom"/>
            </w:pPr>
            <w:r>
              <w:rPr>
                <w:rFonts w:ascii="Arial" w:eastAsia="宋体" w:hAnsi="Arial" w:cs="Arial"/>
                <w:color w:val="000000"/>
                <w:sz w:val="18"/>
                <w:szCs w:val="18"/>
              </w:rPr>
              <w:t>(2,312)</w:t>
            </w:r>
          </w:p>
        </w:tc>
        <w:tc>
          <w:tcPr>
            <w:tcW w:w="0" w:type="auto"/>
            <w:shd w:val="clear" w:color="auto" w:fill="E2E2E2"/>
            <w:tcMar>
              <w:top w:w="40" w:type="dxa"/>
              <w:left w:w="0" w:type="dxa"/>
              <w:bottom w:w="40" w:type="dxa"/>
              <w:right w:w="20" w:type="dxa"/>
            </w:tcMar>
            <w:vAlign w:val="bottom"/>
          </w:tcPr>
          <w:p w14:paraId="22CFD033" w14:textId="77777777" w:rsidR="002661BA" w:rsidRDefault="002661BA">
            <w:pPr>
              <w:jc w:val="right"/>
              <w:rPr>
                <w:rFonts w:ascii="宋体"/>
              </w:rPr>
            </w:pPr>
          </w:p>
        </w:tc>
      </w:tr>
      <w:tr w:rsidR="002661BA" w14:paraId="22CFD042" w14:textId="77777777">
        <w:tc>
          <w:tcPr>
            <w:tcW w:w="0" w:type="auto"/>
            <w:gridSpan w:val="3"/>
            <w:shd w:val="clear" w:color="auto" w:fill="FFFFFF"/>
            <w:tcMar>
              <w:top w:w="40" w:type="dxa"/>
              <w:left w:w="20" w:type="dxa"/>
              <w:bottom w:w="40" w:type="dxa"/>
              <w:right w:w="20" w:type="dxa"/>
            </w:tcMar>
            <w:vAlign w:val="bottom"/>
          </w:tcPr>
          <w:p w14:paraId="22CFD035" w14:textId="77777777" w:rsidR="002661BA" w:rsidRDefault="00D972BC">
            <w:pPr>
              <w:textAlignment w:val="bottom"/>
            </w:pPr>
            <w:r>
              <w:rPr>
                <w:rFonts w:ascii="Arial" w:eastAsia="宋体" w:hAnsi="Arial" w:cs="Arial"/>
                <w:color w:val="000000"/>
                <w:sz w:val="18"/>
                <w:szCs w:val="18"/>
              </w:rPr>
              <w:t>Unsettled forward contract for share repurchase</w:t>
            </w:r>
          </w:p>
        </w:tc>
        <w:tc>
          <w:tcPr>
            <w:tcW w:w="0" w:type="auto"/>
            <w:gridSpan w:val="2"/>
            <w:shd w:val="clear" w:color="auto" w:fill="FFFFFF"/>
            <w:tcMar>
              <w:top w:w="40" w:type="dxa"/>
              <w:left w:w="20" w:type="dxa"/>
              <w:bottom w:w="40" w:type="dxa"/>
              <w:right w:w="0" w:type="dxa"/>
            </w:tcMar>
            <w:vAlign w:val="bottom"/>
          </w:tcPr>
          <w:p w14:paraId="22CFD036"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03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038"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039"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03A"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03B"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03C" w14:textId="77777777" w:rsidR="002661BA" w:rsidRDefault="00D972BC">
            <w:pPr>
              <w:jc w:val="right"/>
              <w:textAlignment w:val="bottom"/>
            </w:pPr>
            <w:r>
              <w:rPr>
                <w:rFonts w:ascii="Arial" w:eastAsia="宋体" w:hAnsi="Arial" w:cs="Arial"/>
                <w:color w:val="000000"/>
                <w:sz w:val="18"/>
                <w:szCs w:val="18"/>
              </w:rPr>
              <w:t>188 </w:t>
            </w:r>
          </w:p>
        </w:tc>
        <w:tc>
          <w:tcPr>
            <w:tcW w:w="0" w:type="auto"/>
            <w:shd w:val="clear" w:color="auto" w:fill="FFFFFF"/>
            <w:tcMar>
              <w:top w:w="40" w:type="dxa"/>
              <w:left w:w="0" w:type="dxa"/>
              <w:bottom w:w="40" w:type="dxa"/>
              <w:right w:w="20" w:type="dxa"/>
            </w:tcMar>
            <w:vAlign w:val="bottom"/>
          </w:tcPr>
          <w:p w14:paraId="22CFD03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03E"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03F"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040" w14:textId="77777777" w:rsidR="002661BA" w:rsidRDefault="00D972BC">
            <w:pPr>
              <w:jc w:val="right"/>
              <w:textAlignment w:val="bottom"/>
            </w:pPr>
            <w:r>
              <w:rPr>
                <w:rFonts w:ascii="Arial" w:eastAsia="宋体" w:hAnsi="Arial" w:cs="Arial"/>
                <w:color w:val="000000"/>
                <w:sz w:val="18"/>
                <w:szCs w:val="18"/>
              </w:rPr>
              <w:t>(188)</w:t>
            </w:r>
          </w:p>
        </w:tc>
        <w:tc>
          <w:tcPr>
            <w:tcW w:w="0" w:type="auto"/>
            <w:shd w:val="clear" w:color="auto" w:fill="FFFFFF"/>
            <w:tcMar>
              <w:top w:w="40" w:type="dxa"/>
              <w:left w:w="0" w:type="dxa"/>
              <w:bottom w:w="40" w:type="dxa"/>
              <w:right w:w="20" w:type="dxa"/>
            </w:tcMar>
            <w:vAlign w:val="bottom"/>
          </w:tcPr>
          <w:p w14:paraId="22CFD041" w14:textId="77777777" w:rsidR="002661BA" w:rsidRDefault="002661BA">
            <w:pPr>
              <w:jc w:val="right"/>
              <w:rPr>
                <w:rFonts w:ascii="宋体"/>
              </w:rPr>
            </w:pPr>
          </w:p>
        </w:tc>
      </w:tr>
      <w:tr w:rsidR="002661BA" w14:paraId="22CFD04D" w14:textId="77777777">
        <w:tc>
          <w:tcPr>
            <w:tcW w:w="0" w:type="auto"/>
            <w:gridSpan w:val="3"/>
            <w:shd w:val="clear" w:color="auto" w:fill="E2E2E2"/>
            <w:tcMar>
              <w:top w:w="40" w:type="dxa"/>
              <w:left w:w="20" w:type="dxa"/>
              <w:bottom w:w="40" w:type="dxa"/>
              <w:right w:w="20" w:type="dxa"/>
            </w:tcMar>
            <w:vAlign w:val="bottom"/>
          </w:tcPr>
          <w:p w14:paraId="22CFD043" w14:textId="77777777" w:rsidR="002661BA" w:rsidRDefault="00D972BC">
            <w:pPr>
              <w:textAlignment w:val="bottom"/>
            </w:pPr>
            <w:r>
              <w:rPr>
                <w:rFonts w:ascii="Arial" w:eastAsia="宋体" w:hAnsi="Arial" w:cs="Arial"/>
                <w:color w:val="000000"/>
                <w:sz w:val="18"/>
                <w:szCs w:val="18"/>
              </w:rPr>
              <w:t>Balance as of December 31, 2021</w:t>
            </w:r>
          </w:p>
        </w:tc>
        <w:tc>
          <w:tcPr>
            <w:tcW w:w="0" w:type="auto"/>
            <w:gridSpan w:val="3"/>
            <w:shd w:val="clear" w:color="auto" w:fill="E2E2E2"/>
            <w:tcMar>
              <w:top w:w="0" w:type="dxa"/>
              <w:left w:w="20" w:type="dxa"/>
              <w:bottom w:w="0" w:type="dxa"/>
              <w:right w:w="20" w:type="dxa"/>
            </w:tcMar>
            <w:vAlign w:val="bottom"/>
          </w:tcPr>
          <w:p w14:paraId="22CFD044"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045"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046"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047"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048"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049"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04A"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04B" w14:textId="77777777" w:rsidR="002661BA" w:rsidRDefault="00D972BC">
            <w:pPr>
              <w:jc w:val="right"/>
              <w:textAlignment w:val="bottom"/>
            </w:pPr>
            <w:r>
              <w:rPr>
                <w:rFonts w:ascii="Arial" w:eastAsia="宋体" w:hAnsi="Arial" w:cs="Arial"/>
                <w:color w:val="000000"/>
                <w:sz w:val="18"/>
                <w:szCs w:val="18"/>
              </w:rPr>
              <w:t>1,991 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04C" w14:textId="77777777" w:rsidR="002661BA" w:rsidRDefault="002661BA">
            <w:pPr>
              <w:jc w:val="right"/>
              <w:rPr>
                <w:rFonts w:ascii="宋体"/>
              </w:rPr>
            </w:pPr>
          </w:p>
        </w:tc>
      </w:tr>
    </w:tbl>
    <w:p w14:paraId="22CFD04E" w14:textId="77777777" w:rsidR="002661BA" w:rsidRDefault="00D972BC">
      <w:pPr>
        <w:ind w:hanging="360"/>
      </w:pPr>
      <w:r>
        <w:rPr>
          <w:rFonts w:ascii="Arial" w:eastAsia="宋体" w:hAnsi="Arial" w:cs="Arial"/>
          <w:color w:val="000000"/>
          <w:sz w:val="16"/>
          <w:szCs w:val="16"/>
        </w:rPr>
        <w:t xml:space="preserve">(1)These repurchased shares of common stock were recorded as treasury stock and were accounted for under the cost method. None of the repurchased shares of common stock have been retired. </w:t>
      </w:r>
    </w:p>
    <w:p w14:paraId="22CFD04F" w14:textId="77777777" w:rsidR="002661BA" w:rsidRDefault="00D972BC">
      <w:pPr>
        <w:ind w:hanging="360"/>
      </w:pPr>
      <w:r>
        <w:rPr>
          <w:rFonts w:ascii="Arial" w:eastAsia="宋体" w:hAnsi="Arial" w:cs="Arial"/>
          <w:color w:val="000000"/>
          <w:sz w:val="16"/>
          <w:szCs w:val="16"/>
        </w:rPr>
        <w:t>(2)Excludes broker commissions.</w:t>
      </w:r>
    </w:p>
    <w:p w14:paraId="22CFD050" w14:textId="77777777" w:rsidR="002661BA" w:rsidRDefault="00D972BC">
      <w:pPr>
        <w:ind w:hanging="360"/>
        <w:jc w:val="both"/>
      </w:pPr>
      <w:r>
        <w:rPr>
          <w:rFonts w:ascii="Arial" w:eastAsia="宋体" w:hAnsi="Arial" w:cs="Arial"/>
          <w:color w:val="000000"/>
          <w:sz w:val="16"/>
          <w:szCs w:val="16"/>
        </w:rPr>
        <w:t>(3)As indicated above, under the 20</w:t>
      </w:r>
      <w:r>
        <w:rPr>
          <w:rFonts w:ascii="Arial" w:eastAsia="宋体" w:hAnsi="Arial" w:cs="Arial"/>
          <w:color w:val="000000"/>
          <w:sz w:val="16"/>
          <w:szCs w:val="16"/>
        </w:rPr>
        <w:t>21 ASR Agreements, we paid an aggregate amount of $2.5 billion to the 2021 ASR Counterparties and received an initial delivery of 29.3 million shares of our common stock. In December 2021, we settled a 2021 ASR Agreement with one of the 2021 ASR Counterpar</w:t>
      </w:r>
      <w:r>
        <w:rPr>
          <w:rFonts w:ascii="Arial" w:eastAsia="宋体" w:hAnsi="Arial" w:cs="Arial"/>
          <w:color w:val="000000"/>
          <w:sz w:val="16"/>
          <w:szCs w:val="16"/>
        </w:rPr>
        <w:t>ties and received 3.4 million additional shares. In January 2022, the 2021 ASR Agreement with the remaining ASR Counterparty settled and resulted in delivery of approximately 3.3 million additional shares.</w:t>
      </w:r>
    </w:p>
    <w:p w14:paraId="22CFD051" w14:textId="77777777" w:rsidR="002661BA" w:rsidRDefault="002661BA">
      <w:pPr>
        <w:ind w:firstLine="180"/>
        <w:jc w:val="both"/>
      </w:pPr>
    </w:p>
    <w:p w14:paraId="22CFD052" w14:textId="77777777" w:rsidR="002661BA" w:rsidRDefault="00D972BC">
      <w:pPr>
        <w:ind w:firstLine="180"/>
        <w:jc w:val="both"/>
      </w:pPr>
      <w:r>
        <w:rPr>
          <w:rFonts w:ascii="Arial" w:eastAsia="宋体" w:hAnsi="Arial" w:cs="Arial"/>
          <w:b/>
          <w:bCs/>
          <w:i/>
          <w:iCs/>
          <w:color w:val="000000"/>
          <w:sz w:val="20"/>
          <w:szCs w:val="20"/>
        </w:rPr>
        <w:t>Dividends</w:t>
      </w:r>
    </w:p>
    <w:p w14:paraId="22CFD053" w14:textId="77777777" w:rsidR="002661BA" w:rsidRDefault="002661BA">
      <w:pPr>
        <w:ind w:firstLine="270"/>
      </w:pPr>
    </w:p>
    <w:p w14:paraId="22CFD054" w14:textId="77777777" w:rsidR="002661BA" w:rsidRDefault="00D972BC">
      <w:pPr>
        <w:ind w:firstLine="540"/>
        <w:jc w:val="both"/>
      </w:pPr>
      <w:r>
        <w:rPr>
          <w:rFonts w:ascii="Arial" w:eastAsia="宋体" w:hAnsi="Arial" w:cs="Arial"/>
          <w:color w:val="000000"/>
          <w:sz w:val="20"/>
          <w:szCs w:val="20"/>
        </w:rPr>
        <w:t xml:space="preserve">The company paid a total of $466 </w:t>
      </w:r>
      <w:r>
        <w:rPr>
          <w:rFonts w:ascii="Arial" w:eastAsia="宋体" w:hAnsi="Arial" w:cs="Arial"/>
          <w:color w:val="000000"/>
          <w:sz w:val="20"/>
          <w:szCs w:val="20"/>
        </w:rPr>
        <w:t>million, $447 million and $473 million in cash dividends during the years ended December 31, 2021, 2020 and 2019, respectively. In February 2022, we declared a cash dividend of $0.22 per share of common stock to be paid on March 18, 2022 to stockholders of</w:t>
      </w:r>
      <w:r>
        <w:rPr>
          <w:rFonts w:ascii="Arial" w:eastAsia="宋体" w:hAnsi="Arial" w:cs="Arial"/>
          <w:color w:val="000000"/>
          <w:sz w:val="20"/>
          <w:szCs w:val="20"/>
        </w:rPr>
        <w:t xml:space="preserve"> record as of March 10, 2022.</w:t>
      </w:r>
    </w:p>
    <w:p w14:paraId="22CFD055" w14:textId="77777777" w:rsidR="002661BA" w:rsidRDefault="002661BA">
      <w:pPr>
        <w:jc w:val="both"/>
      </w:pPr>
    </w:p>
    <w:p w14:paraId="22CFD056" w14:textId="77777777" w:rsidR="002661BA" w:rsidRDefault="00D972BC">
      <w:pPr>
        <w:jc w:val="center"/>
      </w:pPr>
      <w:r>
        <w:rPr>
          <w:rFonts w:ascii="Arial" w:eastAsia="宋体" w:hAnsi="Arial" w:cs="Arial"/>
          <w:color w:val="000000"/>
          <w:sz w:val="18"/>
          <w:szCs w:val="18"/>
        </w:rPr>
        <w:t>105</w:t>
      </w:r>
    </w:p>
    <w:p w14:paraId="22CFD057" w14:textId="77777777" w:rsidR="002661BA" w:rsidRDefault="00D972BC">
      <w:r>
        <w:pict w14:anchorId="22CFE51A">
          <v:rect id="_x0000_i1129" style="width:415.3pt;height:1.5pt" o:hralign="center" o:hrstd="t" o:hr="t" fillcolor="#a0a0a0" stroked="f"/>
        </w:pict>
      </w:r>
    </w:p>
    <w:p w14:paraId="22CFD058" w14:textId="77777777" w:rsidR="002661BA" w:rsidRDefault="00D972BC">
      <w:hyperlink r:id="rId140" w:anchor="id0d7a71b05ce452ea9fdb54f3cb359c7_7" w:history="1">
        <w:r>
          <w:rPr>
            <w:rStyle w:val="a5"/>
            <w:rFonts w:ascii="Arial" w:eastAsia="宋体" w:hAnsi="Arial" w:cs="Arial"/>
            <w:sz w:val="18"/>
            <w:szCs w:val="18"/>
          </w:rPr>
          <w:t>Table of Contents</w:t>
        </w:r>
      </w:hyperlink>
    </w:p>
    <w:p w14:paraId="22CFD059" w14:textId="77777777" w:rsidR="002661BA" w:rsidRDefault="00D972BC">
      <w:pPr>
        <w:jc w:val="center"/>
      </w:pPr>
      <w:r>
        <w:rPr>
          <w:rFonts w:ascii="Arial" w:eastAsia="宋体" w:hAnsi="Arial" w:cs="Arial"/>
          <w:b/>
          <w:bCs/>
          <w:color w:val="000000"/>
          <w:sz w:val="20"/>
          <w:szCs w:val="20"/>
        </w:rPr>
        <w:t>eBay Inc.</w:t>
      </w:r>
    </w:p>
    <w:p w14:paraId="22CFD05A"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D05B" w14:textId="77777777" w:rsidR="002661BA" w:rsidRDefault="00D972BC">
      <w:pPr>
        <w:jc w:val="both"/>
      </w:pPr>
      <w:r>
        <w:rPr>
          <w:rFonts w:ascii="Arial" w:eastAsia="宋体" w:hAnsi="Arial" w:cs="Arial"/>
          <w:b/>
          <w:bCs/>
          <w:color w:val="000000"/>
          <w:sz w:val="20"/>
          <w:szCs w:val="20"/>
        </w:rPr>
        <w:t>Note 14 — Employee B</w:t>
      </w:r>
      <w:r>
        <w:rPr>
          <w:rFonts w:ascii="Arial" w:eastAsia="宋体" w:hAnsi="Arial" w:cs="Arial"/>
          <w:b/>
          <w:bCs/>
          <w:color w:val="000000"/>
          <w:sz w:val="20"/>
          <w:szCs w:val="20"/>
        </w:rPr>
        <w:t>enefit Plans</w:t>
      </w:r>
    </w:p>
    <w:p w14:paraId="22CFD05C" w14:textId="77777777" w:rsidR="002661BA" w:rsidRDefault="002661BA">
      <w:pPr>
        <w:jc w:val="both"/>
      </w:pPr>
    </w:p>
    <w:p w14:paraId="22CFD05D" w14:textId="77777777" w:rsidR="002661BA" w:rsidRDefault="00D972BC">
      <w:pPr>
        <w:jc w:val="both"/>
      </w:pPr>
      <w:r>
        <w:rPr>
          <w:rFonts w:ascii="Arial" w:eastAsia="宋体" w:hAnsi="Arial" w:cs="Arial"/>
          <w:b/>
          <w:bCs/>
          <w:i/>
          <w:iCs/>
          <w:color w:val="000000"/>
          <w:sz w:val="20"/>
          <w:szCs w:val="20"/>
        </w:rPr>
        <w:t>Equity Incentive Plans</w:t>
      </w:r>
    </w:p>
    <w:p w14:paraId="22CFD05E" w14:textId="77777777" w:rsidR="002661BA" w:rsidRDefault="002661BA">
      <w:pPr>
        <w:jc w:val="both"/>
      </w:pPr>
    </w:p>
    <w:p w14:paraId="22CFD05F" w14:textId="77777777" w:rsidR="002661BA" w:rsidRDefault="00D972BC">
      <w:pPr>
        <w:ind w:firstLine="540"/>
        <w:jc w:val="both"/>
      </w:pPr>
      <w:r>
        <w:rPr>
          <w:rFonts w:ascii="Arial" w:eastAsia="宋体" w:hAnsi="Arial" w:cs="Arial"/>
          <w:color w:val="000000"/>
          <w:sz w:val="20"/>
          <w:szCs w:val="20"/>
        </w:rPr>
        <w:t xml:space="preserve">We have equity incentive plans under which we grant equity awards, including stock options, restricted stock units (“RSUs”), performance-based restricted stock units (“PBRSUs”), stock payment awards, performance share </w:t>
      </w:r>
      <w:r>
        <w:rPr>
          <w:rFonts w:ascii="Arial" w:eastAsia="宋体" w:hAnsi="Arial" w:cs="Arial"/>
          <w:color w:val="000000"/>
          <w:sz w:val="20"/>
          <w:szCs w:val="20"/>
        </w:rPr>
        <w:t xml:space="preserve">units and total shareholder return performance share units (“TSR PSUs”), to our directors, officers and employees. As of December 31, 2021, 755 million shares were authorized under our equity incentive plans and 40 million shares were available for future </w:t>
      </w:r>
      <w:r>
        <w:rPr>
          <w:rFonts w:ascii="Arial" w:eastAsia="宋体" w:hAnsi="Arial" w:cs="Arial"/>
          <w:color w:val="000000"/>
          <w:sz w:val="20"/>
          <w:szCs w:val="20"/>
        </w:rPr>
        <w:t xml:space="preserve">grant. </w:t>
      </w:r>
    </w:p>
    <w:p w14:paraId="22CFD060" w14:textId="77777777" w:rsidR="002661BA" w:rsidRDefault="002661BA">
      <w:pPr>
        <w:ind w:firstLine="540"/>
        <w:jc w:val="both"/>
      </w:pPr>
    </w:p>
    <w:p w14:paraId="22CFD061" w14:textId="77777777" w:rsidR="002661BA" w:rsidRDefault="00D972BC">
      <w:pPr>
        <w:ind w:firstLine="540"/>
        <w:jc w:val="both"/>
      </w:pPr>
      <w:r>
        <w:rPr>
          <w:rFonts w:ascii="Arial" w:eastAsia="宋体" w:hAnsi="Arial" w:cs="Arial"/>
          <w:color w:val="000000"/>
          <w:sz w:val="20"/>
          <w:szCs w:val="20"/>
        </w:rPr>
        <w:t>RSU awards granted to eligible employees under our equity incentive plans generally vest in annual or quarterly installments over a period of three to five years, are subject to the employees’ continuing service to us and do not have an expiration</w:t>
      </w:r>
      <w:r>
        <w:rPr>
          <w:rFonts w:ascii="Arial" w:eastAsia="宋体" w:hAnsi="Arial" w:cs="Arial"/>
          <w:color w:val="000000"/>
          <w:sz w:val="20"/>
          <w:szCs w:val="20"/>
        </w:rPr>
        <w:t xml:space="preserve"> date. </w:t>
      </w:r>
    </w:p>
    <w:p w14:paraId="22CFD062" w14:textId="77777777" w:rsidR="002661BA" w:rsidRDefault="002661BA">
      <w:pPr>
        <w:ind w:firstLine="540"/>
        <w:jc w:val="both"/>
      </w:pPr>
    </w:p>
    <w:p w14:paraId="22CFD063" w14:textId="77777777" w:rsidR="002661BA" w:rsidRDefault="00D972BC">
      <w:pPr>
        <w:ind w:firstLine="540"/>
        <w:jc w:val="both"/>
      </w:pPr>
      <w:r>
        <w:rPr>
          <w:rFonts w:ascii="Arial" w:eastAsia="宋体" w:hAnsi="Arial" w:cs="Arial"/>
          <w:color w:val="000000"/>
          <w:sz w:val="20"/>
          <w:szCs w:val="20"/>
        </w:rPr>
        <w:t>In 2021, 2020 and 2019, certain executives were eligible to receive PBRSUs. PBRSU awards are subject to performance and time-based vesting requirements. The target number of shares subject to the PBRSU award are adjusted based on our business perf</w:t>
      </w:r>
      <w:r>
        <w:rPr>
          <w:rFonts w:ascii="Arial" w:eastAsia="宋体" w:hAnsi="Arial" w:cs="Arial"/>
          <w:color w:val="000000"/>
          <w:sz w:val="20"/>
          <w:szCs w:val="20"/>
        </w:rPr>
        <w:t>ormance measured against the performance goals approved by the Compensation and Human Capital Committee at the beginning of the performance period. Generally, if the performance criteria are satisfied, one-half of the award vests in March following the end</w:t>
      </w:r>
      <w:r>
        <w:rPr>
          <w:rFonts w:ascii="Arial" w:eastAsia="宋体" w:hAnsi="Arial" w:cs="Arial"/>
          <w:color w:val="000000"/>
          <w:sz w:val="20"/>
          <w:szCs w:val="20"/>
        </w:rPr>
        <w:t xml:space="preserve"> of the performance period and the other half of the award vests in March of the following year.</w:t>
      </w:r>
    </w:p>
    <w:p w14:paraId="22CFD064" w14:textId="77777777" w:rsidR="002661BA" w:rsidRDefault="002661BA">
      <w:pPr>
        <w:ind w:firstLine="540"/>
        <w:jc w:val="both"/>
      </w:pPr>
    </w:p>
    <w:p w14:paraId="22CFD065" w14:textId="77777777" w:rsidR="002661BA" w:rsidRDefault="00D972BC">
      <w:pPr>
        <w:ind w:firstLine="540"/>
        <w:jc w:val="both"/>
      </w:pPr>
      <w:r>
        <w:rPr>
          <w:rFonts w:ascii="Arial" w:eastAsia="宋体" w:hAnsi="Arial" w:cs="Arial"/>
          <w:color w:val="000000"/>
          <w:sz w:val="20"/>
          <w:szCs w:val="20"/>
        </w:rPr>
        <w:t>During 2020, our Chief Executive Officer was granted TSR PSUs with performance and time-based vesting requirements. The number of stock units ultimately recei</w:t>
      </w:r>
      <w:r>
        <w:rPr>
          <w:rFonts w:ascii="Arial" w:eastAsia="宋体" w:hAnsi="Arial" w:cs="Arial"/>
          <w:color w:val="000000"/>
          <w:sz w:val="20"/>
          <w:szCs w:val="20"/>
        </w:rPr>
        <w:t>ved will depend on our total shareholder return relative to that of the S&amp;P 500 index over two and three year measurement periods. The target number of shares will be divided into two tranches, with each tranche corresponding to 50% of the target shares. T</w:t>
      </w:r>
      <w:r>
        <w:rPr>
          <w:rFonts w:ascii="Arial" w:eastAsia="宋体" w:hAnsi="Arial" w:cs="Arial"/>
          <w:color w:val="000000"/>
          <w:sz w:val="20"/>
          <w:szCs w:val="20"/>
        </w:rPr>
        <w:t xml:space="preserve">he first tranche will vest in full on the second anniversary of the grant date and second tranche will vest on the third anniversary of the grant date. </w:t>
      </w:r>
    </w:p>
    <w:p w14:paraId="22CFD066" w14:textId="77777777" w:rsidR="002661BA" w:rsidRDefault="002661BA">
      <w:pPr>
        <w:ind w:firstLine="540"/>
        <w:jc w:val="both"/>
      </w:pPr>
    </w:p>
    <w:p w14:paraId="22CFD067" w14:textId="77777777" w:rsidR="002661BA" w:rsidRDefault="00D972BC">
      <w:pPr>
        <w:jc w:val="both"/>
      </w:pPr>
      <w:r>
        <w:rPr>
          <w:rFonts w:ascii="Arial" w:eastAsia="宋体" w:hAnsi="Arial" w:cs="Arial"/>
          <w:b/>
          <w:bCs/>
          <w:i/>
          <w:iCs/>
          <w:color w:val="000000"/>
          <w:sz w:val="20"/>
          <w:szCs w:val="20"/>
        </w:rPr>
        <w:t>Deferred Stock Units</w:t>
      </w:r>
    </w:p>
    <w:p w14:paraId="22CFD068" w14:textId="77777777" w:rsidR="002661BA" w:rsidRDefault="002661BA">
      <w:pPr>
        <w:jc w:val="both"/>
      </w:pPr>
    </w:p>
    <w:p w14:paraId="22CFD069" w14:textId="77777777" w:rsidR="002661BA" w:rsidRDefault="00D972BC">
      <w:pPr>
        <w:ind w:firstLine="540"/>
        <w:jc w:val="both"/>
      </w:pPr>
      <w:r>
        <w:rPr>
          <w:rFonts w:ascii="Arial" w:eastAsia="宋体" w:hAnsi="Arial" w:cs="Arial"/>
          <w:color w:val="000000"/>
          <w:sz w:val="20"/>
          <w:szCs w:val="20"/>
        </w:rPr>
        <w:t>Prior to December 31, 2016, we granted deferred stock units to each non-employee</w:t>
      </w:r>
      <w:r>
        <w:rPr>
          <w:rFonts w:ascii="Arial" w:eastAsia="宋体" w:hAnsi="Arial" w:cs="Arial"/>
          <w:color w:val="000000"/>
          <w:sz w:val="20"/>
          <w:szCs w:val="20"/>
        </w:rPr>
        <w:t xml:space="preserve"> director (other than Mr. Omidyar) at the time of our annual meeting of stockholders and to new non-employee directors upon their election to the Board. Each deferred stock unit award granted to a new non-employee director upon election to the Board vests </w:t>
      </w:r>
      <w:r>
        <w:rPr>
          <w:rFonts w:ascii="Arial" w:eastAsia="宋体" w:hAnsi="Arial" w:cs="Arial"/>
          <w:color w:val="000000"/>
          <w:sz w:val="20"/>
          <w:szCs w:val="20"/>
        </w:rPr>
        <w:t>25% one year from the date of grant, and at a rate of 2.08% per month thereafter. In addition, directors were permitted to elect to receive, in lieu of annual retainer and committee chair fees and at the time these fees would otherwise be payable, fully ve</w:t>
      </w:r>
      <w:r>
        <w:rPr>
          <w:rFonts w:ascii="Arial" w:eastAsia="宋体" w:hAnsi="Arial" w:cs="Arial"/>
          <w:color w:val="000000"/>
          <w:sz w:val="20"/>
          <w:szCs w:val="20"/>
        </w:rPr>
        <w:t>sted deferred stock units with an initial value equal to the amount based on the fair market value of common stock at the date of grant. Following termination of a non-employee director’s service on the Board, deferred stock units granted prior to August 1</w:t>
      </w:r>
      <w:r>
        <w:rPr>
          <w:rFonts w:ascii="Arial" w:eastAsia="宋体" w:hAnsi="Arial" w:cs="Arial"/>
          <w:color w:val="000000"/>
          <w:sz w:val="20"/>
          <w:szCs w:val="20"/>
        </w:rPr>
        <w:t>, 2013 are payable in stock or cash (at our election), while deferred stock units granted on or after August 1, 2013 are payable solely in stock. As of December 31, 2021, there were approximately 109,993 deferred stock units outstanding, which are included</w:t>
      </w:r>
      <w:r>
        <w:rPr>
          <w:rFonts w:ascii="Arial" w:eastAsia="宋体" w:hAnsi="Arial" w:cs="Arial"/>
          <w:color w:val="000000"/>
          <w:sz w:val="20"/>
          <w:szCs w:val="20"/>
        </w:rPr>
        <w:t xml:space="preserve"> in our restricted stock unit activity below. As of December 31, 2016, we no longer grant deferred stock units.</w:t>
      </w:r>
    </w:p>
    <w:p w14:paraId="22CFD06A" w14:textId="77777777" w:rsidR="002661BA" w:rsidRDefault="002661BA">
      <w:pPr>
        <w:jc w:val="both"/>
      </w:pPr>
    </w:p>
    <w:p w14:paraId="22CFD06B" w14:textId="77777777" w:rsidR="002661BA" w:rsidRDefault="00D972BC">
      <w:pPr>
        <w:jc w:val="both"/>
      </w:pPr>
      <w:r>
        <w:rPr>
          <w:rFonts w:ascii="Arial" w:eastAsia="宋体" w:hAnsi="Arial" w:cs="Arial"/>
          <w:b/>
          <w:bCs/>
          <w:i/>
          <w:iCs/>
          <w:color w:val="000000"/>
          <w:sz w:val="20"/>
          <w:szCs w:val="20"/>
        </w:rPr>
        <w:t xml:space="preserve">Employee Stock Purchase Plan </w:t>
      </w:r>
    </w:p>
    <w:p w14:paraId="22CFD06C" w14:textId="77777777" w:rsidR="002661BA" w:rsidRDefault="002661BA">
      <w:pPr>
        <w:jc w:val="both"/>
      </w:pPr>
    </w:p>
    <w:p w14:paraId="22CFD06D" w14:textId="77777777" w:rsidR="002661BA" w:rsidRDefault="00D972BC">
      <w:pPr>
        <w:ind w:firstLine="540"/>
        <w:jc w:val="both"/>
      </w:pPr>
      <w:r>
        <w:rPr>
          <w:rFonts w:ascii="Arial" w:eastAsia="宋体" w:hAnsi="Arial" w:cs="Arial"/>
          <w:color w:val="000000"/>
          <w:sz w:val="20"/>
          <w:szCs w:val="20"/>
        </w:rPr>
        <w:t xml:space="preserve">We have an Employee Stock Purchase Plan (“ESPP”) for all eligible employees. Under the plan, shares of our common stock may be purchased over an offering period with a maximum duration of two years at 85% of the lower of the fair market value on the first </w:t>
      </w:r>
      <w:r>
        <w:rPr>
          <w:rFonts w:ascii="Arial" w:eastAsia="宋体" w:hAnsi="Arial" w:cs="Arial"/>
          <w:color w:val="000000"/>
          <w:sz w:val="20"/>
          <w:szCs w:val="20"/>
        </w:rPr>
        <w:t>day of the applicable offering period or on the last day of the six-month purchase period. Employees may purchase shares having a value not exceeding 10% of their eligible compensation during an offering period. During 2021, 2020 and 2019, employees purcha</w:t>
      </w:r>
      <w:r>
        <w:rPr>
          <w:rFonts w:ascii="Arial" w:eastAsia="宋体" w:hAnsi="Arial" w:cs="Arial"/>
          <w:color w:val="000000"/>
          <w:sz w:val="20"/>
          <w:szCs w:val="20"/>
        </w:rPr>
        <w:t xml:space="preserve">sed approximately 2 million, 3 million and 3 million shares under this plan at average prices of $38.93, $25.93 and $25.24 per share, respectively. As of December 31, 2021, approximately 3 million shares of common stock were reserved for future issuance. </w:t>
      </w:r>
    </w:p>
    <w:p w14:paraId="22CFD06E" w14:textId="77777777" w:rsidR="002661BA" w:rsidRDefault="002661BA">
      <w:pPr>
        <w:jc w:val="both"/>
      </w:pPr>
    </w:p>
    <w:p w14:paraId="22CFD06F" w14:textId="77777777" w:rsidR="002661BA" w:rsidRDefault="00D972BC">
      <w:pPr>
        <w:jc w:val="both"/>
      </w:pPr>
      <w:r>
        <w:rPr>
          <w:rFonts w:ascii="Arial" w:eastAsia="宋体" w:hAnsi="Arial" w:cs="Arial"/>
          <w:b/>
          <w:bCs/>
          <w:i/>
          <w:iCs/>
          <w:color w:val="000000"/>
          <w:sz w:val="20"/>
          <w:szCs w:val="20"/>
        </w:rPr>
        <w:t xml:space="preserve">Stock Option Activity </w:t>
      </w:r>
    </w:p>
    <w:p w14:paraId="22CFD070" w14:textId="77777777" w:rsidR="002661BA" w:rsidRDefault="002661BA">
      <w:pPr>
        <w:jc w:val="both"/>
      </w:pPr>
    </w:p>
    <w:p w14:paraId="22CFD071" w14:textId="77777777" w:rsidR="002661BA" w:rsidRDefault="00D972BC">
      <w:pPr>
        <w:ind w:firstLine="540"/>
        <w:jc w:val="both"/>
      </w:pPr>
      <w:r>
        <w:rPr>
          <w:rFonts w:ascii="Arial" w:eastAsia="宋体" w:hAnsi="Arial" w:cs="Arial"/>
          <w:color w:val="000000"/>
          <w:sz w:val="20"/>
          <w:szCs w:val="20"/>
        </w:rPr>
        <w:t xml:space="preserve">No stock options were granted in 2021, 2020 and 2019. </w:t>
      </w:r>
    </w:p>
    <w:p w14:paraId="22CFD072" w14:textId="77777777" w:rsidR="002661BA" w:rsidRDefault="002661BA">
      <w:pPr>
        <w:ind w:firstLine="540"/>
        <w:jc w:val="both"/>
      </w:pPr>
    </w:p>
    <w:p w14:paraId="22CFD073" w14:textId="77777777" w:rsidR="002661BA" w:rsidRDefault="00D972BC">
      <w:pPr>
        <w:jc w:val="center"/>
      </w:pPr>
      <w:r>
        <w:rPr>
          <w:rFonts w:ascii="Arial" w:eastAsia="宋体" w:hAnsi="Arial" w:cs="Arial"/>
          <w:color w:val="000000"/>
          <w:sz w:val="18"/>
          <w:szCs w:val="18"/>
        </w:rPr>
        <w:t>106</w:t>
      </w:r>
    </w:p>
    <w:p w14:paraId="22CFD074" w14:textId="77777777" w:rsidR="002661BA" w:rsidRDefault="00D972BC">
      <w:r>
        <w:pict w14:anchorId="22CFE51B">
          <v:rect id="_x0000_i1130" style="width:415.3pt;height:1.5pt" o:hralign="center" o:hrstd="t" o:hr="t" fillcolor="#a0a0a0" stroked="f"/>
        </w:pict>
      </w:r>
    </w:p>
    <w:p w14:paraId="22CFD075" w14:textId="77777777" w:rsidR="002661BA" w:rsidRDefault="00D972BC">
      <w:hyperlink r:id="rId141" w:anchor="id0d7a71b05ce452ea9fdb54f3cb359c7_7" w:history="1">
        <w:r>
          <w:rPr>
            <w:rStyle w:val="a5"/>
            <w:rFonts w:ascii="Arial" w:eastAsia="宋体" w:hAnsi="Arial" w:cs="Arial"/>
            <w:sz w:val="18"/>
            <w:szCs w:val="18"/>
          </w:rPr>
          <w:t>Table of Contents</w:t>
        </w:r>
      </w:hyperlink>
    </w:p>
    <w:p w14:paraId="22CFD076" w14:textId="77777777" w:rsidR="002661BA" w:rsidRDefault="00D972BC">
      <w:pPr>
        <w:jc w:val="center"/>
      </w:pPr>
      <w:r>
        <w:rPr>
          <w:rFonts w:ascii="Arial" w:eastAsia="宋体" w:hAnsi="Arial" w:cs="Arial"/>
          <w:b/>
          <w:bCs/>
          <w:color w:val="000000"/>
          <w:sz w:val="20"/>
          <w:szCs w:val="20"/>
        </w:rPr>
        <w:t>eBay Inc.</w:t>
      </w:r>
    </w:p>
    <w:p w14:paraId="22CFD077"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D078" w14:textId="77777777" w:rsidR="002661BA" w:rsidRDefault="00D972BC">
      <w:pPr>
        <w:ind w:firstLine="540"/>
        <w:jc w:val="both"/>
      </w:pPr>
      <w:r>
        <w:rPr>
          <w:rFonts w:ascii="Arial" w:eastAsia="宋体" w:hAnsi="Arial" w:cs="Arial"/>
          <w:color w:val="000000"/>
          <w:sz w:val="20"/>
          <w:szCs w:val="20"/>
        </w:rPr>
        <w:t>During 2021, 2020 an</w:t>
      </w:r>
      <w:r>
        <w:rPr>
          <w:rFonts w:ascii="Arial" w:eastAsia="宋体" w:hAnsi="Arial" w:cs="Arial"/>
          <w:color w:val="000000"/>
          <w:sz w:val="20"/>
          <w:szCs w:val="20"/>
        </w:rPr>
        <w:t xml:space="preserve">d 2019, the aggregate intrinsic value of options exercised under our equity incentive plans was $2 million, $15 million and $20 million, respectively, determined as of the date of option exercise. </w:t>
      </w:r>
    </w:p>
    <w:p w14:paraId="22CFD079" w14:textId="77777777" w:rsidR="002661BA" w:rsidRDefault="002661BA">
      <w:pPr>
        <w:ind w:firstLine="495"/>
        <w:jc w:val="both"/>
      </w:pPr>
    </w:p>
    <w:p w14:paraId="22CFD07A" w14:textId="77777777" w:rsidR="002661BA" w:rsidRDefault="00D972BC">
      <w:pPr>
        <w:jc w:val="both"/>
      </w:pPr>
      <w:r>
        <w:rPr>
          <w:rFonts w:ascii="Arial" w:eastAsia="宋体" w:hAnsi="Arial" w:cs="Arial"/>
          <w:b/>
          <w:bCs/>
          <w:i/>
          <w:iCs/>
          <w:color w:val="000000"/>
          <w:sz w:val="20"/>
          <w:szCs w:val="20"/>
        </w:rPr>
        <w:t>Restricted Stock Unit Activity</w:t>
      </w:r>
    </w:p>
    <w:p w14:paraId="22CFD07B" w14:textId="77777777" w:rsidR="002661BA" w:rsidRDefault="002661BA">
      <w:pPr>
        <w:jc w:val="both"/>
      </w:pPr>
    </w:p>
    <w:p w14:paraId="22CFD07C" w14:textId="77777777" w:rsidR="002661BA" w:rsidRDefault="00D972BC">
      <w:pPr>
        <w:spacing w:after="120"/>
        <w:ind w:firstLine="540"/>
        <w:jc w:val="both"/>
      </w:pPr>
      <w:r>
        <w:rPr>
          <w:rFonts w:ascii="Arial" w:eastAsia="宋体" w:hAnsi="Arial" w:cs="Arial"/>
          <w:color w:val="000000"/>
          <w:sz w:val="20"/>
          <w:szCs w:val="20"/>
        </w:rPr>
        <w:t>The following table prese</w:t>
      </w:r>
      <w:r>
        <w:rPr>
          <w:rFonts w:ascii="Arial" w:eastAsia="宋体" w:hAnsi="Arial" w:cs="Arial"/>
          <w:color w:val="000000"/>
          <w:sz w:val="20"/>
          <w:szCs w:val="20"/>
        </w:rPr>
        <w:t>nts RSU activity (including PBRSUs that have been earned) under our equity incentive plans as of and for the year ended December 31, 2021 (in millions,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7"/>
        <w:gridCol w:w="5686"/>
        <w:gridCol w:w="36"/>
        <w:gridCol w:w="37"/>
        <w:gridCol w:w="821"/>
        <w:gridCol w:w="36"/>
        <w:gridCol w:w="36"/>
        <w:gridCol w:w="36"/>
        <w:gridCol w:w="36"/>
        <w:gridCol w:w="122"/>
        <w:gridCol w:w="1417"/>
        <w:gridCol w:w="36"/>
      </w:tblGrid>
      <w:tr w:rsidR="002661BA" w14:paraId="22CFD089" w14:textId="77777777">
        <w:tc>
          <w:tcPr>
            <w:tcW w:w="50" w:type="pct"/>
            <w:shd w:val="clear" w:color="auto" w:fill="auto"/>
            <w:vAlign w:val="bottom"/>
          </w:tcPr>
          <w:p w14:paraId="22CFD07D" w14:textId="77777777" w:rsidR="002661BA" w:rsidRDefault="002661BA">
            <w:pPr>
              <w:rPr>
                <w:rFonts w:ascii="宋体"/>
              </w:rPr>
            </w:pPr>
          </w:p>
        </w:tc>
        <w:tc>
          <w:tcPr>
            <w:tcW w:w="3497" w:type="pct"/>
            <w:shd w:val="clear" w:color="auto" w:fill="auto"/>
            <w:vAlign w:val="bottom"/>
          </w:tcPr>
          <w:p w14:paraId="22CFD07E" w14:textId="77777777" w:rsidR="002661BA" w:rsidRDefault="002661BA">
            <w:pPr>
              <w:rPr>
                <w:rFonts w:ascii="宋体"/>
              </w:rPr>
            </w:pPr>
          </w:p>
        </w:tc>
        <w:tc>
          <w:tcPr>
            <w:tcW w:w="5" w:type="pct"/>
            <w:shd w:val="clear" w:color="auto" w:fill="auto"/>
            <w:vAlign w:val="bottom"/>
          </w:tcPr>
          <w:p w14:paraId="22CFD07F" w14:textId="77777777" w:rsidR="002661BA" w:rsidRDefault="002661BA">
            <w:pPr>
              <w:rPr>
                <w:rFonts w:ascii="宋体"/>
              </w:rPr>
            </w:pPr>
          </w:p>
        </w:tc>
        <w:tc>
          <w:tcPr>
            <w:tcW w:w="50" w:type="pct"/>
            <w:shd w:val="clear" w:color="auto" w:fill="auto"/>
            <w:vAlign w:val="bottom"/>
          </w:tcPr>
          <w:p w14:paraId="22CFD080" w14:textId="77777777" w:rsidR="002661BA" w:rsidRDefault="002661BA">
            <w:pPr>
              <w:rPr>
                <w:rFonts w:ascii="宋体"/>
              </w:rPr>
            </w:pPr>
          </w:p>
        </w:tc>
        <w:tc>
          <w:tcPr>
            <w:tcW w:w="580" w:type="pct"/>
            <w:shd w:val="clear" w:color="auto" w:fill="auto"/>
            <w:vAlign w:val="bottom"/>
          </w:tcPr>
          <w:p w14:paraId="22CFD081" w14:textId="77777777" w:rsidR="002661BA" w:rsidRDefault="002661BA">
            <w:pPr>
              <w:rPr>
                <w:rFonts w:ascii="宋体"/>
              </w:rPr>
            </w:pPr>
          </w:p>
        </w:tc>
        <w:tc>
          <w:tcPr>
            <w:tcW w:w="5" w:type="pct"/>
            <w:shd w:val="clear" w:color="auto" w:fill="auto"/>
            <w:vAlign w:val="bottom"/>
          </w:tcPr>
          <w:p w14:paraId="22CFD082" w14:textId="77777777" w:rsidR="002661BA" w:rsidRDefault="002661BA">
            <w:pPr>
              <w:rPr>
                <w:rFonts w:ascii="宋体"/>
              </w:rPr>
            </w:pPr>
          </w:p>
        </w:tc>
        <w:tc>
          <w:tcPr>
            <w:tcW w:w="5" w:type="pct"/>
            <w:shd w:val="clear" w:color="auto" w:fill="auto"/>
            <w:vAlign w:val="bottom"/>
          </w:tcPr>
          <w:p w14:paraId="22CFD083" w14:textId="77777777" w:rsidR="002661BA" w:rsidRDefault="002661BA">
            <w:pPr>
              <w:rPr>
                <w:rFonts w:ascii="宋体"/>
              </w:rPr>
            </w:pPr>
          </w:p>
        </w:tc>
        <w:tc>
          <w:tcPr>
            <w:tcW w:w="19" w:type="pct"/>
            <w:shd w:val="clear" w:color="auto" w:fill="auto"/>
            <w:vAlign w:val="bottom"/>
          </w:tcPr>
          <w:p w14:paraId="22CFD084" w14:textId="77777777" w:rsidR="002661BA" w:rsidRDefault="002661BA">
            <w:pPr>
              <w:rPr>
                <w:rFonts w:ascii="宋体"/>
              </w:rPr>
            </w:pPr>
          </w:p>
        </w:tc>
        <w:tc>
          <w:tcPr>
            <w:tcW w:w="5" w:type="pct"/>
            <w:shd w:val="clear" w:color="auto" w:fill="auto"/>
            <w:vAlign w:val="bottom"/>
          </w:tcPr>
          <w:p w14:paraId="22CFD085" w14:textId="77777777" w:rsidR="002661BA" w:rsidRDefault="002661BA">
            <w:pPr>
              <w:rPr>
                <w:rFonts w:ascii="宋体"/>
              </w:rPr>
            </w:pPr>
          </w:p>
        </w:tc>
        <w:tc>
          <w:tcPr>
            <w:tcW w:w="50" w:type="pct"/>
            <w:shd w:val="clear" w:color="auto" w:fill="auto"/>
            <w:vAlign w:val="bottom"/>
          </w:tcPr>
          <w:p w14:paraId="22CFD086" w14:textId="77777777" w:rsidR="002661BA" w:rsidRDefault="002661BA">
            <w:pPr>
              <w:rPr>
                <w:rFonts w:ascii="宋体"/>
              </w:rPr>
            </w:pPr>
          </w:p>
        </w:tc>
        <w:tc>
          <w:tcPr>
            <w:tcW w:w="727" w:type="pct"/>
            <w:shd w:val="clear" w:color="auto" w:fill="auto"/>
            <w:vAlign w:val="bottom"/>
          </w:tcPr>
          <w:p w14:paraId="22CFD087" w14:textId="77777777" w:rsidR="002661BA" w:rsidRDefault="002661BA">
            <w:pPr>
              <w:rPr>
                <w:rFonts w:ascii="宋体"/>
              </w:rPr>
            </w:pPr>
          </w:p>
        </w:tc>
        <w:tc>
          <w:tcPr>
            <w:tcW w:w="5" w:type="pct"/>
            <w:shd w:val="clear" w:color="auto" w:fill="auto"/>
            <w:vAlign w:val="bottom"/>
          </w:tcPr>
          <w:p w14:paraId="22CFD088" w14:textId="77777777" w:rsidR="002661BA" w:rsidRDefault="002661BA">
            <w:pPr>
              <w:rPr>
                <w:rFonts w:ascii="宋体"/>
              </w:rPr>
            </w:pPr>
          </w:p>
        </w:tc>
      </w:tr>
      <w:tr w:rsidR="002661BA" w14:paraId="22CFD08E" w14:textId="77777777">
        <w:tc>
          <w:tcPr>
            <w:tcW w:w="0" w:type="auto"/>
            <w:gridSpan w:val="3"/>
            <w:shd w:val="clear" w:color="auto" w:fill="auto"/>
            <w:tcMar>
              <w:top w:w="40" w:type="dxa"/>
              <w:left w:w="20" w:type="dxa"/>
              <w:bottom w:w="40" w:type="dxa"/>
              <w:right w:w="20" w:type="dxa"/>
            </w:tcMar>
            <w:vAlign w:val="bottom"/>
          </w:tcPr>
          <w:p w14:paraId="22CFD08A" w14:textId="77777777" w:rsidR="002661BA" w:rsidRDefault="00D972BC">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22CFD08B" w14:textId="77777777" w:rsidR="002661BA" w:rsidRDefault="00D972BC">
            <w:pPr>
              <w:jc w:val="center"/>
              <w:textAlignment w:val="bottom"/>
            </w:pPr>
            <w:r>
              <w:rPr>
                <w:rFonts w:ascii="Arial" w:eastAsia="宋体" w:hAnsi="Arial" w:cs="Arial"/>
                <w:b/>
                <w:bCs/>
                <w:color w:val="000000"/>
                <w:sz w:val="17"/>
                <w:szCs w:val="17"/>
              </w:rPr>
              <w:t>Units</w:t>
            </w:r>
          </w:p>
        </w:tc>
        <w:tc>
          <w:tcPr>
            <w:tcW w:w="0" w:type="auto"/>
            <w:gridSpan w:val="3"/>
            <w:shd w:val="clear" w:color="auto" w:fill="auto"/>
            <w:tcMar>
              <w:top w:w="0" w:type="dxa"/>
              <w:left w:w="20" w:type="dxa"/>
              <w:bottom w:w="0" w:type="dxa"/>
              <w:right w:w="20" w:type="dxa"/>
            </w:tcMar>
            <w:vAlign w:val="bottom"/>
          </w:tcPr>
          <w:p w14:paraId="22CFD08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08D" w14:textId="77777777" w:rsidR="002661BA" w:rsidRDefault="00D972BC">
            <w:pPr>
              <w:jc w:val="center"/>
              <w:textAlignment w:val="bottom"/>
            </w:pPr>
            <w:r>
              <w:rPr>
                <w:rFonts w:ascii="Arial" w:eastAsia="宋体" w:hAnsi="Arial" w:cs="Arial"/>
                <w:b/>
                <w:bCs/>
                <w:color w:val="000000"/>
                <w:sz w:val="17"/>
                <w:szCs w:val="17"/>
              </w:rPr>
              <w:t>Weighted Average Grant-Date Fair Value</w:t>
            </w:r>
            <w:r>
              <w:rPr>
                <w:rFonts w:ascii="Arial" w:eastAsia="宋体" w:hAnsi="Arial" w:cs="Arial"/>
                <w:b/>
                <w:bCs/>
                <w:color w:val="000000"/>
                <w:sz w:val="17"/>
                <w:szCs w:val="17"/>
              </w:rPr>
              <w:br/>
              <w:t xml:space="preserve">(per </w:t>
            </w:r>
            <w:r>
              <w:rPr>
                <w:rFonts w:ascii="Arial" w:eastAsia="宋体" w:hAnsi="Arial" w:cs="Arial"/>
                <w:b/>
                <w:bCs/>
                <w:color w:val="000000"/>
                <w:sz w:val="17"/>
                <w:szCs w:val="17"/>
              </w:rPr>
              <w:t>share)</w:t>
            </w:r>
          </w:p>
        </w:tc>
      </w:tr>
      <w:tr w:rsidR="002661BA" w14:paraId="22CFD096" w14:textId="77777777">
        <w:tc>
          <w:tcPr>
            <w:tcW w:w="0" w:type="auto"/>
            <w:gridSpan w:val="3"/>
            <w:shd w:val="clear" w:color="auto" w:fill="E2E2E2"/>
            <w:tcMar>
              <w:top w:w="40" w:type="dxa"/>
              <w:left w:w="20" w:type="dxa"/>
              <w:bottom w:w="40" w:type="dxa"/>
              <w:right w:w="20" w:type="dxa"/>
            </w:tcMar>
            <w:vAlign w:val="bottom"/>
          </w:tcPr>
          <w:p w14:paraId="22CFD08F" w14:textId="77777777" w:rsidR="002661BA" w:rsidRDefault="00D972BC">
            <w:pPr>
              <w:textAlignment w:val="bottom"/>
            </w:pPr>
            <w:r>
              <w:rPr>
                <w:rFonts w:ascii="Arial" w:eastAsia="宋体" w:hAnsi="Arial" w:cs="Arial"/>
                <w:color w:val="000000"/>
                <w:sz w:val="18"/>
                <w:szCs w:val="18"/>
              </w:rPr>
              <w:t>Outstanding as of January 1, 2021</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D090" w14:textId="77777777" w:rsidR="002661BA" w:rsidRDefault="00D972BC">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091"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092"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09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094" w14:textId="77777777" w:rsidR="002661BA" w:rsidRDefault="00D972BC">
            <w:pPr>
              <w:jc w:val="right"/>
              <w:textAlignment w:val="bottom"/>
            </w:pPr>
            <w:r>
              <w:rPr>
                <w:rFonts w:ascii="Arial" w:eastAsia="宋体" w:hAnsi="Arial" w:cs="Arial"/>
                <w:color w:val="000000"/>
                <w:sz w:val="18"/>
                <w:szCs w:val="18"/>
              </w:rPr>
              <w:t>35.85 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095" w14:textId="77777777" w:rsidR="002661BA" w:rsidRDefault="002661BA">
            <w:pPr>
              <w:jc w:val="right"/>
              <w:rPr>
                <w:rFonts w:ascii="宋体"/>
              </w:rPr>
            </w:pPr>
          </w:p>
        </w:tc>
      </w:tr>
      <w:tr w:rsidR="002661BA" w14:paraId="22CFD09E" w14:textId="77777777">
        <w:tc>
          <w:tcPr>
            <w:tcW w:w="0" w:type="auto"/>
            <w:gridSpan w:val="3"/>
            <w:shd w:val="clear" w:color="auto" w:fill="FFFFFF"/>
            <w:tcMar>
              <w:top w:w="40" w:type="dxa"/>
              <w:left w:w="20" w:type="dxa"/>
              <w:bottom w:w="40" w:type="dxa"/>
              <w:right w:w="20" w:type="dxa"/>
            </w:tcMar>
            <w:vAlign w:val="bottom"/>
          </w:tcPr>
          <w:p w14:paraId="22CFD097" w14:textId="77777777" w:rsidR="002661BA" w:rsidRDefault="00D972BC">
            <w:pPr>
              <w:textAlignment w:val="bottom"/>
            </w:pPr>
            <w:r>
              <w:rPr>
                <w:rFonts w:ascii="Arial" w:eastAsia="宋体" w:hAnsi="Arial" w:cs="Arial"/>
                <w:color w:val="000000"/>
                <w:sz w:val="18"/>
                <w:szCs w:val="18"/>
              </w:rPr>
              <w:t>Awarded and assumed</w:t>
            </w:r>
          </w:p>
        </w:tc>
        <w:tc>
          <w:tcPr>
            <w:tcW w:w="0" w:type="auto"/>
            <w:gridSpan w:val="2"/>
            <w:shd w:val="clear" w:color="auto" w:fill="FFFFFF"/>
            <w:tcMar>
              <w:top w:w="40" w:type="dxa"/>
              <w:left w:w="20" w:type="dxa"/>
              <w:bottom w:w="40" w:type="dxa"/>
              <w:right w:w="0" w:type="dxa"/>
            </w:tcMar>
            <w:vAlign w:val="bottom"/>
          </w:tcPr>
          <w:p w14:paraId="22CFD098" w14:textId="77777777" w:rsidR="002661BA" w:rsidRDefault="00D972BC">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22CFD09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09A"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09B"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09C" w14:textId="77777777" w:rsidR="002661BA" w:rsidRDefault="00D972BC">
            <w:pPr>
              <w:jc w:val="right"/>
              <w:textAlignment w:val="bottom"/>
            </w:pPr>
            <w:r>
              <w:rPr>
                <w:rFonts w:ascii="Arial" w:eastAsia="宋体" w:hAnsi="Arial" w:cs="Arial"/>
                <w:color w:val="000000"/>
                <w:sz w:val="18"/>
                <w:szCs w:val="18"/>
              </w:rPr>
              <w:t>63.98 </w:t>
            </w:r>
          </w:p>
        </w:tc>
        <w:tc>
          <w:tcPr>
            <w:tcW w:w="0" w:type="auto"/>
            <w:shd w:val="clear" w:color="auto" w:fill="FFFFFF"/>
            <w:tcMar>
              <w:top w:w="40" w:type="dxa"/>
              <w:left w:w="0" w:type="dxa"/>
              <w:bottom w:w="40" w:type="dxa"/>
              <w:right w:w="20" w:type="dxa"/>
            </w:tcMar>
            <w:vAlign w:val="bottom"/>
          </w:tcPr>
          <w:p w14:paraId="22CFD09D" w14:textId="77777777" w:rsidR="002661BA" w:rsidRDefault="002661BA">
            <w:pPr>
              <w:jc w:val="right"/>
              <w:rPr>
                <w:rFonts w:ascii="宋体"/>
              </w:rPr>
            </w:pPr>
          </w:p>
        </w:tc>
      </w:tr>
      <w:tr w:rsidR="002661BA" w14:paraId="22CFD0A6" w14:textId="77777777">
        <w:tc>
          <w:tcPr>
            <w:tcW w:w="0" w:type="auto"/>
            <w:gridSpan w:val="3"/>
            <w:shd w:val="clear" w:color="auto" w:fill="E2E2E2"/>
            <w:tcMar>
              <w:top w:w="40" w:type="dxa"/>
              <w:left w:w="20" w:type="dxa"/>
              <w:bottom w:w="40" w:type="dxa"/>
              <w:right w:w="20" w:type="dxa"/>
            </w:tcMar>
            <w:vAlign w:val="bottom"/>
          </w:tcPr>
          <w:p w14:paraId="22CFD09F" w14:textId="77777777" w:rsidR="002661BA" w:rsidRDefault="00D972BC">
            <w:pPr>
              <w:textAlignment w:val="bottom"/>
            </w:pPr>
            <w:r>
              <w:rPr>
                <w:rFonts w:ascii="Arial" w:eastAsia="宋体" w:hAnsi="Arial" w:cs="Arial"/>
                <w:color w:val="000000"/>
                <w:sz w:val="18"/>
                <w:szCs w:val="18"/>
              </w:rPr>
              <w:t>Vested</w:t>
            </w:r>
          </w:p>
        </w:tc>
        <w:tc>
          <w:tcPr>
            <w:tcW w:w="0" w:type="auto"/>
            <w:gridSpan w:val="2"/>
            <w:shd w:val="clear" w:color="auto" w:fill="E2E2E2"/>
            <w:tcMar>
              <w:top w:w="40" w:type="dxa"/>
              <w:left w:w="20" w:type="dxa"/>
              <w:bottom w:w="40" w:type="dxa"/>
              <w:right w:w="0" w:type="dxa"/>
            </w:tcMar>
            <w:vAlign w:val="bottom"/>
          </w:tcPr>
          <w:p w14:paraId="22CFD0A0" w14:textId="77777777" w:rsidR="002661BA" w:rsidRDefault="00D972BC">
            <w:pPr>
              <w:jc w:val="right"/>
              <w:textAlignment w:val="bottom"/>
            </w:pPr>
            <w:r>
              <w:rPr>
                <w:rFonts w:ascii="Arial" w:eastAsia="宋体" w:hAnsi="Arial" w:cs="Arial"/>
                <w:color w:val="000000"/>
                <w:sz w:val="18"/>
                <w:szCs w:val="18"/>
              </w:rPr>
              <w:t>(11)</w:t>
            </w:r>
          </w:p>
        </w:tc>
        <w:tc>
          <w:tcPr>
            <w:tcW w:w="0" w:type="auto"/>
            <w:shd w:val="clear" w:color="auto" w:fill="E2E2E2"/>
            <w:tcMar>
              <w:top w:w="40" w:type="dxa"/>
              <w:left w:w="0" w:type="dxa"/>
              <w:bottom w:w="40" w:type="dxa"/>
              <w:right w:w="20" w:type="dxa"/>
            </w:tcMar>
            <w:vAlign w:val="bottom"/>
          </w:tcPr>
          <w:p w14:paraId="22CFD0A1"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0A2"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D0A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0A4" w14:textId="77777777" w:rsidR="002661BA" w:rsidRDefault="00D972BC">
            <w:pPr>
              <w:jc w:val="right"/>
              <w:textAlignment w:val="bottom"/>
            </w:pPr>
            <w:r>
              <w:rPr>
                <w:rFonts w:ascii="Arial" w:eastAsia="宋体" w:hAnsi="Arial" w:cs="Arial"/>
                <w:color w:val="000000"/>
                <w:sz w:val="18"/>
                <w:szCs w:val="18"/>
              </w:rPr>
              <w:t>39.93 </w:t>
            </w:r>
          </w:p>
        </w:tc>
        <w:tc>
          <w:tcPr>
            <w:tcW w:w="0" w:type="auto"/>
            <w:shd w:val="clear" w:color="auto" w:fill="E2E2E2"/>
            <w:tcMar>
              <w:top w:w="40" w:type="dxa"/>
              <w:left w:w="0" w:type="dxa"/>
              <w:bottom w:w="40" w:type="dxa"/>
              <w:right w:w="20" w:type="dxa"/>
            </w:tcMar>
            <w:vAlign w:val="bottom"/>
          </w:tcPr>
          <w:p w14:paraId="22CFD0A5" w14:textId="77777777" w:rsidR="002661BA" w:rsidRDefault="002661BA">
            <w:pPr>
              <w:jc w:val="right"/>
              <w:rPr>
                <w:rFonts w:ascii="宋体"/>
              </w:rPr>
            </w:pPr>
          </w:p>
        </w:tc>
      </w:tr>
      <w:tr w:rsidR="002661BA" w14:paraId="22CFD0AE" w14:textId="77777777">
        <w:tc>
          <w:tcPr>
            <w:tcW w:w="0" w:type="auto"/>
            <w:gridSpan w:val="3"/>
            <w:shd w:val="clear" w:color="auto" w:fill="FFFFFF"/>
            <w:tcMar>
              <w:top w:w="40" w:type="dxa"/>
              <w:left w:w="20" w:type="dxa"/>
              <w:bottom w:w="40" w:type="dxa"/>
              <w:right w:w="20" w:type="dxa"/>
            </w:tcMar>
            <w:vAlign w:val="bottom"/>
          </w:tcPr>
          <w:p w14:paraId="22CFD0A7" w14:textId="77777777" w:rsidR="002661BA" w:rsidRDefault="00D972BC">
            <w:pPr>
              <w:textAlignment w:val="bottom"/>
            </w:pPr>
            <w:r>
              <w:rPr>
                <w:rFonts w:ascii="Arial" w:eastAsia="宋体" w:hAnsi="Arial" w:cs="Arial"/>
                <w:color w:val="000000"/>
                <w:sz w:val="18"/>
                <w:szCs w:val="18"/>
              </w:rPr>
              <w:t>Forfeited</w:t>
            </w:r>
          </w:p>
        </w:tc>
        <w:tc>
          <w:tcPr>
            <w:tcW w:w="0" w:type="auto"/>
            <w:gridSpan w:val="2"/>
            <w:shd w:val="clear" w:color="auto" w:fill="FFFFFF"/>
            <w:tcMar>
              <w:top w:w="40" w:type="dxa"/>
              <w:left w:w="20" w:type="dxa"/>
              <w:bottom w:w="40" w:type="dxa"/>
              <w:right w:w="0" w:type="dxa"/>
            </w:tcMar>
            <w:vAlign w:val="bottom"/>
          </w:tcPr>
          <w:p w14:paraId="22CFD0A8" w14:textId="77777777" w:rsidR="002661BA" w:rsidRDefault="00D972BC">
            <w:pPr>
              <w:jc w:val="right"/>
              <w:textAlignment w:val="bottom"/>
            </w:pPr>
            <w:r>
              <w:rPr>
                <w:rFonts w:ascii="Arial" w:eastAsia="宋体" w:hAnsi="Arial" w:cs="Arial"/>
                <w:color w:val="000000"/>
                <w:sz w:val="18"/>
                <w:szCs w:val="18"/>
              </w:rPr>
              <w:t>(6)</w:t>
            </w:r>
          </w:p>
        </w:tc>
        <w:tc>
          <w:tcPr>
            <w:tcW w:w="0" w:type="auto"/>
            <w:shd w:val="clear" w:color="auto" w:fill="FFFFFF"/>
            <w:tcMar>
              <w:top w:w="40" w:type="dxa"/>
              <w:left w:w="0" w:type="dxa"/>
              <w:bottom w:w="40" w:type="dxa"/>
              <w:right w:w="20" w:type="dxa"/>
            </w:tcMar>
            <w:vAlign w:val="bottom"/>
          </w:tcPr>
          <w:p w14:paraId="22CFD0A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0AA"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0AB"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0AC" w14:textId="77777777" w:rsidR="002661BA" w:rsidRDefault="00D972BC">
            <w:pPr>
              <w:jc w:val="right"/>
              <w:textAlignment w:val="bottom"/>
            </w:pPr>
            <w:r>
              <w:rPr>
                <w:rFonts w:ascii="Arial" w:eastAsia="宋体" w:hAnsi="Arial" w:cs="Arial"/>
                <w:color w:val="000000"/>
                <w:sz w:val="18"/>
                <w:szCs w:val="18"/>
              </w:rPr>
              <w:t>40.56 </w:t>
            </w:r>
          </w:p>
        </w:tc>
        <w:tc>
          <w:tcPr>
            <w:tcW w:w="0" w:type="auto"/>
            <w:shd w:val="clear" w:color="auto" w:fill="FFFFFF"/>
            <w:tcMar>
              <w:top w:w="40" w:type="dxa"/>
              <w:left w:w="0" w:type="dxa"/>
              <w:bottom w:w="40" w:type="dxa"/>
              <w:right w:w="20" w:type="dxa"/>
            </w:tcMar>
            <w:vAlign w:val="bottom"/>
          </w:tcPr>
          <w:p w14:paraId="22CFD0AD" w14:textId="77777777" w:rsidR="002661BA" w:rsidRDefault="002661BA">
            <w:pPr>
              <w:jc w:val="right"/>
              <w:rPr>
                <w:rFonts w:ascii="宋体"/>
              </w:rPr>
            </w:pPr>
          </w:p>
        </w:tc>
      </w:tr>
      <w:tr w:rsidR="002661BA" w14:paraId="22CFD0B6" w14:textId="77777777">
        <w:tc>
          <w:tcPr>
            <w:tcW w:w="0" w:type="auto"/>
            <w:gridSpan w:val="3"/>
            <w:shd w:val="clear" w:color="auto" w:fill="E2E2E2"/>
            <w:tcMar>
              <w:top w:w="40" w:type="dxa"/>
              <w:left w:w="20" w:type="dxa"/>
              <w:bottom w:w="40" w:type="dxa"/>
              <w:right w:w="20" w:type="dxa"/>
            </w:tcMar>
            <w:vAlign w:val="bottom"/>
          </w:tcPr>
          <w:p w14:paraId="22CFD0AF" w14:textId="77777777" w:rsidR="002661BA" w:rsidRDefault="00D972BC">
            <w:pPr>
              <w:textAlignment w:val="bottom"/>
            </w:pPr>
            <w:r>
              <w:rPr>
                <w:rFonts w:ascii="Arial" w:eastAsia="宋体" w:hAnsi="Arial" w:cs="Arial"/>
                <w:color w:val="000000"/>
                <w:sz w:val="18"/>
                <w:szCs w:val="18"/>
              </w:rPr>
              <w:t>Outstanding as of December 31, 2021</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D0B0" w14:textId="77777777" w:rsidR="002661BA" w:rsidRDefault="00D972BC">
            <w:pPr>
              <w:jc w:val="right"/>
              <w:textAlignment w:val="bottom"/>
            </w:pPr>
            <w:r>
              <w:rPr>
                <w:rFonts w:ascii="Arial" w:eastAsia="宋体" w:hAnsi="Arial" w:cs="Arial"/>
                <w:color w:val="000000"/>
                <w:sz w:val="18"/>
                <w:szCs w:val="18"/>
              </w:rPr>
              <w:t>20 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0B1"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0B2"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D0B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0B4" w14:textId="77777777" w:rsidR="002661BA" w:rsidRDefault="00D972BC">
            <w:pPr>
              <w:jc w:val="right"/>
              <w:textAlignment w:val="bottom"/>
            </w:pPr>
            <w:r>
              <w:rPr>
                <w:rFonts w:ascii="Arial" w:eastAsia="宋体" w:hAnsi="Arial" w:cs="Arial"/>
                <w:color w:val="000000"/>
                <w:sz w:val="18"/>
                <w:szCs w:val="18"/>
              </w:rPr>
              <w:t>48.73 </w:t>
            </w:r>
          </w:p>
        </w:tc>
        <w:tc>
          <w:tcPr>
            <w:tcW w:w="0" w:type="auto"/>
            <w:shd w:val="clear" w:color="auto" w:fill="E2E2E2"/>
            <w:tcMar>
              <w:top w:w="40" w:type="dxa"/>
              <w:left w:w="0" w:type="dxa"/>
              <w:bottom w:w="40" w:type="dxa"/>
              <w:right w:w="20" w:type="dxa"/>
            </w:tcMar>
            <w:vAlign w:val="bottom"/>
          </w:tcPr>
          <w:p w14:paraId="22CFD0B5" w14:textId="77777777" w:rsidR="002661BA" w:rsidRDefault="002661BA">
            <w:pPr>
              <w:jc w:val="right"/>
              <w:rPr>
                <w:rFonts w:ascii="宋体"/>
              </w:rPr>
            </w:pPr>
          </w:p>
        </w:tc>
      </w:tr>
      <w:tr w:rsidR="002661BA" w14:paraId="22CFD0BC" w14:textId="77777777">
        <w:tc>
          <w:tcPr>
            <w:tcW w:w="0" w:type="auto"/>
            <w:gridSpan w:val="3"/>
            <w:shd w:val="clear" w:color="auto" w:fill="FFFFFF"/>
            <w:tcMar>
              <w:top w:w="40" w:type="dxa"/>
              <w:left w:w="20" w:type="dxa"/>
              <w:bottom w:w="40" w:type="dxa"/>
              <w:right w:w="20" w:type="dxa"/>
            </w:tcMar>
            <w:vAlign w:val="bottom"/>
          </w:tcPr>
          <w:p w14:paraId="22CFD0B7" w14:textId="77777777" w:rsidR="002661BA" w:rsidRDefault="00D972BC">
            <w:pPr>
              <w:textAlignment w:val="bottom"/>
            </w:pPr>
            <w:r>
              <w:rPr>
                <w:rFonts w:ascii="Arial" w:eastAsia="宋体" w:hAnsi="Arial" w:cs="Arial"/>
                <w:color w:val="000000"/>
                <w:sz w:val="18"/>
                <w:szCs w:val="18"/>
              </w:rPr>
              <w:t>Expected to vest as of December 31, 2021</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22CFD0B8" w14:textId="77777777" w:rsidR="002661BA" w:rsidRDefault="00D972BC">
            <w:pPr>
              <w:jc w:val="right"/>
              <w:textAlignment w:val="bottom"/>
            </w:pPr>
            <w:r>
              <w:rPr>
                <w:rFonts w:ascii="Arial" w:eastAsia="宋体" w:hAnsi="Arial" w:cs="Arial"/>
                <w:color w:val="000000"/>
                <w:sz w:val="18"/>
                <w:szCs w:val="18"/>
              </w:rPr>
              <w:t>17 </w:t>
            </w:r>
          </w:p>
        </w:tc>
        <w:tc>
          <w:tcPr>
            <w:tcW w:w="0" w:type="auto"/>
            <w:tcBorders>
              <w:top w:val="double" w:sz="6" w:space="0" w:color="000000"/>
            </w:tcBorders>
            <w:shd w:val="clear" w:color="auto" w:fill="FFFFFF"/>
            <w:tcMar>
              <w:top w:w="40" w:type="dxa"/>
              <w:left w:w="0" w:type="dxa"/>
              <w:bottom w:w="40" w:type="dxa"/>
              <w:right w:w="20" w:type="dxa"/>
            </w:tcMar>
            <w:vAlign w:val="bottom"/>
          </w:tcPr>
          <w:p w14:paraId="22CFD0B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0BA"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0BB" w14:textId="77777777" w:rsidR="002661BA" w:rsidRDefault="002661BA">
            <w:pPr>
              <w:rPr>
                <w:rFonts w:ascii="宋体"/>
              </w:rPr>
            </w:pPr>
          </w:p>
        </w:tc>
      </w:tr>
    </w:tbl>
    <w:p w14:paraId="22CFD0BD" w14:textId="77777777" w:rsidR="002661BA" w:rsidRDefault="002661BA">
      <w:pPr>
        <w:jc w:val="both"/>
      </w:pPr>
    </w:p>
    <w:p w14:paraId="22CFD0BE" w14:textId="77777777" w:rsidR="002661BA" w:rsidRDefault="00D972BC">
      <w:pPr>
        <w:ind w:firstLine="540"/>
        <w:jc w:val="both"/>
      </w:pPr>
      <w:r>
        <w:rPr>
          <w:rFonts w:ascii="Arial" w:eastAsia="宋体" w:hAnsi="Arial" w:cs="Arial"/>
          <w:color w:val="000000"/>
          <w:sz w:val="20"/>
          <w:szCs w:val="20"/>
        </w:rPr>
        <w:t>During 2021, 2020 and 2019, the aggregate intrinsic value of RSUs vested under our equity incentive plans was $697 million, $552 million and $609 million, respectively.</w:t>
      </w:r>
    </w:p>
    <w:p w14:paraId="22CFD0BF" w14:textId="77777777" w:rsidR="002661BA" w:rsidRDefault="002661BA">
      <w:pPr>
        <w:ind w:firstLine="495"/>
        <w:jc w:val="both"/>
      </w:pPr>
    </w:p>
    <w:p w14:paraId="22CFD0C0" w14:textId="77777777" w:rsidR="002661BA" w:rsidRDefault="00D972BC">
      <w:pPr>
        <w:jc w:val="both"/>
      </w:pPr>
      <w:r>
        <w:rPr>
          <w:rFonts w:ascii="Arial" w:eastAsia="宋体" w:hAnsi="Arial" w:cs="Arial"/>
          <w:b/>
          <w:bCs/>
          <w:i/>
          <w:iCs/>
          <w:color w:val="000000"/>
          <w:sz w:val="20"/>
          <w:szCs w:val="20"/>
        </w:rPr>
        <w:t>Stock-Based Compensation Expense</w:t>
      </w:r>
    </w:p>
    <w:p w14:paraId="22CFD0C1" w14:textId="77777777" w:rsidR="002661BA" w:rsidRDefault="002661BA">
      <w:pPr>
        <w:jc w:val="both"/>
      </w:pPr>
    </w:p>
    <w:p w14:paraId="22CFD0C2" w14:textId="77777777" w:rsidR="002661BA" w:rsidRDefault="00D972BC">
      <w:pPr>
        <w:spacing w:after="120"/>
        <w:ind w:firstLine="540"/>
        <w:jc w:val="both"/>
      </w:pPr>
      <w:r>
        <w:rPr>
          <w:rFonts w:ascii="Arial" w:eastAsia="宋体" w:hAnsi="Arial" w:cs="Arial"/>
          <w:color w:val="000000"/>
          <w:sz w:val="20"/>
          <w:szCs w:val="20"/>
        </w:rPr>
        <w:t xml:space="preserve">The following table presents stock-based compensation expense from continuing operations for the 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40"/>
        <w:gridCol w:w="4873"/>
        <w:gridCol w:w="39"/>
        <w:gridCol w:w="121"/>
        <w:gridCol w:w="898"/>
        <w:gridCol w:w="36"/>
        <w:gridCol w:w="36"/>
        <w:gridCol w:w="36"/>
        <w:gridCol w:w="36"/>
        <w:gridCol w:w="121"/>
        <w:gridCol w:w="898"/>
        <w:gridCol w:w="36"/>
        <w:gridCol w:w="36"/>
        <w:gridCol w:w="36"/>
        <w:gridCol w:w="36"/>
        <w:gridCol w:w="121"/>
        <w:gridCol w:w="901"/>
        <w:gridCol w:w="36"/>
      </w:tblGrid>
      <w:tr w:rsidR="002661BA" w14:paraId="22CFD0D5" w14:textId="77777777">
        <w:tc>
          <w:tcPr>
            <w:tcW w:w="50" w:type="pct"/>
            <w:shd w:val="clear" w:color="auto" w:fill="auto"/>
            <w:vAlign w:val="bottom"/>
          </w:tcPr>
          <w:p w14:paraId="22CFD0C3" w14:textId="77777777" w:rsidR="002661BA" w:rsidRDefault="002661BA">
            <w:pPr>
              <w:rPr>
                <w:rFonts w:ascii="宋体"/>
              </w:rPr>
            </w:pPr>
          </w:p>
        </w:tc>
        <w:tc>
          <w:tcPr>
            <w:tcW w:w="2978" w:type="pct"/>
            <w:shd w:val="clear" w:color="auto" w:fill="auto"/>
            <w:vAlign w:val="bottom"/>
          </w:tcPr>
          <w:p w14:paraId="22CFD0C4" w14:textId="77777777" w:rsidR="002661BA" w:rsidRDefault="002661BA">
            <w:pPr>
              <w:rPr>
                <w:rFonts w:ascii="宋体"/>
              </w:rPr>
            </w:pPr>
          </w:p>
        </w:tc>
        <w:tc>
          <w:tcPr>
            <w:tcW w:w="5" w:type="pct"/>
            <w:shd w:val="clear" w:color="auto" w:fill="auto"/>
            <w:vAlign w:val="bottom"/>
          </w:tcPr>
          <w:p w14:paraId="22CFD0C5" w14:textId="77777777" w:rsidR="002661BA" w:rsidRDefault="002661BA">
            <w:pPr>
              <w:rPr>
                <w:rFonts w:ascii="宋体"/>
              </w:rPr>
            </w:pPr>
          </w:p>
        </w:tc>
        <w:tc>
          <w:tcPr>
            <w:tcW w:w="50" w:type="pct"/>
            <w:shd w:val="clear" w:color="auto" w:fill="auto"/>
            <w:vAlign w:val="bottom"/>
          </w:tcPr>
          <w:p w14:paraId="22CFD0C6" w14:textId="77777777" w:rsidR="002661BA" w:rsidRDefault="002661BA">
            <w:pPr>
              <w:rPr>
                <w:rFonts w:ascii="宋体"/>
              </w:rPr>
            </w:pPr>
          </w:p>
        </w:tc>
        <w:tc>
          <w:tcPr>
            <w:tcW w:w="580" w:type="pct"/>
            <w:shd w:val="clear" w:color="auto" w:fill="auto"/>
            <w:vAlign w:val="bottom"/>
          </w:tcPr>
          <w:p w14:paraId="22CFD0C7" w14:textId="77777777" w:rsidR="002661BA" w:rsidRDefault="002661BA">
            <w:pPr>
              <w:rPr>
                <w:rFonts w:ascii="宋体"/>
              </w:rPr>
            </w:pPr>
          </w:p>
        </w:tc>
        <w:tc>
          <w:tcPr>
            <w:tcW w:w="5" w:type="pct"/>
            <w:shd w:val="clear" w:color="auto" w:fill="auto"/>
            <w:vAlign w:val="bottom"/>
          </w:tcPr>
          <w:p w14:paraId="22CFD0C8" w14:textId="77777777" w:rsidR="002661BA" w:rsidRDefault="002661BA">
            <w:pPr>
              <w:rPr>
                <w:rFonts w:ascii="宋体"/>
              </w:rPr>
            </w:pPr>
          </w:p>
        </w:tc>
        <w:tc>
          <w:tcPr>
            <w:tcW w:w="5" w:type="pct"/>
            <w:shd w:val="clear" w:color="auto" w:fill="auto"/>
            <w:vAlign w:val="bottom"/>
          </w:tcPr>
          <w:p w14:paraId="22CFD0C9" w14:textId="77777777" w:rsidR="002661BA" w:rsidRDefault="002661BA">
            <w:pPr>
              <w:rPr>
                <w:rFonts w:ascii="宋体"/>
              </w:rPr>
            </w:pPr>
          </w:p>
        </w:tc>
        <w:tc>
          <w:tcPr>
            <w:tcW w:w="19" w:type="pct"/>
            <w:shd w:val="clear" w:color="auto" w:fill="auto"/>
            <w:vAlign w:val="bottom"/>
          </w:tcPr>
          <w:p w14:paraId="22CFD0CA" w14:textId="77777777" w:rsidR="002661BA" w:rsidRDefault="002661BA">
            <w:pPr>
              <w:rPr>
                <w:rFonts w:ascii="宋体"/>
              </w:rPr>
            </w:pPr>
          </w:p>
        </w:tc>
        <w:tc>
          <w:tcPr>
            <w:tcW w:w="5" w:type="pct"/>
            <w:shd w:val="clear" w:color="auto" w:fill="auto"/>
            <w:vAlign w:val="bottom"/>
          </w:tcPr>
          <w:p w14:paraId="22CFD0CB" w14:textId="77777777" w:rsidR="002661BA" w:rsidRDefault="002661BA">
            <w:pPr>
              <w:rPr>
                <w:rFonts w:ascii="宋体"/>
              </w:rPr>
            </w:pPr>
          </w:p>
        </w:tc>
        <w:tc>
          <w:tcPr>
            <w:tcW w:w="50" w:type="pct"/>
            <w:shd w:val="clear" w:color="auto" w:fill="auto"/>
            <w:vAlign w:val="bottom"/>
          </w:tcPr>
          <w:p w14:paraId="22CFD0CC" w14:textId="77777777" w:rsidR="002661BA" w:rsidRDefault="002661BA">
            <w:pPr>
              <w:rPr>
                <w:rFonts w:ascii="宋体"/>
              </w:rPr>
            </w:pPr>
          </w:p>
        </w:tc>
        <w:tc>
          <w:tcPr>
            <w:tcW w:w="580" w:type="pct"/>
            <w:shd w:val="clear" w:color="auto" w:fill="auto"/>
            <w:vAlign w:val="bottom"/>
          </w:tcPr>
          <w:p w14:paraId="22CFD0CD" w14:textId="77777777" w:rsidR="002661BA" w:rsidRDefault="002661BA">
            <w:pPr>
              <w:rPr>
                <w:rFonts w:ascii="宋体"/>
              </w:rPr>
            </w:pPr>
          </w:p>
        </w:tc>
        <w:tc>
          <w:tcPr>
            <w:tcW w:w="5" w:type="pct"/>
            <w:shd w:val="clear" w:color="auto" w:fill="auto"/>
            <w:vAlign w:val="bottom"/>
          </w:tcPr>
          <w:p w14:paraId="22CFD0CE" w14:textId="77777777" w:rsidR="002661BA" w:rsidRDefault="002661BA">
            <w:pPr>
              <w:rPr>
                <w:rFonts w:ascii="宋体"/>
              </w:rPr>
            </w:pPr>
          </w:p>
        </w:tc>
        <w:tc>
          <w:tcPr>
            <w:tcW w:w="5" w:type="pct"/>
            <w:shd w:val="clear" w:color="auto" w:fill="auto"/>
            <w:vAlign w:val="bottom"/>
          </w:tcPr>
          <w:p w14:paraId="22CFD0CF" w14:textId="77777777" w:rsidR="002661BA" w:rsidRDefault="002661BA">
            <w:pPr>
              <w:rPr>
                <w:rFonts w:ascii="宋体"/>
              </w:rPr>
            </w:pPr>
          </w:p>
        </w:tc>
        <w:tc>
          <w:tcPr>
            <w:tcW w:w="19" w:type="pct"/>
            <w:shd w:val="clear" w:color="auto" w:fill="auto"/>
            <w:vAlign w:val="bottom"/>
          </w:tcPr>
          <w:p w14:paraId="22CFD0D0" w14:textId="77777777" w:rsidR="002661BA" w:rsidRDefault="002661BA">
            <w:pPr>
              <w:rPr>
                <w:rFonts w:ascii="宋体"/>
              </w:rPr>
            </w:pPr>
          </w:p>
        </w:tc>
        <w:tc>
          <w:tcPr>
            <w:tcW w:w="5" w:type="pct"/>
            <w:shd w:val="clear" w:color="auto" w:fill="auto"/>
            <w:vAlign w:val="bottom"/>
          </w:tcPr>
          <w:p w14:paraId="22CFD0D1" w14:textId="77777777" w:rsidR="002661BA" w:rsidRDefault="002661BA">
            <w:pPr>
              <w:rPr>
                <w:rFonts w:ascii="宋体"/>
              </w:rPr>
            </w:pPr>
          </w:p>
        </w:tc>
        <w:tc>
          <w:tcPr>
            <w:tcW w:w="50" w:type="pct"/>
            <w:shd w:val="clear" w:color="auto" w:fill="auto"/>
            <w:vAlign w:val="bottom"/>
          </w:tcPr>
          <w:p w14:paraId="22CFD0D2" w14:textId="77777777" w:rsidR="002661BA" w:rsidRDefault="002661BA">
            <w:pPr>
              <w:rPr>
                <w:rFonts w:ascii="宋体"/>
              </w:rPr>
            </w:pPr>
          </w:p>
        </w:tc>
        <w:tc>
          <w:tcPr>
            <w:tcW w:w="581" w:type="pct"/>
            <w:shd w:val="clear" w:color="auto" w:fill="auto"/>
            <w:vAlign w:val="bottom"/>
          </w:tcPr>
          <w:p w14:paraId="22CFD0D3" w14:textId="77777777" w:rsidR="002661BA" w:rsidRDefault="002661BA">
            <w:pPr>
              <w:rPr>
                <w:rFonts w:ascii="宋体"/>
              </w:rPr>
            </w:pPr>
          </w:p>
        </w:tc>
        <w:tc>
          <w:tcPr>
            <w:tcW w:w="5" w:type="pct"/>
            <w:shd w:val="clear" w:color="auto" w:fill="auto"/>
            <w:vAlign w:val="bottom"/>
          </w:tcPr>
          <w:p w14:paraId="22CFD0D4" w14:textId="77777777" w:rsidR="002661BA" w:rsidRDefault="002661BA">
            <w:pPr>
              <w:rPr>
                <w:rFonts w:ascii="宋体"/>
              </w:rPr>
            </w:pPr>
          </w:p>
        </w:tc>
      </w:tr>
      <w:tr w:rsidR="002661BA" w14:paraId="22CFD0D8" w14:textId="77777777">
        <w:tc>
          <w:tcPr>
            <w:tcW w:w="0" w:type="auto"/>
            <w:gridSpan w:val="3"/>
            <w:shd w:val="clear" w:color="auto" w:fill="auto"/>
            <w:tcMar>
              <w:top w:w="0" w:type="dxa"/>
              <w:left w:w="20" w:type="dxa"/>
              <w:bottom w:w="0" w:type="dxa"/>
              <w:right w:w="20" w:type="dxa"/>
            </w:tcMar>
            <w:vAlign w:val="bottom"/>
          </w:tcPr>
          <w:p w14:paraId="22CFD0D6" w14:textId="77777777" w:rsidR="002661BA" w:rsidRDefault="002661BA">
            <w:pPr>
              <w:rPr>
                <w:rFonts w:ascii="宋体"/>
              </w:rPr>
            </w:pPr>
          </w:p>
        </w:tc>
        <w:tc>
          <w:tcPr>
            <w:tcW w:w="0" w:type="auto"/>
            <w:gridSpan w:val="15"/>
            <w:shd w:val="clear" w:color="auto" w:fill="auto"/>
            <w:tcMar>
              <w:top w:w="40" w:type="dxa"/>
              <w:left w:w="20" w:type="dxa"/>
              <w:bottom w:w="40" w:type="dxa"/>
              <w:right w:w="20" w:type="dxa"/>
            </w:tcMar>
            <w:vAlign w:val="bottom"/>
          </w:tcPr>
          <w:p w14:paraId="22CFD0D7"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D0DF" w14:textId="77777777">
        <w:tc>
          <w:tcPr>
            <w:tcW w:w="0" w:type="auto"/>
            <w:gridSpan w:val="3"/>
            <w:shd w:val="clear" w:color="auto" w:fill="auto"/>
            <w:tcMar>
              <w:top w:w="40" w:type="dxa"/>
              <w:left w:w="20" w:type="dxa"/>
              <w:bottom w:w="40" w:type="dxa"/>
              <w:right w:w="20" w:type="dxa"/>
            </w:tcMar>
            <w:vAlign w:val="bottom"/>
          </w:tcPr>
          <w:p w14:paraId="22CFD0D9" w14:textId="77777777" w:rsidR="002661BA" w:rsidRDefault="00D972BC">
            <w:pPr>
              <w:jc w:val="cente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0DA"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D0DB"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0DC"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D0DD"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0DE"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D0EC" w14:textId="77777777">
        <w:tc>
          <w:tcPr>
            <w:tcW w:w="0" w:type="auto"/>
            <w:gridSpan w:val="3"/>
            <w:shd w:val="clear" w:color="auto" w:fill="E2E2E2"/>
            <w:tcMar>
              <w:top w:w="40" w:type="dxa"/>
              <w:left w:w="20" w:type="dxa"/>
              <w:bottom w:w="40" w:type="dxa"/>
              <w:right w:w="20" w:type="dxa"/>
            </w:tcMar>
            <w:vAlign w:val="bottom"/>
          </w:tcPr>
          <w:p w14:paraId="22CFD0E0" w14:textId="77777777" w:rsidR="002661BA" w:rsidRDefault="00D972BC">
            <w:pPr>
              <w:textAlignment w:val="bottom"/>
            </w:pPr>
            <w:r>
              <w:rPr>
                <w:rFonts w:ascii="Arial" w:eastAsia="宋体" w:hAnsi="Arial" w:cs="Arial"/>
                <w:color w:val="000000"/>
                <w:sz w:val="18"/>
                <w:szCs w:val="18"/>
              </w:rPr>
              <w:t>Cost of net revenues</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D0E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0E2" w14:textId="77777777" w:rsidR="002661BA" w:rsidRDefault="00D972BC">
            <w:pPr>
              <w:jc w:val="right"/>
              <w:textAlignment w:val="bottom"/>
            </w:pPr>
            <w:r>
              <w:rPr>
                <w:rFonts w:ascii="Arial" w:eastAsia="宋体" w:hAnsi="Arial" w:cs="Arial"/>
                <w:color w:val="000000"/>
                <w:sz w:val="18"/>
                <w:szCs w:val="18"/>
              </w:rPr>
              <w:t>47 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0E3"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0E4"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0E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0E6" w14:textId="77777777" w:rsidR="002661BA" w:rsidRDefault="00D972BC">
            <w:pPr>
              <w:jc w:val="right"/>
              <w:textAlignment w:val="bottom"/>
            </w:pPr>
            <w:r>
              <w:rPr>
                <w:rFonts w:ascii="Arial" w:eastAsia="宋体" w:hAnsi="Arial" w:cs="Arial"/>
                <w:color w:val="000000"/>
                <w:sz w:val="18"/>
                <w:szCs w:val="18"/>
              </w:rPr>
              <w:t>40 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0E7"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0E8"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0E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0EA" w14:textId="77777777" w:rsidR="002661BA" w:rsidRDefault="00D972BC">
            <w:pPr>
              <w:jc w:val="right"/>
              <w:textAlignment w:val="bottom"/>
            </w:pPr>
            <w:r>
              <w:rPr>
                <w:rFonts w:ascii="Arial" w:eastAsia="宋体" w:hAnsi="Arial" w:cs="Arial"/>
                <w:color w:val="000000"/>
                <w:sz w:val="18"/>
                <w:szCs w:val="18"/>
              </w:rPr>
              <w:t>44 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0EB" w14:textId="77777777" w:rsidR="002661BA" w:rsidRDefault="002661BA">
            <w:pPr>
              <w:jc w:val="right"/>
              <w:rPr>
                <w:rFonts w:ascii="宋体"/>
              </w:rPr>
            </w:pPr>
          </w:p>
        </w:tc>
      </w:tr>
      <w:tr w:rsidR="002661BA" w14:paraId="22CFD0F6" w14:textId="77777777">
        <w:tc>
          <w:tcPr>
            <w:tcW w:w="0" w:type="auto"/>
            <w:gridSpan w:val="3"/>
            <w:shd w:val="clear" w:color="auto" w:fill="FFFFFF"/>
            <w:tcMar>
              <w:top w:w="40" w:type="dxa"/>
              <w:left w:w="20" w:type="dxa"/>
              <w:bottom w:w="40" w:type="dxa"/>
              <w:right w:w="20" w:type="dxa"/>
            </w:tcMar>
            <w:vAlign w:val="bottom"/>
          </w:tcPr>
          <w:p w14:paraId="22CFD0ED" w14:textId="77777777" w:rsidR="002661BA" w:rsidRDefault="00D972BC">
            <w:pPr>
              <w:textAlignment w:val="bottom"/>
            </w:pPr>
            <w:r>
              <w:rPr>
                <w:rFonts w:ascii="Arial" w:eastAsia="宋体" w:hAnsi="Arial" w:cs="Arial"/>
                <w:color w:val="000000"/>
                <w:sz w:val="18"/>
                <w:szCs w:val="18"/>
              </w:rPr>
              <w:t>Sales and marketing</w:t>
            </w:r>
          </w:p>
        </w:tc>
        <w:tc>
          <w:tcPr>
            <w:tcW w:w="0" w:type="auto"/>
            <w:gridSpan w:val="2"/>
            <w:shd w:val="clear" w:color="auto" w:fill="FFFFFF"/>
            <w:tcMar>
              <w:top w:w="40" w:type="dxa"/>
              <w:left w:w="20" w:type="dxa"/>
              <w:bottom w:w="40" w:type="dxa"/>
              <w:right w:w="0" w:type="dxa"/>
            </w:tcMar>
            <w:vAlign w:val="bottom"/>
          </w:tcPr>
          <w:p w14:paraId="22CFD0EE" w14:textId="77777777" w:rsidR="002661BA" w:rsidRDefault="00D972BC">
            <w:pPr>
              <w:jc w:val="right"/>
              <w:textAlignment w:val="bottom"/>
            </w:pPr>
            <w:r>
              <w:rPr>
                <w:rFonts w:ascii="Arial" w:eastAsia="宋体" w:hAnsi="Arial" w:cs="Arial"/>
                <w:color w:val="000000"/>
                <w:sz w:val="18"/>
                <w:szCs w:val="18"/>
              </w:rPr>
              <w:t>83 </w:t>
            </w:r>
          </w:p>
        </w:tc>
        <w:tc>
          <w:tcPr>
            <w:tcW w:w="0" w:type="auto"/>
            <w:shd w:val="clear" w:color="auto" w:fill="FFFFFF"/>
            <w:tcMar>
              <w:top w:w="40" w:type="dxa"/>
              <w:left w:w="0" w:type="dxa"/>
              <w:bottom w:w="40" w:type="dxa"/>
              <w:right w:w="20" w:type="dxa"/>
            </w:tcMar>
            <w:vAlign w:val="bottom"/>
          </w:tcPr>
          <w:p w14:paraId="22CFD0E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0F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0F1" w14:textId="77777777" w:rsidR="002661BA" w:rsidRDefault="00D972BC">
            <w:pPr>
              <w:jc w:val="right"/>
              <w:textAlignment w:val="bottom"/>
            </w:pPr>
            <w:r>
              <w:rPr>
                <w:rFonts w:ascii="Arial" w:eastAsia="宋体" w:hAnsi="Arial" w:cs="Arial"/>
                <w:color w:val="000000"/>
                <w:sz w:val="18"/>
                <w:szCs w:val="18"/>
              </w:rPr>
              <w:t>85 </w:t>
            </w:r>
          </w:p>
        </w:tc>
        <w:tc>
          <w:tcPr>
            <w:tcW w:w="0" w:type="auto"/>
            <w:shd w:val="clear" w:color="auto" w:fill="FFFFFF"/>
            <w:tcMar>
              <w:top w:w="40" w:type="dxa"/>
              <w:left w:w="0" w:type="dxa"/>
              <w:bottom w:w="40" w:type="dxa"/>
              <w:right w:w="20" w:type="dxa"/>
            </w:tcMar>
            <w:vAlign w:val="bottom"/>
          </w:tcPr>
          <w:p w14:paraId="22CFD0F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0F3"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0F4" w14:textId="77777777" w:rsidR="002661BA" w:rsidRDefault="00D972BC">
            <w:pPr>
              <w:jc w:val="right"/>
              <w:textAlignment w:val="bottom"/>
            </w:pPr>
            <w:r>
              <w:rPr>
                <w:rFonts w:ascii="Arial" w:eastAsia="宋体" w:hAnsi="Arial" w:cs="Arial"/>
                <w:color w:val="000000"/>
                <w:sz w:val="18"/>
                <w:szCs w:val="18"/>
              </w:rPr>
              <w:t>69 </w:t>
            </w:r>
          </w:p>
        </w:tc>
        <w:tc>
          <w:tcPr>
            <w:tcW w:w="0" w:type="auto"/>
            <w:shd w:val="clear" w:color="auto" w:fill="FFFFFF"/>
            <w:tcMar>
              <w:top w:w="40" w:type="dxa"/>
              <w:left w:w="0" w:type="dxa"/>
              <w:bottom w:w="40" w:type="dxa"/>
              <w:right w:w="20" w:type="dxa"/>
            </w:tcMar>
            <w:vAlign w:val="bottom"/>
          </w:tcPr>
          <w:p w14:paraId="22CFD0F5" w14:textId="77777777" w:rsidR="002661BA" w:rsidRDefault="002661BA">
            <w:pPr>
              <w:jc w:val="right"/>
              <w:rPr>
                <w:rFonts w:ascii="宋体"/>
              </w:rPr>
            </w:pPr>
          </w:p>
        </w:tc>
      </w:tr>
      <w:tr w:rsidR="002661BA" w14:paraId="22CFD100" w14:textId="77777777">
        <w:tc>
          <w:tcPr>
            <w:tcW w:w="0" w:type="auto"/>
            <w:gridSpan w:val="3"/>
            <w:shd w:val="clear" w:color="auto" w:fill="E2E2E2"/>
            <w:tcMar>
              <w:top w:w="40" w:type="dxa"/>
              <w:left w:w="20" w:type="dxa"/>
              <w:bottom w:w="40" w:type="dxa"/>
              <w:right w:w="20" w:type="dxa"/>
            </w:tcMar>
            <w:vAlign w:val="bottom"/>
          </w:tcPr>
          <w:p w14:paraId="22CFD0F7" w14:textId="77777777" w:rsidR="002661BA" w:rsidRDefault="00D972BC">
            <w:pPr>
              <w:textAlignment w:val="bottom"/>
            </w:pPr>
            <w:r>
              <w:rPr>
                <w:rFonts w:ascii="Arial" w:eastAsia="宋体" w:hAnsi="Arial" w:cs="Arial"/>
                <w:color w:val="000000"/>
                <w:sz w:val="18"/>
                <w:szCs w:val="18"/>
              </w:rPr>
              <w:t>Product development</w:t>
            </w:r>
          </w:p>
        </w:tc>
        <w:tc>
          <w:tcPr>
            <w:tcW w:w="0" w:type="auto"/>
            <w:gridSpan w:val="2"/>
            <w:shd w:val="clear" w:color="auto" w:fill="E2E2E2"/>
            <w:tcMar>
              <w:top w:w="40" w:type="dxa"/>
              <w:left w:w="20" w:type="dxa"/>
              <w:bottom w:w="40" w:type="dxa"/>
              <w:right w:w="0" w:type="dxa"/>
            </w:tcMar>
            <w:vAlign w:val="bottom"/>
          </w:tcPr>
          <w:p w14:paraId="22CFD0F8" w14:textId="77777777" w:rsidR="002661BA" w:rsidRDefault="00D972BC">
            <w:pPr>
              <w:jc w:val="right"/>
              <w:textAlignment w:val="bottom"/>
            </w:pPr>
            <w:r>
              <w:rPr>
                <w:rFonts w:ascii="Arial" w:eastAsia="宋体" w:hAnsi="Arial" w:cs="Arial"/>
                <w:color w:val="000000"/>
                <w:sz w:val="18"/>
                <w:szCs w:val="18"/>
              </w:rPr>
              <w:t>196 </w:t>
            </w:r>
          </w:p>
        </w:tc>
        <w:tc>
          <w:tcPr>
            <w:tcW w:w="0" w:type="auto"/>
            <w:shd w:val="clear" w:color="auto" w:fill="E2E2E2"/>
            <w:tcMar>
              <w:top w:w="40" w:type="dxa"/>
              <w:left w:w="0" w:type="dxa"/>
              <w:bottom w:w="40" w:type="dxa"/>
              <w:right w:w="20" w:type="dxa"/>
            </w:tcMar>
            <w:vAlign w:val="bottom"/>
          </w:tcPr>
          <w:p w14:paraId="22CFD0F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0FA"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0FB" w14:textId="77777777" w:rsidR="002661BA" w:rsidRDefault="00D972BC">
            <w:pPr>
              <w:jc w:val="right"/>
              <w:textAlignment w:val="bottom"/>
            </w:pPr>
            <w:r>
              <w:rPr>
                <w:rFonts w:ascii="Arial" w:eastAsia="宋体" w:hAnsi="Arial" w:cs="Arial"/>
                <w:color w:val="000000"/>
                <w:sz w:val="18"/>
                <w:szCs w:val="18"/>
              </w:rPr>
              <w:t>154 </w:t>
            </w:r>
          </w:p>
        </w:tc>
        <w:tc>
          <w:tcPr>
            <w:tcW w:w="0" w:type="auto"/>
            <w:shd w:val="clear" w:color="auto" w:fill="E2E2E2"/>
            <w:tcMar>
              <w:top w:w="40" w:type="dxa"/>
              <w:left w:w="0" w:type="dxa"/>
              <w:bottom w:w="40" w:type="dxa"/>
              <w:right w:w="20" w:type="dxa"/>
            </w:tcMar>
            <w:vAlign w:val="bottom"/>
          </w:tcPr>
          <w:p w14:paraId="22CFD0FC"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0FD"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0FE" w14:textId="77777777" w:rsidR="002661BA" w:rsidRDefault="00D972BC">
            <w:pPr>
              <w:jc w:val="right"/>
              <w:textAlignment w:val="bottom"/>
            </w:pPr>
            <w:r>
              <w:rPr>
                <w:rFonts w:ascii="Arial" w:eastAsia="宋体" w:hAnsi="Arial" w:cs="Arial"/>
                <w:color w:val="000000"/>
                <w:sz w:val="18"/>
                <w:szCs w:val="18"/>
              </w:rPr>
              <w:t>164 </w:t>
            </w:r>
          </w:p>
        </w:tc>
        <w:tc>
          <w:tcPr>
            <w:tcW w:w="0" w:type="auto"/>
            <w:shd w:val="clear" w:color="auto" w:fill="E2E2E2"/>
            <w:tcMar>
              <w:top w:w="40" w:type="dxa"/>
              <w:left w:w="0" w:type="dxa"/>
              <w:bottom w:w="40" w:type="dxa"/>
              <w:right w:w="20" w:type="dxa"/>
            </w:tcMar>
            <w:vAlign w:val="bottom"/>
          </w:tcPr>
          <w:p w14:paraId="22CFD0FF" w14:textId="77777777" w:rsidR="002661BA" w:rsidRDefault="002661BA">
            <w:pPr>
              <w:jc w:val="right"/>
              <w:rPr>
                <w:rFonts w:ascii="宋体"/>
              </w:rPr>
            </w:pPr>
          </w:p>
        </w:tc>
      </w:tr>
      <w:tr w:rsidR="002661BA" w14:paraId="22CFD10A" w14:textId="77777777">
        <w:tc>
          <w:tcPr>
            <w:tcW w:w="0" w:type="auto"/>
            <w:gridSpan w:val="3"/>
            <w:shd w:val="clear" w:color="auto" w:fill="FFFFFF"/>
            <w:tcMar>
              <w:top w:w="40" w:type="dxa"/>
              <w:left w:w="20" w:type="dxa"/>
              <w:bottom w:w="40" w:type="dxa"/>
              <w:right w:w="20" w:type="dxa"/>
            </w:tcMar>
            <w:vAlign w:val="bottom"/>
          </w:tcPr>
          <w:p w14:paraId="22CFD101" w14:textId="77777777" w:rsidR="002661BA" w:rsidRDefault="00D972BC">
            <w:pPr>
              <w:textAlignment w:val="bottom"/>
            </w:pPr>
            <w:r>
              <w:rPr>
                <w:rFonts w:ascii="Arial" w:eastAsia="宋体" w:hAnsi="Arial" w:cs="Arial"/>
                <w:color w:val="000000"/>
                <w:sz w:val="18"/>
                <w:szCs w:val="18"/>
              </w:rPr>
              <w:t>General and administrative</w:t>
            </w:r>
          </w:p>
        </w:tc>
        <w:tc>
          <w:tcPr>
            <w:tcW w:w="0" w:type="auto"/>
            <w:gridSpan w:val="2"/>
            <w:shd w:val="clear" w:color="auto" w:fill="FFFFFF"/>
            <w:tcMar>
              <w:top w:w="40" w:type="dxa"/>
              <w:left w:w="20" w:type="dxa"/>
              <w:bottom w:w="40" w:type="dxa"/>
              <w:right w:w="0" w:type="dxa"/>
            </w:tcMar>
            <w:vAlign w:val="bottom"/>
          </w:tcPr>
          <w:p w14:paraId="22CFD102" w14:textId="77777777" w:rsidR="002661BA" w:rsidRDefault="00D972BC">
            <w:pPr>
              <w:jc w:val="right"/>
              <w:textAlignment w:val="bottom"/>
            </w:pPr>
            <w:r>
              <w:rPr>
                <w:rFonts w:ascii="Arial" w:eastAsia="宋体" w:hAnsi="Arial" w:cs="Arial"/>
                <w:color w:val="000000"/>
                <w:sz w:val="18"/>
                <w:szCs w:val="18"/>
              </w:rPr>
              <w:t>151 </w:t>
            </w:r>
          </w:p>
        </w:tc>
        <w:tc>
          <w:tcPr>
            <w:tcW w:w="0" w:type="auto"/>
            <w:shd w:val="clear" w:color="auto" w:fill="FFFFFF"/>
            <w:tcMar>
              <w:top w:w="40" w:type="dxa"/>
              <w:left w:w="0" w:type="dxa"/>
              <w:bottom w:w="40" w:type="dxa"/>
              <w:right w:w="20" w:type="dxa"/>
            </w:tcMar>
            <w:vAlign w:val="bottom"/>
          </w:tcPr>
          <w:p w14:paraId="22CFD10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104"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105" w14:textId="77777777" w:rsidR="002661BA" w:rsidRDefault="00D972BC">
            <w:pPr>
              <w:jc w:val="right"/>
              <w:textAlignment w:val="bottom"/>
            </w:pPr>
            <w:r>
              <w:rPr>
                <w:rFonts w:ascii="Arial" w:eastAsia="宋体" w:hAnsi="Arial" w:cs="Arial"/>
                <w:color w:val="000000"/>
                <w:sz w:val="18"/>
                <w:szCs w:val="18"/>
              </w:rPr>
              <w:t>138 </w:t>
            </w:r>
          </w:p>
        </w:tc>
        <w:tc>
          <w:tcPr>
            <w:tcW w:w="0" w:type="auto"/>
            <w:shd w:val="clear" w:color="auto" w:fill="FFFFFF"/>
            <w:tcMar>
              <w:top w:w="40" w:type="dxa"/>
              <w:left w:w="0" w:type="dxa"/>
              <w:bottom w:w="40" w:type="dxa"/>
              <w:right w:w="20" w:type="dxa"/>
            </w:tcMar>
            <w:vAlign w:val="bottom"/>
          </w:tcPr>
          <w:p w14:paraId="22CFD10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107"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108" w14:textId="77777777" w:rsidR="002661BA" w:rsidRDefault="00D972BC">
            <w:pPr>
              <w:jc w:val="right"/>
              <w:textAlignment w:val="bottom"/>
            </w:pPr>
            <w:r>
              <w:rPr>
                <w:rFonts w:ascii="Arial" w:eastAsia="宋体" w:hAnsi="Arial" w:cs="Arial"/>
                <w:color w:val="000000"/>
                <w:sz w:val="18"/>
                <w:szCs w:val="18"/>
              </w:rPr>
              <w:t>138 </w:t>
            </w:r>
          </w:p>
        </w:tc>
        <w:tc>
          <w:tcPr>
            <w:tcW w:w="0" w:type="auto"/>
            <w:shd w:val="clear" w:color="auto" w:fill="FFFFFF"/>
            <w:tcMar>
              <w:top w:w="40" w:type="dxa"/>
              <w:left w:w="0" w:type="dxa"/>
              <w:bottom w:w="40" w:type="dxa"/>
              <w:right w:w="20" w:type="dxa"/>
            </w:tcMar>
            <w:vAlign w:val="bottom"/>
          </w:tcPr>
          <w:p w14:paraId="22CFD109" w14:textId="77777777" w:rsidR="002661BA" w:rsidRDefault="002661BA">
            <w:pPr>
              <w:jc w:val="right"/>
              <w:rPr>
                <w:rFonts w:ascii="宋体"/>
              </w:rPr>
            </w:pPr>
          </w:p>
        </w:tc>
      </w:tr>
      <w:tr w:rsidR="002661BA" w14:paraId="22CFD117" w14:textId="77777777">
        <w:tc>
          <w:tcPr>
            <w:tcW w:w="0" w:type="auto"/>
            <w:gridSpan w:val="3"/>
            <w:shd w:val="clear" w:color="auto" w:fill="E2E2E2"/>
            <w:tcMar>
              <w:top w:w="40" w:type="dxa"/>
              <w:left w:w="260" w:type="dxa"/>
              <w:bottom w:w="40" w:type="dxa"/>
              <w:right w:w="20" w:type="dxa"/>
            </w:tcMar>
            <w:vAlign w:val="bottom"/>
          </w:tcPr>
          <w:p w14:paraId="22CFD10B" w14:textId="77777777" w:rsidR="002661BA" w:rsidRDefault="00D972BC">
            <w:pPr>
              <w:textAlignment w:val="bottom"/>
            </w:pPr>
            <w:r>
              <w:rPr>
                <w:rFonts w:ascii="Arial" w:eastAsia="宋体" w:hAnsi="Arial" w:cs="Arial"/>
                <w:color w:val="000000"/>
                <w:sz w:val="18"/>
                <w:szCs w:val="18"/>
              </w:rPr>
              <w:t>Total stock-based compensation expense</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D10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10D" w14:textId="77777777" w:rsidR="002661BA" w:rsidRDefault="00D972BC">
            <w:pPr>
              <w:jc w:val="right"/>
              <w:textAlignment w:val="bottom"/>
            </w:pPr>
            <w:r>
              <w:rPr>
                <w:rFonts w:ascii="Arial" w:eastAsia="宋体" w:hAnsi="Arial" w:cs="Arial"/>
                <w:color w:val="000000"/>
                <w:sz w:val="18"/>
                <w:szCs w:val="18"/>
              </w:rPr>
              <w:t>477 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10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10F"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11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111" w14:textId="77777777" w:rsidR="002661BA" w:rsidRDefault="00D972BC">
            <w:pPr>
              <w:jc w:val="right"/>
              <w:textAlignment w:val="bottom"/>
            </w:pPr>
            <w:r>
              <w:rPr>
                <w:rFonts w:ascii="Arial" w:eastAsia="宋体" w:hAnsi="Arial" w:cs="Arial"/>
                <w:color w:val="000000"/>
                <w:sz w:val="18"/>
                <w:szCs w:val="18"/>
              </w:rPr>
              <w:t>417 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11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113"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11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115" w14:textId="77777777" w:rsidR="002661BA" w:rsidRDefault="00D972BC">
            <w:pPr>
              <w:jc w:val="right"/>
              <w:textAlignment w:val="bottom"/>
            </w:pPr>
            <w:r>
              <w:rPr>
                <w:rFonts w:ascii="Arial" w:eastAsia="宋体" w:hAnsi="Arial" w:cs="Arial"/>
                <w:color w:val="000000"/>
                <w:sz w:val="18"/>
                <w:szCs w:val="18"/>
              </w:rPr>
              <w:t>415 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116" w14:textId="77777777" w:rsidR="002661BA" w:rsidRDefault="002661BA">
            <w:pPr>
              <w:jc w:val="right"/>
              <w:rPr>
                <w:rFonts w:ascii="宋体"/>
              </w:rPr>
            </w:pPr>
          </w:p>
        </w:tc>
      </w:tr>
      <w:tr w:rsidR="002661BA" w14:paraId="22CFD124" w14:textId="77777777">
        <w:tc>
          <w:tcPr>
            <w:tcW w:w="0" w:type="auto"/>
            <w:gridSpan w:val="3"/>
            <w:shd w:val="clear" w:color="auto" w:fill="FFFFFF"/>
            <w:tcMar>
              <w:top w:w="40" w:type="dxa"/>
              <w:left w:w="20" w:type="dxa"/>
              <w:bottom w:w="40" w:type="dxa"/>
              <w:right w:w="20" w:type="dxa"/>
            </w:tcMar>
            <w:vAlign w:val="bottom"/>
          </w:tcPr>
          <w:p w14:paraId="22CFD118" w14:textId="77777777" w:rsidR="002661BA" w:rsidRDefault="00D972BC">
            <w:pPr>
              <w:textAlignment w:val="bottom"/>
            </w:pPr>
            <w:r>
              <w:rPr>
                <w:rFonts w:ascii="Arial" w:eastAsia="宋体" w:hAnsi="Arial" w:cs="Arial"/>
                <w:color w:val="000000"/>
                <w:sz w:val="18"/>
                <w:szCs w:val="18"/>
              </w:rPr>
              <w:t>Capitalized in product development</w:t>
            </w: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22CFD119" w14:textId="77777777" w:rsidR="002661BA" w:rsidRDefault="00D972BC">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22CFD11A" w14:textId="77777777" w:rsidR="002661BA" w:rsidRDefault="00D972BC">
            <w:pPr>
              <w:jc w:val="right"/>
              <w:textAlignment w:val="bottom"/>
            </w:pPr>
            <w:r>
              <w:rPr>
                <w:rFonts w:ascii="Arial" w:eastAsia="宋体" w:hAnsi="Arial" w:cs="Arial"/>
                <w:color w:val="000000"/>
                <w:sz w:val="18"/>
                <w:szCs w:val="18"/>
              </w:rPr>
              <w:t>12 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22CFD11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11C" w14:textId="77777777" w:rsidR="002661BA" w:rsidRDefault="002661BA">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22CFD11D" w14:textId="77777777" w:rsidR="002661BA" w:rsidRDefault="00D972BC">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22CFD11E" w14:textId="77777777" w:rsidR="002661BA" w:rsidRDefault="00D972BC">
            <w:pPr>
              <w:jc w:val="right"/>
              <w:textAlignment w:val="bottom"/>
            </w:pPr>
            <w:r>
              <w:rPr>
                <w:rFonts w:ascii="Arial" w:eastAsia="宋体" w:hAnsi="Arial" w:cs="Arial"/>
                <w:color w:val="000000"/>
                <w:sz w:val="18"/>
                <w:szCs w:val="18"/>
              </w:rPr>
              <w:t>14 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22CFD11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120" w14:textId="77777777" w:rsidR="002661BA" w:rsidRDefault="002661BA">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22CFD121" w14:textId="77777777" w:rsidR="002661BA" w:rsidRDefault="00D972BC">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22CFD122" w14:textId="77777777" w:rsidR="002661BA" w:rsidRDefault="00D972BC">
            <w:pPr>
              <w:jc w:val="right"/>
              <w:textAlignment w:val="bottom"/>
            </w:pPr>
            <w:r>
              <w:rPr>
                <w:rFonts w:ascii="Arial" w:eastAsia="宋体" w:hAnsi="Arial" w:cs="Arial"/>
                <w:color w:val="000000"/>
                <w:sz w:val="18"/>
                <w:szCs w:val="18"/>
              </w:rPr>
              <w:t>14 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22CFD123" w14:textId="77777777" w:rsidR="002661BA" w:rsidRDefault="002661BA">
            <w:pPr>
              <w:jc w:val="right"/>
              <w:rPr>
                <w:rFonts w:ascii="宋体"/>
              </w:rPr>
            </w:pPr>
          </w:p>
        </w:tc>
      </w:tr>
    </w:tbl>
    <w:p w14:paraId="22CFD125" w14:textId="77777777" w:rsidR="002661BA" w:rsidRDefault="002661BA">
      <w:pPr>
        <w:jc w:val="both"/>
      </w:pPr>
    </w:p>
    <w:p w14:paraId="22CFD126" w14:textId="77777777" w:rsidR="002661BA" w:rsidRDefault="00D972BC">
      <w:pPr>
        <w:ind w:firstLine="540"/>
        <w:jc w:val="both"/>
      </w:pPr>
      <w:r>
        <w:rPr>
          <w:rFonts w:ascii="Arial" w:eastAsia="宋体" w:hAnsi="Arial" w:cs="Arial"/>
          <w:color w:val="000000"/>
          <w:sz w:val="20"/>
          <w:szCs w:val="20"/>
        </w:rPr>
        <w:t>As of December 31, 2021, there was approximately $735 million of unearned stock-based compensation that will be expensed from 2022 through 2026. If there are any modifications or cancellations of the underlying unvested aw</w:t>
      </w:r>
      <w:r>
        <w:rPr>
          <w:rFonts w:ascii="Arial" w:eastAsia="宋体" w:hAnsi="Arial" w:cs="Arial"/>
          <w:color w:val="000000"/>
          <w:sz w:val="20"/>
          <w:szCs w:val="20"/>
        </w:rPr>
        <w:t>ards, we may be required to accelerate, increase or cancel all or a portion of the remaining unearned stock-based compensation expense. Future unearned stock-based compensation will increase to the extent we grant additional equity awards, change the mix o</w:t>
      </w:r>
      <w:r>
        <w:rPr>
          <w:rFonts w:ascii="Arial" w:eastAsia="宋体" w:hAnsi="Arial" w:cs="Arial"/>
          <w:color w:val="000000"/>
          <w:sz w:val="20"/>
          <w:szCs w:val="20"/>
        </w:rPr>
        <w:t xml:space="preserve">f grants between stock options and restricted stock units or assume unvested equity awards in connection with acquisitions. </w:t>
      </w:r>
    </w:p>
    <w:p w14:paraId="22CFD127" w14:textId="77777777" w:rsidR="002661BA" w:rsidRDefault="002661BA">
      <w:pPr>
        <w:ind w:firstLine="540"/>
        <w:jc w:val="both"/>
      </w:pPr>
    </w:p>
    <w:p w14:paraId="22CFD128" w14:textId="77777777" w:rsidR="002661BA" w:rsidRDefault="00D972BC">
      <w:pPr>
        <w:jc w:val="both"/>
      </w:pPr>
      <w:r>
        <w:rPr>
          <w:rFonts w:ascii="Arial" w:eastAsia="宋体" w:hAnsi="Arial" w:cs="Arial"/>
          <w:b/>
          <w:bCs/>
          <w:i/>
          <w:iCs/>
          <w:color w:val="000000"/>
          <w:sz w:val="20"/>
          <w:szCs w:val="20"/>
        </w:rPr>
        <w:t xml:space="preserve">Employee Savings Plans </w:t>
      </w:r>
    </w:p>
    <w:p w14:paraId="22CFD129" w14:textId="77777777" w:rsidR="002661BA" w:rsidRDefault="002661BA">
      <w:pPr>
        <w:jc w:val="both"/>
      </w:pPr>
    </w:p>
    <w:p w14:paraId="22CFD12A" w14:textId="77777777" w:rsidR="002661BA" w:rsidRDefault="00D972BC">
      <w:pPr>
        <w:ind w:firstLine="540"/>
        <w:jc w:val="both"/>
      </w:pPr>
      <w:r>
        <w:rPr>
          <w:rFonts w:ascii="Arial" w:eastAsia="宋体" w:hAnsi="Arial" w:cs="Arial"/>
          <w:color w:val="000000"/>
          <w:sz w:val="20"/>
          <w:szCs w:val="20"/>
        </w:rPr>
        <w:t>We have a defined contribution plan, which is qualified under Section 401(k) of the Internal Revenue Code</w:t>
      </w:r>
      <w:r>
        <w:rPr>
          <w:rFonts w:ascii="Arial" w:eastAsia="宋体" w:hAnsi="Arial" w:cs="Arial"/>
          <w:color w:val="000000"/>
          <w:sz w:val="20"/>
          <w:szCs w:val="20"/>
        </w:rPr>
        <w:t>. Participating employees may contribute up to 50% of their eligible compensation, but not more than statutory limits. During the years ended December 31, 2021, 2020 and 2019, we contributed one dollar for each dollar a participant contributed, with a maxi</w:t>
      </w:r>
      <w:r>
        <w:rPr>
          <w:rFonts w:ascii="Arial" w:eastAsia="宋体" w:hAnsi="Arial" w:cs="Arial"/>
          <w:color w:val="000000"/>
          <w:sz w:val="20"/>
          <w:szCs w:val="20"/>
        </w:rPr>
        <w:t>mum contribution of 4% of each employee’s eligible compensation, subject to a maximum employer contribution of $11,600, $11,400 and $11,200 per employee for each period, respectively. Our non-U.S. employees are covered by various other savings plans. Total</w:t>
      </w:r>
      <w:r>
        <w:rPr>
          <w:rFonts w:ascii="Arial" w:eastAsia="宋体" w:hAnsi="Arial" w:cs="Arial"/>
          <w:color w:val="000000"/>
          <w:sz w:val="20"/>
          <w:szCs w:val="20"/>
        </w:rPr>
        <w:t xml:space="preserve"> expense for these plans was $54 million, $46 million and $45 million for the years ended December 31, 2021, 2020 and 2019, respectively. </w:t>
      </w:r>
    </w:p>
    <w:p w14:paraId="22CFD12B" w14:textId="77777777" w:rsidR="002661BA" w:rsidRDefault="002661BA">
      <w:pPr>
        <w:jc w:val="both"/>
      </w:pPr>
    </w:p>
    <w:p w14:paraId="22CFD12C" w14:textId="77777777" w:rsidR="002661BA" w:rsidRDefault="00D972BC">
      <w:pPr>
        <w:jc w:val="center"/>
      </w:pPr>
      <w:r>
        <w:rPr>
          <w:rFonts w:ascii="Arial" w:eastAsia="宋体" w:hAnsi="Arial" w:cs="Arial"/>
          <w:color w:val="000000"/>
          <w:sz w:val="18"/>
          <w:szCs w:val="18"/>
        </w:rPr>
        <w:t>107</w:t>
      </w:r>
    </w:p>
    <w:p w14:paraId="22CFD12D" w14:textId="77777777" w:rsidR="002661BA" w:rsidRDefault="00D972BC">
      <w:r>
        <w:pict w14:anchorId="22CFE51C">
          <v:rect id="_x0000_i1131" style="width:415.3pt;height:1.5pt" o:hralign="center" o:hrstd="t" o:hr="t" fillcolor="#a0a0a0" stroked="f"/>
        </w:pict>
      </w:r>
    </w:p>
    <w:p w14:paraId="22CFD12E" w14:textId="77777777" w:rsidR="002661BA" w:rsidRDefault="00D972BC">
      <w:hyperlink r:id="rId142" w:anchor="id0d7a71b05ce452ea9fdb54f3cb359c7_7" w:history="1">
        <w:r>
          <w:rPr>
            <w:rStyle w:val="a5"/>
            <w:rFonts w:ascii="Arial" w:eastAsia="宋体" w:hAnsi="Arial" w:cs="Arial"/>
            <w:sz w:val="18"/>
            <w:szCs w:val="18"/>
          </w:rPr>
          <w:t>Table of Contents</w:t>
        </w:r>
      </w:hyperlink>
    </w:p>
    <w:p w14:paraId="22CFD12F" w14:textId="77777777" w:rsidR="002661BA" w:rsidRDefault="00D972BC">
      <w:pPr>
        <w:jc w:val="center"/>
      </w:pPr>
      <w:r>
        <w:rPr>
          <w:rFonts w:ascii="Arial" w:eastAsia="宋体" w:hAnsi="Arial" w:cs="Arial"/>
          <w:b/>
          <w:bCs/>
          <w:color w:val="000000"/>
          <w:sz w:val="20"/>
          <w:szCs w:val="20"/>
        </w:rPr>
        <w:t>eBay Inc.</w:t>
      </w:r>
    </w:p>
    <w:p w14:paraId="22CFD130"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D131" w14:textId="77777777" w:rsidR="002661BA" w:rsidRDefault="00D972BC">
      <w:pPr>
        <w:jc w:val="both"/>
      </w:pPr>
      <w:r>
        <w:rPr>
          <w:rFonts w:ascii="Arial" w:eastAsia="宋体" w:hAnsi="Arial" w:cs="Arial"/>
          <w:b/>
          <w:bCs/>
          <w:color w:val="000000"/>
          <w:sz w:val="20"/>
          <w:szCs w:val="20"/>
        </w:rPr>
        <w:t xml:space="preserve">Note 15 — Income Taxes </w:t>
      </w:r>
    </w:p>
    <w:p w14:paraId="22CFD132" w14:textId="77777777" w:rsidR="002661BA" w:rsidRDefault="002661BA">
      <w:pPr>
        <w:jc w:val="both"/>
      </w:pPr>
    </w:p>
    <w:p w14:paraId="22CFD133" w14:textId="77777777" w:rsidR="002661BA" w:rsidRDefault="00D972BC">
      <w:pPr>
        <w:spacing w:after="120"/>
        <w:ind w:firstLine="540"/>
        <w:jc w:val="both"/>
      </w:pPr>
      <w:r>
        <w:rPr>
          <w:rFonts w:ascii="Arial" w:eastAsia="宋体" w:hAnsi="Arial" w:cs="Arial"/>
          <w:color w:val="000000"/>
          <w:sz w:val="20"/>
          <w:szCs w:val="20"/>
        </w:rPr>
        <w:t xml:space="preserve">The following table presents the components of income from continuing operations before taxes for the </w:t>
      </w:r>
      <w:r>
        <w:rPr>
          <w:rFonts w:ascii="Arial" w:eastAsia="宋体" w:hAnsi="Arial" w:cs="Arial"/>
          <w:color w:val="000000"/>
          <w:sz w:val="20"/>
          <w:szCs w:val="20"/>
        </w:rPr>
        <w:t>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833"/>
        <w:gridCol w:w="37"/>
        <w:gridCol w:w="121"/>
        <w:gridCol w:w="877"/>
        <w:gridCol w:w="36"/>
        <w:gridCol w:w="37"/>
        <w:gridCol w:w="88"/>
        <w:gridCol w:w="36"/>
        <w:gridCol w:w="121"/>
        <w:gridCol w:w="878"/>
        <w:gridCol w:w="36"/>
        <w:gridCol w:w="37"/>
        <w:gridCol w:w="88"/>
        <w:gridCol w:w="36"/>
        <w:gridCol w:w="121"/>
        <w:gridCol w:w="880"/>
        <w:gridCol w:w="36"/>
      </w:tblGrid>
      <w:tr w:rsidR="002661BA" w14:paraId="22CFD146" w14:textId="77777777">
        <w:tc>
          <w:tcPr>
            <w:tcW w:w="50" w:type="pct"/>
            <w:shd w:val="clear" w:color="auto" w:fill="auto"/>
            <w:vAlign w:val="bottom"/>
          </w:tcPr>
          <w:p w14:paraId="22CFD134" w14:textId="77777777" w:rsidR="002661BA" w:rsidRDefault="002661BA">
            <w:pPr>
              <w:rPr>
                <w:rFonts w:ascii="宋体"/>
              </w:rPr>
            </w:pPr>
          </w:p>
        </w:tc>
        <w:tc>
          <w:tcPr>
            <w:tcW w:w="2978" w:type="pct"/>
            <w:shd w:val="clear" w:color="auto" w:fill="auto"/>
            <w:vAlign w:val="bottom"/>
          </w:tcPr>
          <w:p w14:paraId="22CFD135" w14:textId="77777777" w:rsidR="002661BA" w:rsidRDefault="002661BA">
            <w:pPr>
              <w:rPr>
                <w:rFonts w:ascii="宋体"/>
              </w:rPr>
            </w:pPr>
          </w:p>
        </w:tc>
        <w:tc>
          <w:tcPr>
            <w:tcW w:w="5" w:type="pct"/>
            <w:shd w:val="clear" w:color="auto" w:fill="auto"/>
            <w:vAlign w:val="bottom"/>
          </w:tcPr>
          <w:p w14:paraId="22CFD136" w14:textId="77777777" w:rsidR="002661BA" w:rsidRDefault="002661BA">
            <w:pPr>
              <w:rPr>
                <w:rFonts w:ascii="宋体"/>
              </w:rPr>
            </w:pPr>
          </w:p>
        </w:tc>
        <w:tc>
          <w:tcPr>
            <w:tcW w:w="50" w:type="pct"/>
            <w:shd w:val="clear" w:color="auto" w:fill="auto"/>
            <w:vAlign w:val="bottom"/>
          </w:tcPr>
          <w:p w14:paraId="22CFD137" w14:textId="77777777" w:rsidR="002661BA" w:rsidRDefault="002661BA">
            <w:pPr>
              <w:rPr>
                <w:rFonts w:ascii="宋体"/>
              </w:rPr>
            </w:pPr>
          </w:p>
        </w:tc>
        <w:tc>
          <w:tcPr>
            <w:tcW w:w="580" w:type="pct"/>
            <w:shd w:val="clear" w:color="auto" w:fill="auto"/>
            <w:vAlign w:val="bottom"/>
          </w:tcPr>
          <w:p w14:paraId="22CFD138" w14:textId="77777777" w:rsidR="002661BA" w:rsidRDefault="002661BA">
            <w:pPr>
              <w:rPr>
                <w:rFonts w:ascii="宋体"/>
              </w:rPr>
            </w:pPr>
          </w:p>
        </w:tc>
        <w:tc>
          <w:tcPr>
            <w:tcW w:w="5" w:type="pct"/>
            <w:shd w:val="clear" w:color="auto" w:fill="auto"/>
            <w:vAlign w:val="bottom"/>
          </w:tcPr>
          <w:p w14:paraId="22CFD139" w14:textId="77777777" w:rsidR="002661BA" w:rsidRDefault="002661BA">
            <w:pPr>
              <w:rPr>
                <w:rFonts w:ascii="宋体"/>
              </w:rPr>
            </w:pPr>
          </w:p>
        </w:tc>
        <w:tc>
          <w:tcPr>
            <w:tcW w:w="5" w:type="pct"/>
            <w:shd w:val="clear" w:color="auto" w:fill="auto"/>
            <w:vAlign w:val="bottom"/>
          </w:tcPr>
          <w:p w14:paraId="22CFD13A" w14:textId="77777777" w:rsidR="002661BA" w:rsidRDefault="002661BA">
            <w:pPr>
              <w:rPr>
                <w:rFonts w:ascii="宋体"/>
              </w:rPr>
            </w:pPr>
          </w:p>
        </w:tc>
        <w:tc>
          <w:tcPr>
            <w:tcW w:w="19" w:type="pct"/>
            <w:shd w:val="clear" w:color="auto" w:fill="auto"/>
            <w:vAlign w:val="bottom"/>
          </w:tcPr>
          <w:p w14:paraId="22CFD13B" w14:textId="77777777" w:rsidR="002661BA" w:rsidRDefault="002661BA">
            <w:pPr>
              <w:rPr>
                <w:rFonts w:ascii="宋体"/>
              </w:rPr>
            </w:pPr>
          </w:p>
        </w:tc>
        <w:tc>
          <w:tcPr>
            <w:tcW w:w="5" w:type="pct"/>
            <w:shd w:val="clear" w:color="auto" w:fill="auto"/>
            <w:vAlign w:val="bottom"/>
          </w:tcPr>
          <w:p w14:paraId="22CFD13C" w14:textId="77777777" w:rsidR="002661BA" w:rsidRDefault="002661BA">
            <w:pPr>
              <w:rPr>
                <w:rFonts w:ascii="宋体"/>
              </w:rPr>
            </w:pPr>
          </w:p>
        </w:tc>
        <w:tc>
          <w:tcPr>
            <w:tcW w:w="50" w:type="pct"/>
            <w:shd w:val="clear" w:color="auto" w:fill="auto"/>
            <w:vAlign w:val="bottom"/>
          </w:tcPr>
          <w:p w14:paraId="22CFD13D" w14:textId="77777777" w:rsidR="002661BA" w:rsidRDefault="002661BA">
            <w:pPr>
              <w:rPr>
                <w:rFonts w:ascii="宋体"/>
              </w:rPr>
            </w:pPr>
          </w:p>
        </w:tc>
        <w:tc>
          <w:tcPr>
            <w:tcW w:w="580" w:type="pct"/>
            <w:shd w:val="clear" w:color="auto" w:fill="auto"/>
            <w:vAlign w:val="bottom"/>
          </w:tcPr>
          <w:p w14:paraId="22CFD13E" w14:textId="77777777" w:rsidR="002661BA" w:rsidRDefault="002661BA">
            <w:pPr>
              <w:rPr>
                <w:rFonts w:ascii="宋体"/>
              </w:rPr>
            </w:pPr>
          </w:p>
        </w:tc>
        <w:tc>
          <w:tcPr>
            <w:tcW w:w="5" w:type="pct"/>
            <w:shd w:val="clear" w:color="auto" w:fill="auto"/>
            <w:vAlign w:val="bottom"/>
          </w:tcPr>
          <w:p w14:paraId="22CFD13F" w14:textId="77777777" w:rsidR="002661BA" w:rsidRDefault="002661BA">
            <w:pPr>
              <w:rPr>
                <w:rFonts w:ascii="宋体"/>
              </w:rPr>
            </w:pPr>
          </w:p>
        </w:tc>
        <w:tc>
          <w:tcPr>
            <w:tcW w:w="5" w:type="pct"/>
            <w:shd w:val="clear" w:color="auto" w:fill="auto"/>
            <w:vAlign w:val="bottom"/>
          </w:tcPr>
          <w:p w14:paraId="22CFD140" w14:textId="77777777" w:rsidR="002661BA" w:rsidRDefault="002661BA">
            <w:pPr>
              <w:rPr>
                <w:rFonts w:ascii="宋体"/>
              </w:rPr>
            </w:pPr>
          </w:p>
        </w:tc>
        <w:tc>
          <w:tcPr>
            <w:tcW w:w="19" w:type="pct"/>
            <w:shd w:val="clear" w:color="auto" w:fill="auto"/>
            <w:vAlign w:val="bottom"/>
          </w:tcPr>
          <w:p w14:paraId="22CFD141" w14:textId="77777777" w:rsidR="002661BA" w:rsidRDefault="002661BA">
            <w:pPr>
              <w:rPr>
                <w:rFonts w:ascii="宋体"/>
              </w:rPr>
            </w:pPr>
          </w:p>
        </w:tc>
        <w:tc>
          <w:tcPr>
            <w:tcW w:w="5" w:type="pct"/>
            <w:shd w:val="clear" w:color="auto" w:fill="auto"/>
            <w:vAlign w:val="bottom"/>
          </w:tcPr>
          <w:p w14:paraId="22CFD142" w14:textId="77777777" w:rsidR="002661BA" w:rsidRDefault="002661BA">
            <w:pPr>
              <w:rPr>
                <w:rFonts w:ascii="宋体"/>
              </w:rPr>
            </w:pPr>
          </w:p>
        </w:tc>
        <w:tc>
          <w:tcPr>
            <w:tcW w:w="50" w:type="pct"/>
            <w:shd w:val="clear" w:color="auto" w:fill="auto"/>
            <w:vAlign w:val="bottom"/>
          </w:tcPr>
          <w:p w14:paraId="22CFD143" w14:textId="77777777" w:rsidR="002661BA" w:rsidRDefault="002661BA">
            <w:pPr>
              <w:rPr>
                <w:rFonts w:ascii="宋体"/>
              </w:rPr>
            </w:pPr>
          </w:p>
        </w:tc>
        <w:tc>
          <w:tcPr>
            <w:tcW w:w="581" w:type="pct"/>
            <w:shd w:val="clear" w:color="auto" w:fill="auto"/>
            <w:vAlign w:val="bottom"/>
          </w:tcPr>
          <w:p w14:paraId="22CFD144" w14:textId="77777777" w:rsidR="002661BA" w:rsidRDefault="002661BA">
            <w:pPr>
              <w:rPr>
                <w:rFonts w:ascii="宋体"/>
              </w:rPr>
            </w:pPr>
          </w:p>
        </w:tc>
        <w:tc>
          <w:tcPr>
            <w:tcW w:w="5" w:type="pct"/>
            <w:shd w:val="clear" w:color="auto" w:fill="auto"/>
            <w:vAlign w:val="bottom"/>
          </w:tcPr>
          <w:p w14:paraId="22CFD145" w14:textId="77777777" w:rsidR="002661BA" w:rsidRDefault="002661BA">
            <w:pPr>
              <w:rPr>
                <w:rFonts w:ascii="宋体"/>
              </w:rPr>
            </w:pPr>
          </w:p>
        </w:tc>
      </w:tr>
      <w:tr w:rsidR="002661BA" w14:paraId="22CFD149" w14:textId="77777777">
        <w:tc>
          <w:tcPr>
            <w:tcW w:w="0" w:type="auto"/>
            <w:gridSpan w:val="3"/>
            <w:shd w:val="clear" w:color="auto" w:fill="auto"/>
            <w:tcMar>
              <w:top w:w="40" w:type="dxa"/>
              <w:left w:w="20" w:type="dxa"/>
              <w:bottom w:w="40" w:type="dxa"/>
              <w:right w:w="20" w:type="dxa"/>
            </w:tcMar>
            <w:vAlign w:val="bottom"/>
          </w:tcPr>
          <w:p w14:paraId="22CFD147" w14:textId="77777777" w:rsidR="002661BA" w:rsidRDefault="00D972BC">
            <w:pPr>
              <w:textAlignment w:val="bottom"/>
            </w:pPr>
            <w:r>
              <w:rPr>
                <w:rFonts w:ascii="Arial" w:eastAsia="宋体" w:hAnsi="Arial" w:cs="Arial"/>
                <w:color w:val="000000"/>
                <w:sz w:val="16"/>
                <w:szCs w:val="16"/>
              </w:rPr>
              <w:t> </w:t>
            </w:r>
          </w:p>
        </w:tc>
        <w:tc>
          <w:tcPr>
            <w:tcW w:w="0" w:type="auto"/>
            <w:gridSpan w:val="15"/>
            <w:shd w:val="clear" w:color="auto" w:fill="auto"/>
            <w:tcMar>
              <w:top w:w="40" w:type="dxa"/>
              <w:left w:w="20" w:type="dxa"/>
              <w:bottom w:w="40" w:type="dxa"/>
              <w:right w:w="20" w:type="dxa"/>
            </w:tcMar>
            <w:vAlign w:val="bottom"/>
          </w:tcPr>
          <w:p w14:paraId="22CFD148"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D150" w14:textId="77777777">
        <w:tc>
          <w:tcPr>
            <w:tcW w:w="0" w:type="auto"/>
            <w:gridSpan w:val="3"/>
            <w:shd w:val="clear" w:color="auto" w:fill="auto"/>
            <w:tcMar>
              <w:top w:w="40" w:type="dxa"/>
              <w:left w:w="20" w:type="dxa"/>
              <w:bottom w:w="40" w:type="dxa"/>
              <w:right w:w="20" w:type="dxa"/>
            </w:tcMar>
            <w:vAlign w:val="bottom"/>
          </w:tcPr>
          <w:p w14:paraId="22CFD14A" w14:textId="77777777" w:rsidR="002661BA" w:rsidRDefault="00D972BC">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14B"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14C"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14D"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14E"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14F"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D15D" w14:textId="77777777">
        <w:tc>
          <w:tcPr>
            <w:tcW w:w="0" w:type="auto"/>
            <w:gridSpan w:val="3"/>
            <w:shd w:val="clear" w:color="auto" w:fill="E2E2E2"/>
            <w:tcMar>
              <w:top w:w="40" w:type="dxa"/>
              <w:left w:w="20" w:type="dxa"/>
              <w:bottom w:w="40" w:type="dxa"/>
              <w:right w:w="20" w:type="dxa"/>
            </w:tcMar>
            <w:vAlign w:val="bottom"/>
          </w:tcPr>
          <w:p w14:paraId="22CFD151" w14:textId="77777777" w:rsidR="002661BA" w:rsidRDefault="00D972BC">
            <w:pPr>
              <w:textAlignment w:val="bottom"/>
            </w:pPr>
            <w:r>
              <w:rPr>
                <w:rFonts w:ascii="Arial" w:eastAsia="宋体" w:hAnsi="Arial" w:cs="Arial"/>
                <w:color w:val="000000"/>
                <w:sz w:val="18"/>
                <w:szCs w:val="18"/>
              </w:rPr>
              <w:t>United States</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D152"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153" w14:textId="77777777" w:rsidR="002661BA" w:rsidRDefault="00D972BC">
            <w:pPr>
              <w:jc w:val="right"/>
              <w:textAlignment w:val="bottom"/>
            </w:pPr>
            <w:r>
              <w:rPr>
                <w:rFonts w:ascii="Arial" w:eastAsia="宋体" w:hAnsi="Arial" w:cs="Arial"/>
                <w:color w:val="000000"/>
                <w:sz w:val="18"/>
                <w:szCs w:val="18"/>
              </w:rPr>
              <w:t>1,608 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154"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155"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D156"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157" w14:textId="77777777" w:rsidR="002661BA" w:rsidRDefault="00D972BC">
            <w:pPr>
              <w:jc w:val="right"/>
              <w:textAlignment w:val="bottom"/>
            </w:pPr>
            <w:r>
              <w:rPr>
                <w:rFonts w:ascii="Arial" w:eastAsia="宋体" w:hAnsi="Arial" w:cs="Arial"/>
                <w:color w:val="000000"/>
                <w:sz w:val="18"/>
                <w:szCs w:val="18"/>
              </w:rPr>
              <w:t>1,167 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158"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159"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D15A"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15B" w14:textId="77777777" w:rsidR="002661BA" w:rsidRDefault="00D972BC">
            <w:pPr>
              <w:jc w:val="right"/>
              <w:textAlignment w:val="bottom"/>
            </w:pPr>
            <w:r>
              <w:rPr>
                <w:rFonts w:ascii="Arial" w:eastAsia="宋体" w:hAnsi="Arial" w:cs="Arial"/>
                <w:color w:val="000000"/>
                <w:sz w:val="18"/>
                <w:szCs w:val="18"/>
              </w:rPr>
              <w:t>179 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15C" w14:textId="77777777" w:rsidR="002661BA" w:rsidRDefault="002661BA">
            <w:pPr>
              <w:jc w:val="right"/>
              <w:rPr>
                <w:rFonts w:ascii="宋体"/>
              </w:rPr>
            </w:pPr>
          </w:p>
        </w:tc>
      </w:tr>
      <w:tr w:rsidR="002661BA" w14:paraId="22CFD167" w14:textId="77777777">
        <w:tc>
          <w:tcPr>
            <w:tcW w:w="0" w:type="auto"/>
            <w:gridSpan w:val="3"/>
            <w:shd w:val="clear" w:color="auto" w:fill="FFFFFF"/>
            <w:tcMar>
              <w:top w:w="40" w:type="dxa"/>
              <w:left w:w="20" w:type="dxa"/>
              <w:bottom w:w="40" w:type="dxa"/>
              <w:right w:w="20" w:type="dxa"/>
            </w:tcMar>
            <w:vAlign w:val="bottom"/>
          </w:tcPr>
          <w:p w14:paraId="22CFD15E" w14:textId="77777777" w:rsidR="002661BA" w:rsidRDefault="00D972BC">
            <w:pPr>
              <w:textAlignment w:val="bottom"/>
            </w:pPr>
            <w:r>
              <w:rPr>
                <w:rFonts w:ascii="Arial" w:eastAsia="宋体" w:hAnsi="Arial" w:cs="Arial"/>
                <w:color w:val="000000"/>
                <w:sz w:val="18"/>
                <w:szCs w:val="18"/>
              </w:rPr>
              <w:t>International</w:t>
            </w:r>
          </w:p>
        </w:tc>
        <w:tc>
          <w:tcPr>
            <w:tcW w:w="0" w:type="auto"/>
            <w:gridSpan w:val="2"/>
            <w:shd w:val="clear" w:color="auto" w:fill="FFFFFF"/>
            <w:tcMar>
              <w:top w:w="40" w:type="dxa"/>
              <w:left w:w="20" w:type="dxa"/>
              <w:bottom w:w="40" w:type="dxa"/>
              <w:right w:w="0" w:type="dxa"/>
            </w:tcMar>
            <w:vAlign w:val="bottom"/>
          </w:tcPr>
          <w:p w14:paraId="22CFD15F" w14:textId="77777777" w:rsidR="002661BA" w:rsidRDefault="00D972BC">
            <w:pPr>
              <w:jc w:val="right"/>
              <w:textAlignment w:val="bottom"/>
            </w:pPr>
            <w:r>
              <w:rPr>
                <w:rFonts w:ascii="Arial" w:eastAsia="宋体" w:hAnsi="Arial" w:cs="Arial"/>
                <w:color w:val="000000"/>
                <w:sz w:val="18"/>
                <w:szCs w:val="18"/>
              </w:rPr>
              <w:t>(1,210)</w:t>
            </w:r>
          </w:p>
        </w:tc>
        <w:tc>
          <w:tcPr>
            <w:tcW w:w="0" w:type="auto"/>
            <w:shd w:val="clear" w:color="auto" w:fill="FFFFFF"/>
            <w:tcMar>
              <w:top w:w="40" w:type="dxa"/>
              <w:left w:w="0" w:type="dxa"/>
              <w:bottom w:w="40" w:type="dxa"/>
              <w:right w:w="20" w:type="dxa"/>
            </w:tcMar>
            <w:vAlign w:val="bottom"/>
          </w:tcPr>
          <w:p w14:paraId="22CFD160"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161"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D162" w14:textId="77777777" w:rsidR="002661BA" w:rsidRDefault="00D972BC">
            <w:pPr>
              <w:jc w:val="right"/>
              <w:textAlignment w:val="bottom"/>
            </w:pPr>
            <w:r>
              <w:rPr>
                <w:rFonts w:ascii="Arial" w:eastAsia="宋体" w:hAnsi="Arial" w:cs="Arial"/>
                <w:color w:val="000000"/>
                <w:sz w:val="18"/>
                <w:szCs w:val="18"/>
              </w:rPr>
              <w:t>2,178 </w:t>
            </w:r>
          </w:p>
        </w:tc>
        <w:tc>
          <w:tcPr>
            <w:tcW w:w="0" w:type="auto"/>
            <w:shd w:val="clear" w:color="auto" w:fill="FFFFFF"/>
            <w:tcMar>
              <w:top w:w="40" w:type="dxa"/>
              <w:left w:w="0" w:type="dxa"/>
              <w:bottom w:w="40" w:type="dxa"/>
              <w:right w:w="20" w:type="dxa"/>
            </w:tcMar>
            <w:vAlign w:val="bottom"/>
          </w:tcPr>
          <w:p w14:paraId="22CFD163"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164"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D165" w14:textId="77777777" w:rsidR="002661BA" w:rsidRDefault="00D972BC">
            <w:pPr>
              <w:jc w:val="right"/>
              <w:textAlignment w:val="bottom"/>
            </w:pPr>
            <w:r>
              <w:rPr>
                <w:rFonts w:ascii="Arial" w:eastAsia="宋体" w:hAnsi="Arial" w:cs="Arial"/>
                <w:color w:val="000000"/>
                <w:sz w:val="18"/>
                <w:szCs w:val="18"/>
              </w:rPr>
              <w:t>1,473 </w:t>
            </w:r>
          </w:p>
        </w:tc>
        <w:tc>
          <w:tcPr>
            <w:tcW w:w="0" w:type="auto"/>
            <w:shd w:val="clear" w:color="auto" w:fill="FFFFFF"/>
            <w:tcMar>
              <w:top w:w="40" w:type="dxa"/>
              <w:left w:w="0" w:type="dxa"/>
              <w:bottom w:w="40" w:type="dxa"/>
              <w:right w:w="20" w:type="dxa"/>
            </w:tcMar>
            <w:vAlign w:val="bottom"/>
          </w:tcPr>
          <w:p w14:paraId="22CFD166" w14:textId="77777777" w:rsidR="002661BA" w:rsidRDefault="002661BA">
            <w:pPr>
              <w:jc w:val="right"/>
              <w:rPr>
                <w:rFonts w:ascii="宋体"/>
              </w:rPr>
            </w:pPr>
          </w:p>
        </w:tc>
      </w:tr>
      <w:tr w:rsidR="002661BA" w14:paraId="22CFD174" w14:textId="77777777">
        <w:tc>
          <w:tcPr>
            <w:tcW w:w="0" w:type="auto"/>
            <w:gridSpan w:val="3"/>
            <w:shd w:val="clear" w:color="auto" w:fill="E2E2E2"/>
            <w:tcMar>
              <w:top w:w="0" w:type="dxa"/>
              <w:left w:w="20" w:type="dxa"/>
              <w:bottom w:w="0" w:type="dxa"/>
              <w:right w:w="20" w:type="dxa"/>
            </w:tcMar>
            <w:vAlign w:val="bottom"/>
          </w:tcPr>
          <w:p w14:paraId="22CFD168"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16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16A" w14:textId="77777777" w:rsidR="002661BA" w:rsidRDefault="00D972BC">
            <w:pPr>
              <w:jc w:val="right"/>
              <w:textAlignment w:val="bottom"/>
            </w:pPr>
            <w:r>
              <w:rPr>
                <w:rFonts w:ascii="Arial" w:eastAsia="宋体" w:hAnsi="Arial" w:cs="Arial"/>
                <w:color w:val="000000"/>
                <w:sz w:val="18"/>
                <w:szCs w:val="18"/>
              </w:rPr>
              <w:t>398 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16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16C"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16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16E" w14:textId="77777777" w:rsidR="002661BA" w:rsidRDefault="00D972BC">
            <w:pPr>
              <w:jc w:val="right"/>
              <w:textAlignment w:val="bottom"/>
            </w:pPr>
            <w:r>
              <w:rPr>
                <w:rFonts w:ascii="Arial" w:eastAsia="宋体" w:hAnsi="Arial" w:cs="Arial"/>
                <w:color w:val="000000"/>
                <w:sz w:val="18"/>
                <w:szCs w:val="18"/>
              </w:rPr>
              <w:t>3,345 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16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170"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17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172" w14:textId="77777777" w:rsidR="002661BA" w:rsidRDefault="00D972BC">
            <w:pPr>
              <w:jc w:val="right"/>
              <w:textAlignment w:val="bottom"/>
            </w:pPr>
            <w:r>
              <w:rPr>
                <w:rFonts w:ascii="Arial" w:eastAsia="宋体" w:hAnsi="Arial" w:cs="Arial"/>
                <w:color w:val="000000"/>
                <w:sz w:val="18"/>
                <w:szCs w:val="18"/>
              </w:rPr>
              <w:t>1,652 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173" w14:textId="77777777" w:rsidR="002661BA" w:rsidRDefault="002661BA">
            <w:pPr>
              <w:jc w:val="right"/>
              <w:rPr>
                <w:rFonts w:ascii="宋体"/>
              </w:rPr>
            </w:pPr>
          </w:p>
        </w:tc>
      </w:tr>
    </w:tbl>
    <w:p w14:paraId="22CFD175" w14:textId="77777777" w:rsidR="002661BA" w:rsidRDefault="002661BA">
      <w:pPr>
        <w:jc w:val="both"/>
      </w:pPr>
    </w:p>
    <w:p w14:paraId="22CFD176" w14:textId="77777777" w:rsidR="002661BA" w:rsidRDefault="00D972BC">
      <w:pPr>
        <w:spacing w:after="120"/>
        <w:ind w:firstLine="540"/>
        <w:jc w:val="both"/>
      </w:pPr>
      <w:r>
        <w:rPr>
          <w:rFonts w:ascii="Arial" w:eastAsia="宋体" w:hAnsi="Arial" w:cs="Arial"/>
          <w:color w:val="000000"/>
          <w:sz w:val="20"/>
          <w:szCs w:val="20"/>
        </w:rPr>
        <w:t>The following table summarizes the income tax provision (benefit)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876"/>
        <w:gridCol w:w="36"/>
        <w:gridCol w:w="121"/>
        <w:gridCol w:w="899"/>
        <w:gridCol w:w="36"/>
        <w:gridCol w:w="36"/>
        <w:gridCol w:w="36"/>
        <w:gridCol w:w="36"/>
        <w:gridCol w:w="121"/>
        <w:gridCol w:w="899"/>
        <w:gridCol w:w="36"/>
        <w:gridCol w:w="36"/>
        <w:gridCol w:w="36"/>
        <w:gridCol w:w="36"/>
        <w:gridCol w:w="121"/>
        <w:gridCol w:w="901"/>
        <w:gridCol w:w="36"/>
      </w:tblGrid>
      <w:tr w:rsidR="002661BA" w14:paraId="22CFD189" w14:textId="77777777">
        <w:tc>
          <w:tcPr>
            <w:tcW w:w="50" w:type="pct"/>
            <w:shd w:val="clear" w:color="auto" w:fill="auto"/>
            <w:vAlign w:val="bottom"/>
          </w:tcPr>
          <w:p w14:paraId="22CFD177" w14:textId="77777777" w:rsidR="002661BA" w:rsidRDefault="002661BA">
            <w:pPr>
              <w:rPr>
                <w:rFonts w:ascii="宋体"/>
              </w:rPr>
            </w:pPr>
          </w:p>
        </w:tc>
        <w:tc>
          <w:tcPr>
            <w:tcW w:w="2978" w:type="pct"/>
            <w:shd w:val="clear" w:color="auto" w:fill="auto"/>
            <w:vAlign w:val="bottom"/>
          </w:tcPr>
          <w:p w14:paraId="22CFD178" w14:textId="77777777" w:rsidR="002661BA" w:rsidRDefault="002661BA">
            <w:pPr>
              <w:rPr>
                <w:rFonts w:ascii="宋体"/>
              </w:rPr>
            </w:pPr>
          </w:p>
        </w:tc>
        <w:tc>
          <w:tcPr>
            <w:tcW w:w="5" w:type="pct"/>
            <w:shd w:val="clear" w:color="auto" w:fill="auto"/>
            <w:vAlign w:val="bottom"/>
          </w:tcPr>
          <w:p w14:paraId="22CFD179" w14:textId="77777777" w:rsidR="002661BA" w:rsidRDefault="002661BA">
            <w:pPr>
              <w:rPr>
                <w:rFonts w:ascii="宋体"/>
              </w:rPr>
            </w:pPr>
          </w:p>
        </w:tc>
        <w:tc>
          <w:tcPr>
            <w:tcW w:w="50" w:type="pct"/>
            <w:shd w:val="clear" w:color="auto" w:fill="auto"/>
            <w:vAlign w:val="bottom"/>
          </w:tcPr>
          <w:p w14:paraId="22CFD17A" w14:textId="77777777" w:rsidR="002661BA" w:rsidRDefault="002661BA">
            <w:pPr>
              <w:rPr>
                <w:rFonts w:ascii="宋体"/>
              </w:rPr>
            </w:pPr>
          </w:p>
        </w:tc>
        <w:tc>
          <w:tcPr>
            <w:tcW w:w="580" w:type="pct"/>
            <w:shd w:val="clear" w:color="auto" w:fill="auto"/>
            <w:vAlign w:val="bottom"/>
          </w:tcPr>
          <w:p w14:paraId="22CFD17B" w14:textId="77777777" w:rsidR="002661BA" w:rsidRDefault="002661BA">
            <w:pPr>
              <w:rPr>
                <w:rFonts w:ascii="宋体"/>
              </w:rPr>
            </w:pPr>
          </w:p>
        </w:tc>
        <w:tc>
          <w:tcPr>
            <w:tcW w:w="5" w:type="pct"/>
            <w:shd w:val="clear" w:color="auto" w:fill="auto"/>
            <w:vAlign w:val="bottom"/>
          </w:tcPr>
          <w:p w14:paraId="22CFD17C" w14:textId="77777777" w:rsidR="002661BA" w:rsidRDefault="002661BA">
            <w:pPr>
              <w:rPr>
                <w:rFonts w:ascii="宋体"/>
              </w:rPr>
            </w:pPr>
          </w:p>
        </w:tc>
        <w:tc>
          <w:tcPr>
            <w:tcW w:w="5" w:type="pct"/>
            <w:shd w:val="clear" w:color="auto" w:fill="auto"/>
            <w:vAlign w:val="bottom"/>
          </w:tcPr>
          <w:p w14:paraId="22CFD17D" w14:textId="77777777" w:rsidR="002661BA" w:rsidRDefault="002661BA">
            <w:pPr>
              <w:rPr>
                <w:rFonts w:ascii="宋体"/>
              </w:rPr>
            </w:pPr>
          </w:p>
        </w:tc>
        <w:tc>
          <w:tcPr>
            <w:tcW w:w="19" w:type="pct"/>
            <w:shd w:val="clear" w:color="auto" w:fill="auto"/>
            <w:vAlign w:val="bottom"/>
          </w:tcPr>
          <w:p w14:paraId="22CFD17E" w14:textId="77777777" w:rsidR="002661BA" w:rsidRDefault="002661BA">
            <w:pPr>
              <w:rPr>
                <w:rFonts w:ascii="宋体"/>
              </w:rPr>
            </w:pPr>
          </w:p>
        </w:tc>
        <w:tc>
          <w:tcPr>
            <w:tcW w:w="5" w:type="pct"/>
            <w:shd w:val="clear" w:color="auto" w:fill="auto"/>
            <w:vAlign w:val="bottom"/>
          </w:tcPr>
          <w:p w14:paraId="22CFD17F" w14:textId="77777777" w:rsidR="002661BA" w:rsidRDefault="002661BA">
            <w:pPr>
              <w:rPr>
                <w:rFonts w:ascii="宋体"/>
              </w:rPr>
            </w:pPr>
          </w:p>
        </w:tc>
        <w:tc>
          <w:tcPr>
            <w:tcW w:w="50" w:type="pct"/>
            <w:shd w:val="clear" w:color="auto" w:fill="auto"/>
            <w:vAlign w:val="bottom"/>
          </w:tcPr>
          <w:p w14:paraId="22CFD180" w14:textId="77777777" w:rsidR="002661BA" w:rsidRDefault="002661BA">
            <w:pPr>
              <w:rPr>
                <w:rFonts w:ascii="宋体"/>
              </w:rPr>
            </w:pPr>
          </w:p>
        </w:tc>
        <w:tc>
          <w:tcPr>
            <w:tcW w:w="580" w:type="pct"/>
            <w:shd w:val="clear" w:color="auto" w:fill="auto"/>
            <w:vAlign w:val="bottom"/>
          </w:tcPr>
          <w:p w14:paraId="22CFD181" w14:textId="77777777" w:rsidR="002661BA" w:rsidRDefault="002661BA">
            <w:pPr>
              <w:rPr>
                <w:rFonts w:ascii="宋体"/>
              </w:rPr>
            </w:pPr>
          </w:p>
        </w:tc>
        <w:tc>
          <w:tcPr>
            <w:tcW w:w="5" w:type="pct"/>
            <w:shd w:val="clear" w:color="auto" w:fill="auto"/>
            <w:vAlign w:val="bottom"/>
          </w:tcPr>
          <w:p w14:paraId="22CFD182" w14:textId="77777777" w:rsidR="002661BA" w:rsidRDefault="002661BA">
            <w:pPr>
              <w:rPr>
                <w:rFonts w:ascii="宋体"/>
              </w:rPr>
            </w:pPr>
          </w:p>
        </w:tc>
        <w:tc>
          <w:tcPr>
            <w:tcW w:w="5" w:type="pct"/>
            <w:shd w:val="clear" w:color="auto" w:fill="auto"/>
            <w:vAlign w:val="bottom"/>
          </w:tcPr>
          <w:p w14:paraId="22CFD183" w14:textId="77777777" w:rsidR="002661BA" w:rsidRDefault="002661BA">
            <w:pPr>
              <w:rPr>
                <w:rFonts w:ascii="宋体"/>
              </w:rPr>
            </w:pPr>
          </w:p>
        </w:tc>
        <w:tc>
          <w:tcPr>
            <w:tcW w:w="19" w:type="pct"/>
            <w:shd w:val="clear" w:color="auto" w:fill="auto"/>
            <w:vAlign w:val="bottom"/>
          </w:tcPr>
          <w:p w14:paraId="22CFD184" w14:textId="77777777" w:rsidR="002661BA" w:rsidRDefault="002661BA">
            <w:pPr>
              <w:rPr>
                <w:rFonts w:ascii="宋体"/>
              </w:rPr>
            </w:pPr>
          </w:p>
        </w:tc>
        <w:tc>
          <w:tcPr>
            <w:tcW w:w="5" w:type="pct"/>
            <w:shd w:val="clear" w:color="auto" w:fill="auto"/>
            <w:vAlign w:val="bottom"/>
          </w:tcPr>
          <w:p w14:paraId="22CFD185" w14:textId="77777777" w:rsidR="002661BA" w:rsidRDefault="002661BA">
            <w:pPr>
              <w:rPr>
                <w:rFonts w:ascii="宋体"/>
              </w:rPr>
            </w:pPr>
          </w:p>
        </w:tc>
        <w:tc>
          <w:tcPr>
            <w:tcW w:w="50" w:type="pct"/>
            <w:shd w:val="clear" w:color="auto" w:fill="auto"/>
            <w:vAlign w:val="bottom"/>
          </w:tcPr>
          <w:p w14:paraId="22CFD186" w14:textId="77777777" w:rsidR="002661BA" w:rsidRDefault="002661BA">
            <w:pPr>
              <w:rPr>
                <w:rFonts w:ascii="宋体"/>
              </w:rPr>
            </w:pPr>
          </w:p>
        </w:tc>
        <w:tc>
          <w:tcPr>
            <w:tcW w:w="581" w:type="pct"/>
            <w:shd w:val="clear" w:color="auto" w:fill="auto"/>
            <w:vAlign w:val="bottom"/>
          </w:tcPr>
          <w:p w14:paraId="22CFD187" w14:textId="77777777" w:rsidR="002661BA" w:rsidRDefault="002661BA">
            <w:pPr>
              <w:rPr>
                <w:rFonts w:ascii="宋体"/>
              </w:rPr>
            </w:pPr>
          </w:p>
        </w:tc>
        <w:tc>
          <w:tcPr>
            <w:tcW w:w="5" w:type="pct"/>
            <w:shd w:val="clear" w:color="auto" w:fill="auto"/>
            <w:vAlign w:val="bottom"/>
          </w:tcPr>
          <w:p w14:paraId="22CFD188" w14:textId="77777777" w:rsidR="002661BA" w:rsidRDefault="002661BA">
            <w:pPr>
              <w:rPr>
                <w:rFonts w:ascii="宋体"/>
              </w:rPr>
            </w:pPr>
          </w:p>
        </w:tc>
      </w:tr>
      <w:tr w:rsidR="002661BA" w14:paraId="22CFD18C" w14:textId="77777777">
        <w:tc>
          <w:tcPr>
            <w:tcW w:w="0" w:type="auto"/>
            <w:gridSpan w:val="3"/>
            <w:shd w:val="clear" w:color="auto" w:fill="auto"/>
            <w:tcMar>
              <w:top w:w="40" w:type="dxa"/>
              <w:left w:w="20" w:type="dxa"/>
              <w:bottom w:w="40" w:type="dxa"/>
              <w:right w:w="20" w:type="dxa"/>
            </w:tcMar>
            <w:vAlign w:val="bottom"/>
          </w:tcPr>
          <w:p w14:paraId="22CFD18A" w14:textId="77777777" w:rsidR="002661BA" w:rsidRDefault="00D972BC">
            <w:pPr>
              <w:textAlignment w:val="bottom"/>
            </w:pPr>
            <w:r>
              <w:rPr>
                <w:rFonts w:ascii="Arial" w:eastAsia="宋体" w:hAnsi="Arial" w:cs="Arial"/>
                <w:color w:val="000000"/>
                <w:sz w:val="14"/>
                <w:szCs w:val="14"/>
              </w:rPr>
              <w:t> </w:t>
            </w:r>
          </w:p>
        </w:tc>
        <w:tc>
          <w:tcPr>
            <w:tcW w:w="0" w:type="auto"/>
            <w:gridSpan w:val="15"/>
            <w:shd w:val="clear" w:color="auto" w:fill="auto"/>
            <w:tcMar>
              <w:top w:w="40" w:type="dxa"/>
              <w:left w:w="20" w:type="dxa"/>
              <w:bottom w:w="40" w:type="dxa"/>
              <w:right w:w="20" w:type="dxa"/>
            </w:tcMar>
            <w:vAlign w:val="bottom"/>
          </w:tcPr>
          <w:p w14:paraId="22CFD18B"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D193" w14:textId="77777777">
        <w:tc>
          <w:tcPr>
            <w:tcW w:w="0" w:type="auto"/>
            <w:gridSpan w:val="3"/>
            <w:shd w:val="clear" w:color="auto" w:fill="auto"/>
            <w:tcMar>
              <w:top w:w="40" w:type="dxa"/>
              <w:left w:w="20" w:type="dxa"/>
              <w:bottom w:w="40" w:type="dxa"/>
              <w:right w:w="20" w:type="dxa"/>
            </w:tcMar>
            <w:vAlign w:val="bottom"/>
          </w:tcPr>
          <w:p w14:paraId="22CFD18D" w14:textId="77777777" w:rsidR="002661BA" w:rsidRDefault="00D972BC">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18E"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18F"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190"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191"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192"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D19A" w14:textId="77777777">
        <w:tc>
          <w:tcPr>
            <w:tcW w:w="0" w:type="auto"/>
            <w:gridSpan w:val="3"/>
            <w:shd w:val="clear" w:color="auto" w:fill="E2E2E2"/>
            <w:tcMar>
              <w:top w:w="40" w:type="dxa"/>
              <w:left w:w="20" w:type="dxa"/>
              <w:bottom w:w="40" w:type="dxa"/>
              <w:right w:w="20" w:type="dxa"/>
            </w:tcMar>
            <w:vAlign w:val="bottom"/>
          </w:tcPr>
          <w:p w14:paraId="22CFD194" w14:textId="77777777" w:rsidR="002661BA" w:rsidRDefault="00D972BC">
            <w:pPr>
              <w:textAlignment w:val="bottom"/>
            </w:pPr>
            <w:r>
              <w:rPr>
                <w:rFonts w:ascii="Arial" w:eastAsia="宋体" w:hAnsi="Arial" w:cs="Arial"/>
                <w:color w:val="000000"/>
                <w:sz w:val="18"/>
                <w:szCs w:val="18"/>
              </w:rPr>
              <w:t>Current:</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D195"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D196"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D197"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D198"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D199" w14:textId="77777777" w:rsidR="002661BA" w:rsidRDefault="002661BA">
            <w:pPr>
              <w:rPr>
                <w:rFonts w:ascii="宋体"/>
              </w:rPr>
            </w:pPr>
          </w:p>
        </w:tc>
      </w:tr>
      <w:tr w:rsidR="002661BA" w14:paraId="22CFD1A7" w14:textId="77777777">
        <w:tc>
          <w:tcPr>
            <w:tcW w:w="0" w:type="auto"/>
            <w:gridSpan w:val="3"/>
            <w:shd w:val="clear" w:color="auto" w:fill="FFFFFF"/>
            <w:tcMar>
              <w:top w:w="40" w:type="dxa"/>
              <w:left w:w="245" w:type="dxa"/>
              <w:bottom w:w="40" w:type="dxa"/>
              <w:right w:w="20" w:type="dxa"/>
            </w:tcMar>
            <w:vAlign w:val="bottom"/>
          </w:tcPr>
          <w:p w14:paraId="22CFD19B" w14:textId="77777777" w:rsidR="002661BA" w:rsidRDefault="00D972BC">
            <w:pPr>
              <w:textAlignment w:val="bottom"/>
            </w:pPr>
            <w:r>
              <w:rPr>
                <w:rFonts w:ascii="Arial" w:eastAsia="宋体" w:hAnsi="Arial" w:cs="Arial"/>
                <w:color w:val="000000"/>
                <w:sz w:val="18"/>
                <w:szCs w:val="18"/>
              </w:rPr>
              <w:t>Federal</w:t>
            </w:r>
          </w:p>
        </w:tc>
        <w:tc>
          <w:tcPr>
            <w:tcW w:w="0" w:type="auto"/>
            <w:shd w:val="clear" w:color="auto" w:fill="FFFFFF"/>
            <w:tcMar>
              <w:top w:w="40" w:type="dxa"/>
              <w:left w:w="20" w:type="dxa"/>
              <w:bottom w:w="40" w:type="dxa"/>
              <w:right w:w="0" w:type="dxa"/>
            </w:tcMar>
            <w:vAlign w:val="bottom"/>
          </w:tcPr>
          <w:p w14:paraId="22CFD19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19D" w14:textId="77777777" w:rsidR="002661BA" w:rsidRDefault="00D972BC">
            <w:pPr>
              <w:jc w:val="right"/>
              <w:textAlignment w:val="bottom"/>
            </w:pPr>
            <w:r>
              <w:rPr>
                <w:rFonts w:ascii="Arial" w:eastAsia="宋体" w:hAnsi="Arial" w:cs="Arial"/>
                <w:color w:val="000000"/>
                <w:sz w:val="18"/>
                <w:szCs w:val="18"/>
              </w:rPr>
              <w:t>472 </w:t>
            </w:r>
          </w:p>
        </w:tc>
        <w:tc>
          <w:tcPr>
            <w:tcW w:w="0" w:type="auto"/>
            <w:shd w:val="clear" w:color="auto" w:fill="FFFFFF"/>
            <w:tcMar>
              <w:top w:w="40" w:type="dxa"/>
              <w:left w:w="0" w:type="dxa"/>
              <w:bottom w:w="40" w:type="dxa"/>
              <w:right w:w="20" w:type="dxa"/>
            </w:tcMar>
            <w:vAlign w:val="bottom"/>
          </w:tcPr>
          <w:p w14:paraId="22CFD19E"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19F"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FFFFFF"/>
            <w:tcMar>
              <w:top w:w="40" w:type="dxa"/>
              <w:left w:w="20" w:type="dxa"/>
              <w:bottom w:w="40" w:type="dxa"/>
              <w:right w:w="0" w:type="dxa"/>
            </w:tcMar>
            <w:vAlign w:val="bottom"/>
          </w:tcPr>
          <w:p w14:paraId="22CFD1A0"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1A1" w14:textId="77777777" w:rsidR="002661BA" w:rsidRDefault="00D972BC">
            <w:pPr>
              <w:jc w:val="right"/>
              <w:textAlignment w:val="bottom"/>
            </w:pPr>
            <w:r>
              <w:rPr>
                <w:rFonts w:ascii="Arial" w:eastAsia="宋体" w:hAnsi="Arial" w:cs="Arial"/>
                <w:color w:val="000000"/>
                <w:sz w:val="18"/>
                <w:szCs w:val="18"/>
              </w:rPr>
              <w:t>266 </w:t>
            </w:r>
          </w:p>
        </w:tc>
        <w:tc>
          <w:tcPr>
            <w:tcW w:w="0" w:type="auto"/>
            <w:shd w:val="clear" w:color="auto" w:fill="FFFFFF"/>
            <w:tcMar>
              <w:top w:w="40" w:type="dxa"/>
              <w:left w:w="0" w:type="dxa"/>
              <w:bottom w:w="40" w:type="dxa"/>
              <w:right w:w="20" w:type="dxa"/>
            </w:tcMar>
            <w:vAlign w:val="bottom"/>
          </w:tcPr>
          <w:p w14:paraId="22CFD1A2"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1A3"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FFFFFF"/>
            <w:tcMar>
              <w:top w:w="40" w:type="dxa"/>
              <w:left w:w="20" w:type="dxa"/>
              <w:bottom w:w="40" w:type="dxa"/>
              <w:right w:w="0" w:type="dxa"/>
            </w:tcMar>
            <w:vAlign w:val="bottom"/>
          </w:tcPr>
          <w:p w14:paraId="22CFD1A4"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1A5" w14:textId="77777777" w:rsidR="002661BA" w:rsidRDefault="00D972BC">
            <w:pPr>
              <w:jc w:val="right"/>
              <w:textAlignment w:val="bottom"/>
            </w:pPr>
            <w:r>
              <w:rPr>
                <w:rFonts w:ascii="Arial" w:eastAsia="宋体" w:hAnsi="Arial" w:cs="Arial"/>
                <w:color w:val="000000"/>
                <w:sz w:val="18"/>
                <w:szCs w:val="18"/>
              </w:rPr>
              <w:t>48 </w:t>
            </w:r>
          </w:p>
        </w:tc>
        <w:tc>
          <w:tcPr>
            <w:tcW w:w="0" w:type="auto"/>
            <w:shd w:val="clear" w:color="auto" w:fill="FFFFFF"/>
            <w:tcMar>
              <w:top w:w="40" w:type="dxa"/>
              <w:left w:w="0" w:type="dxa"/>
              <w:bottom w:w="40" w:type="dxa"/>
              <w:right w:w="20" w:type="dxa"/>
            </w:tcMar>
            <w:vAlign w:val="bottom"/>
          </w:tcPr>
          <w:p w14:paraId="22CFD1A6" w14:textId="77777777" w:rsidR="002661BA" w:rsidRDefault="002661BA">
            <w:pPr>
              <w:jc w:val="right"/>
              <w:rPr>
                <w:rFonts w:ascii="宋体"/>
              </w:rPr>
            </w:pPr>
          </w:p>
        </w:tc>
      </w:tr>
      <w:tr w:rsidR="002661BA" w14:paraId="22CFD1B1" w14:textId="77777777">
        <w:tc>
          <w:tcPr>
            <w:tcW w:w="0" w:type="auto"/>
            <w:gridSpan w:val="3"/>
            <w:shd w:val="clear" w:color="auto" w:fill="E2E2E2"/>
            <w:tcMar>
              <w:top w:w="40" w:type="dxa"/>
              <w:left w:w="245" w:type="dxa"/>
              <w:bottom w:w="40" w:type="dxa"/>
              <w:right w:w="20" w:type="dxa"/>
            </w:tcMar>
            <w:vAlign w:val="bottom"/>
          </w:tcPr>
          <w:p w14:paraId="22CFD1A8" w14:textId="77777777" w:rsidR="002661BA" w:rsidRDefault="00D972BC">
            <w:pPr>
              <w:textAlignment w:val="bottom"/>
            </w:pPr>
            <w:r>
              <w:rPr>
                <w:rFonts w:ascii="Arial" w:eastAsia="宋体" w:hAnsi="Arial" w:cs="Arial"/>
                <w:color w:val="000000"/>
                <w:sz w:val="18"/>
                <w:szCs w:val="18"/>
              </w:rPr>
              <w:t>State and local</w:t>
            </w:r>
          </w:p>
        </w:tc>
        <w:tc>
          <w:tcPr>
            <w:tcW w:w="0" w:type="auto"/>
            <w:gridSpan w:val="2"/>
            <w:shd w:val="clear" w:color="auto" w:fill="E2E2E2"/>
            <w:tcMar>
              <w:top w:w="40" w:type="dxa"/>
              <w:left w:w="20" w:type="dxa"/>
              <w:bottom w:w="40" w:type="dxa"/>
              <w:right w:w="0" w:type="dxa"/>
            </w:tcMar>
            <w:vAlign w:val="bottom"/>
          </w:tcPr>
          <w:p w14:paraId="22CFD1A9" w14:textId="77777777" w:rsidR="002661BA" w:rsidRDefault="00D972BC">
            <w:pPr>
              <w:jc w:val="right"/>
              <w:textAlignment w:val="bottom"/>
            </w:pPr>
            <w:r>
              <w:rPr>
                <w:rFonts w:ascii="Arial" w:eastAsia="宋体" w:hAnsi="Arial" w:cs="Arial"/>
                <w:color w:val="000000"/>
                <w:sz w:val="18"/>
                <w:szCs w:val="18"/>
              </w:rPr>
              <w:t>128 </w:t>
            </w:r>
          </w:p>
        </w:tc>
        <w:tc>
          <w:tcPr>
            <w:tcW w:w="0" w:type="auto"/>
            <w:shd w:val="clear" w:color="auto" w:fill="E2E2E2"/>
            <w:tcMar>
              <w:top w:w="40" w:type="dxa"/>
              <w:left w:w="0" w:type="dxa"/>
              <w:bottom w:w="40" w:type="dxa"/>
              <w:right w:w="20" w:type="dxa"/>
            </w:tcMar>
            <w:vAlign w:val="bottom"/>
          </w:tcPr>
          <w:p w14:paraId="22CFD1AA"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1AB"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D1AC" w14:textId="77777777" w:rsidR="002661BA" w:rsidRDefault="00D972BC">
            <w:pPr>
              <w:jc w:val="right"/>
              <w:textAlignment w:val="bottom"/>
            </w:pPr>
            <w:r>
              <w:rPr>
                <w:rFonts w:ascii="Arial" w:eastAsia="宋体" w:hAnsi="Arial" w:cs="Arial"/>
                <w:color w:val="000000"/>
                <w:sz w:val="18"/>
                <w:szCs w:val="18"/>
              </w:rPr>
              <w:t>87 </w:t>
            </w:r>
          </w:p>
        </w:tc>
        <w:tc>
          <w:tcPr>
            <w:tcW w:w="0" w:type="auto"/>
            <w:shd w:val="clear" w:color="auto" w:fill="E2E2E2"/>
            <w:tcMar>
              <w:top w:w="40" w:type="dxa"/>
              <w:left w:w="0" w:type="dxa"/>
              <w:bottom w:w="40" w:type="dxa"/>
              <w:right w:w="20" w:type="dxa"/>
            </w:tcMar>
            <w:vAlign w:val="bottom"/>
          </w:tcPr>
          <w:p w14:paraId="22CFD1AD"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1AE"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D1AF" w14:textId="77777777" w:rsidR="002661BA" w:rsidRDefault="00D972BC">
            <w:pPr>
              <w:jc w:val="right"/>
              <w:textAlignment w:val="bottom"/>
            </w:pPr>
            <w:r>
              <w:rPr>
                <w:rFonts w:ascii="Arial" w:eastAsia="宋体" w:hAnsi="Arial" w:cs="Arial"/>
                <w:color w:val="000000"/>
                <w:sz w:val="18"/>
                <w:szCs w:val="18"/>
              </w:rPr>
              <w:t>23 </w:t>
            </w:r>
          </w:p>
        </w:tc>
        <w:tc>
          <w:tcPr>
            <w:tcW w:w="0" w:type="auto"/>
            <w:shd w:val="clear" w:color="auto" w:fill="E2E2E2"/>
            <w:tcMar>
              <w:top w:w="40" w:type="dxa"/>
              <w:left w:w="0" w:type="dxa"/>
              <w:bottom w:w="40" w:type="dxa"/>
              <w:right w:w="20" w:type="dxa"/>
            </w:tcMar>
            <w:vAlign w:val="bottom"/>
          </w:tcPr>
          <w:p w14:paraId="22CFD1B0" w14:textId="77777777" w:rsidR="002661BA" w:rsidRDefault="002661BA">
            <w:pPr>
              <w:jc w:val="right"/>
              <w:rPr>
                <w:rFonts w:ascii="宋体"/>
              </w:rPr>
            </w:pPr>
          </w:p>
        </w:tc>
      </w:tr>
      <w:tr w:rsidR="002661BA" w14:paraId="22CFD1BB" w14:textId="77777777">
        <w:tc>
          <w:tcPr>
            <w:tcW w:w="0" w:type="auto"/>
            <w:gridSpan w:val="3"/>
            <w:shd w:val="clear" w:color="auto" w:fill="FFFFFF"/>
            <w:tcMar>
              <w:top w:w="40" w:type="dxa"/>
              <w:left w:w="245" w:type="dxa"/>
              <w:bottom w:w="40" w:type="dxa"/>
              <w:right w:w="20" w:type="dxa"/>
            </w:tcMar>
            <w:vAlign w:val="bottom"/>
          </w:tcPr>
          <w:p w14:paraId="22CFD1B2" w14:textId="77777777" w:rsidR="002661BA" w:rsidRDefault="00D972BC">
            <w:pPr>
              <w:textAlignment w:val="bottom"/>
            </w:pPr>
            <w:r>
              <w:rPr>
                <w:rFonts w:ascii="Arial" w:eastAsia="宋体" w:hAnsi="Arial" w:cs="Arial"/>
                <w:color w:val="000000"/>
                <w:sz w:val="18"/>
                <w:szCs w:val="18"/>
              </w:rPr>
              <w:t>Foreign</w:t>
            </w:r>
          </w:p>
        </w:tc>
        <w:tc>
          <w:tcPr>
            <w:tcW w:w="0" w:type="auto"/>
            <w:gridSpan w:val="2"/>
            <w:shd w:val="clear" w:color="auto" w:fill="FFFFFF"/>
            <w:tcMar>
              <w:top w:w="40" w:type="dxa"/>
              <w:left w:w="20" w:type="dxa"/>
              <w:bottom w:w="40" w:type="dxa"/>
              <w:right w:w="0" w:type="dxa"/>
            </w:tcMar>
            <w:vAlign w:val="bottom"/>
          </w:tcPr>
          <w:p w14:paraId="22CFD1B3" w14:textId="77777777" w:rsidR="002661BA" w:rsidRDefault="00D972BC">
            <w:pPr>
              <w:jc w:val="right"/>
              <w:textAlignment w:val="bottom"/>
            </w:pPr>
            <w:r>
              <w:rPr>
                <w:rFonts w:ascii="Arial" w:eastAsia="宋体" w:hAnsi="Arial" w:cs="Arial"/>
                <w:color w:val="000000"/>
                <w:sz w:val="18"/>
                <w:szCs w:val="18"/>
              </w:rPr>
              <w:t>228 </w:t>
            </w:r>
          </w:p>
        </w:tc>
        <w:tc>
          <w:tcPr>
            <w:tcW w:w="0" w:type="auto"/>
            <w:shd w:val="clear" w:color="auto" w:fill="FFFFFF"/>
            <w:tcMar>
              <w:top w:w="40" w:type="dxa"/>
              <w:left w:w="0" w:type="dxa"/>
              <w:bottom w:w="40" w:type="dxa"/>
              <w:right w:w="20" w:type="dxa"/>
            </w:tcMar>
            <w:vAlign w:val="bottom"/>
          </w:tcPr>
          <w:p w14:paraId="22CFD1B4"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1B5"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D1B6" w14:textId="77777777" w:rsidR="002661BA" w:rsidRDefault="00D972BC">
            <w:pPr>
              <w:jc w:val="right"/>
              <w:textAlignment w:val="bottom"/>
            </w:pPr>
            <w:r>
              <w:rPr>
                <w:rFonts w:ascii="Arial" w:eastAsia="宋体" w:hAnsi="Arial" w:cs="Arial"/>
                <w:color w:val="000000"/>
                <w:sz w:val="18"/>
                <w:szCs w:val="18"/>
              </w:rPr>
              <w:t>91 </w:t>
            </w:r>
          </w:p>
        </w:tc>
        <w:tc>
          <w:tcPr>
            <w:tcW w:w="0" w:type="auto"/>
            <w:shd w:val="clear" w:color="auto" w:fill="FFFFFF"/>
            <w:tcMar>
              <w:top w:w="40" w:type="dxa"/>
              <w:left w:w="0" w:type="dxa"/>
              <w:bottom w:w="40" w:type="dxa"/>
              <w:right w:w="20" w:type="dxa"/>
            </w:tcMar>
            <w:vAlign w:val="bottom"/>
          </w:tcPr>
          <w:p w14:paraId="22CFD1B7"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1B8"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D1B9" w14:textId="77777777" w:rsidR="002661BA" w:rsidRDefault="00D972BC">
            <w:pPr>
              <w:jc w:val="right"/>
              <w:textAlignment w:val="bottom"/>
            </w:pPr>
            <w:r>
              <w:rPr>
                <w:rFonts w:ascii="Arial" w:eastAsia="宋体" w:hAnsi="Arial" w:cs="Arial"/>
                <w:color w:val="000000"/>
                <w:sz w:val="18"/>
                <w:szCs w:val="18"/>
              </w:rPr>
              <w:t>149 </w:t>
            </w:r>
          </w:p>
        </w:tc>
        <w:tc>
          <w:tcPr>
            <w:tcW w:w="0" w:type="auto"/>
            <w:shd w:val="clear" w:color="auto" w:fill="FFFFFF"/>
            <w:tcMar>
              <w:top w:w="40" w:type="dxa"/>
              <w:left w:w="0" w:type="dxa"/>
              <w:bottom w:w="40" w:type="dxa"/>
              <w:right w:w="20" w:type="dxa"/>
            </w:tcMar>
            <w:vAlign w:val="bottom"/>
          </w:tcPr>
          <w:p w14:paraId="22CFD1BA" w14:textId="77777777" w:rsidR="002661BA" w:rsidRDefault="002661BA">
            <w:pPr>
              <w:jc w:val="right"/>
              <w:rPr>
                <w:rFonts w:ascii="宋体"/>
              </w:rPr>
            </w:pPr>
          </w:p>
        </w:tc>
      </w:tr>
      <w:tr w:rsidR="002661BA" w14:paraId="22CFD1C8" w14:textId="77777777">
        <w:tc>
          <w:tcPr>
            <w:tcW w:w="0" w:type="auto"/>
            <w:gridSpan w:val="3"/>
            <w:shd w:val="clear" w:color="auto" w:fill="E2E2E2"/>
            <w:tcMar>
              <w:top w:w="0" w:type="dxa"/>
              <w:left w:w="20" w:type="dxa"/>
              <w:bottom w:w="0" w:type="dxa"/>
              <w:right w:w="20" w:type="dxa"/>
            </w:tcMar>
            <w:vAlign w:val="bottom"/>
          </w:tcPr>
          <w:p w14:paraId="22CFD1BC"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1B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1BE" w14:textId="77777777" w:rsidR="002661BA" w:rsidRDefault="00D972BC">
            <w:pPr>
              <w:jc w:val="right"/>
              <w:textAlignment w:val="bottom"/>
            </w:pPr>
            <w:r>
              <w:rPr>
                <w:rFonts w:ascii="Arial" w:eastAsia="宋体" w:hAnsi="Arial" w:cs="Arial"/>
                <w:color w:val="000000"/>
                <w:sz w:val="18"/>
                <w:szCs w:val="18"/>
              </w:rPr>
              <w:t>828 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1BF"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1C0"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D1C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1C2" w14:textId="77777777" w:rsidR="002661BA" w:rsidRDefault="00D972BC">
            <w:pPr>
              <w:jc w:val="right"/>
              <w:textAlignment w:val="bottom"/>
            </w:pPr>
            <w:r>
              <w:rPr>
                <w:rFonts w:ascii="Arial" w:eastAsia="宋体" w:hAnsi="Arial" w:cs="Arial"/>
                <w:color w:val="000000"/>
                <w:sz w:val="18"/>
                <w:szCs w:val="18"/>
              </w:rPr>
              <w:t>444 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1C3"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1C4"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D1C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1C6" w14:textId="77777777" w:rsidR="002661BA" w:rsidRDefault="00D972BC">
            <w:pPr>
              <w:jc w:val="right"/>
              <w:textAlignment w:val="bottom"/>
            </w:pPr>
            <w:r>
              <w:rPr>
                <w:rFonts w:ascii="Arial" w:eastAsia="宋体" w:hAnsi="Arial" w:cs="Arial"/>
                <w:color w:val="000000"/>
                <w:sz w:val="18"/>
                <w:szCs w:val="18"/>
              </w:rPr>
              <w:t>220 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1C7" w14:textId="77777777" w:rsidR="002661BA" w:rsidRDefault="002661BA">
            <w:pPr>
              <w:jc w:val="right"/>
              <w:rPr>
                <w:rFonts w:ascii="宋体"/>
              </w:rPr>
            </w:pPr>
          </w:p>
        </w:tc>
      </w:tr>
      <w:tr w:rsidR="002661BA" w14:paraId="22CFD1CF" w14:textId="77777777">
        <w:tc>
          <w:tcPr>
            <w:tcW w:w="0" w:type="auto"/>
            <w:gridSpan w:val="3"/>
            <w:shd w:val="clear" w:color="auto" w:fill="FFFFFF"/>
            <w:tcMar>
              <w:top w:w="40" w:type="dxa"/>
              <w:left w:w="20" w:type="dxa"/>
              <w:bottom w:w="40" w:type="dxa"/>
              <w:right w:w="20" w:type="dxa"/>
            </w:tcMar>
            <w:vAlign w:val="bottom"/>
          </w:tcPr>
          <w:p w14:paraId="22CFD1C9" w14:textId="77777777" w:rsidR="002661BA" w:rsidRDefault="00D972BC">
            <w:pPr>
              <w:textAlignment w:val="bottom"/>
            </w:pPr>
            <w:r>
              <w:rPr>
                <w:rFonts w:ascii="Arial" w:eastAsia="宋体" w:hAnsi="Arial" w:cs="Arial"/>
                <w:color w:val="000000"/>
                <w:sz w:val="18"/>
                <w:szCs w:val="18"/>
              </w:rPr>
              <w:t>Deferred:</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D1CA"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D1CB"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D1CC"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D1CD"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2CFD1CE" w14:textId="77777777" w:rsidR="002661BA" w:rsidRDefault="002661BA">
            <w:pPr>
              <w:rPr>
                <w:rFonts w:ascii="宋体"/>
              </w:rPr>
            </w:pPr>
          </w:p>
        </w:tc>
      </w:tr>
      <w:tr w:rsidR="002661BA" w14:paraId="22CFD1DC" w14:textId="77777777">
        <w:tc>
          <w:tcPr>
            <w:tcW w:w="0" w:type="auto"/>
            <w:gridSpan w:val="3"/>
            <w:shd w:val="clear" w:color="auto" w:fill="E2E2E2"/>
            <w:tcMar>
              <w:top w:w="40" w:type="dxa"/>
              <w:left w:w="245" w:type="dxa"/>
              <w:bottom w:w="40" w:type="dxa"/>
              <w:right w:w="20" w:type="dxa"/>
            </w:tcMar>
            <w:vAlign w:val="bottom"/>
          </w:tcPr>
          <w:p w14:paraId="22CFD1D0" w14:textId="77777777" w:rsidR="002661BA" w:rsidRDefault="00D972BC">
            <w:pPr>
              <w:textAlignment w:val="bottom"/>
            </w:pPr>
            <w:r>
              <w:rPr>
                <w:rFonts w:ascii="Arial" w:eastAsia="宋体" w:hAnsi="Arial" w:cs="Arial"/>
                <w:color w:val="000000"/>
                <w:sz w:val="18"/>
                <w:szCs w:val="18"/>
              </w:rPr>
              <w:t>Federal</w:t>
            </w:r>
          </w:p>
        </w:tc>
        <w:tc>
          <w:tcPr>
            <w:tcW w:w="0" w:type="auto"/>
            <w:shd w:val="clear" w:color="auto" w:fill="E2E2E2"/>
            <w:tcMar>
              <w:top w:w="40" w:type="dxa"/>
              <w:left w:w="20" w:type="dxa"/>
              <w:bottom w:w="40" w:type="dxa"/>
              <w:right w:w="0" w:type="dxa"/>
            </w:tcMar>
            <w:vAlign w:val="bottom"/>
          </w:tcPr>
          <w:p w14:paraId="22CFD1D1"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1D2" w14:textId="77777777" w:rsidR="002661BA" w:rsidRDefault="00D972BC">
            <w:pPr>
              <w:jc w:val="right"/>
              <w:textAlignment w:val="bottom"/>
            </w:pPr>
            <w:r>
              <w:rPr>
                <w:rFonts w:ascii="Arial" w:eastAsia="宋体" w:hAnsi="Arial" w:cs="Arial"/>
                <w:color w:val="000000"/>
                <w:sz w:val="18"/>
                <w:szCs w:val="18"/>
              </w:rPr>
              <w:t>(755)</w:t>
            </w:r>
          </w:p>
        </w:tc>
        <w:tc>
          <w:tcPr>
            <w:tcW w:w="0" w:type="auto"/>
            <w:shd w:val="clear" w:color="auto" w:fill="E2E2E2"/>
            <w:tcMar>
              <w:top w:w="40" w:type="dxa"/>
              <w:left w:w="0" w:type="dxa"/>
              <w:bottom w:w="40" w:type="dxa"/>
              <w:right w:w="20" w:type="dxa"/>
            </w:tcMar>
            <w:vAlign w:val="bottom"/>
          </w:tcPr>
          <w:p w14:paraId="22CFD1D3"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1D4"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E2E2E2"/>
            <w:tcMar>
              <w:top w:w="40" w:type="dxa"/>
              <w:left w:w="20" w:type="dxa"/>
              <w:bottom w:w="40" w:type="dxa"/>
              <w:right w:w="0" w:type="dxa"/>
            </w:tcMar>
            <w:vAlign w:val="bottom"/>
          </w:tcPr>
          <w:p w14:paraId="22CFD1D5"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1D6" w14:textId="77777777" w:rsidR="002661BA" w:rsidRDefault="00D972BC">
            <w:pPr>
              <w:jc w:val="right"/>
              <w:textAlignment w:val="bottom"/>
            </w:pPr>
            <w:r>
              <w:rPr>
                <w:rFonts w:ascii="Arial" w:eastAsia="宋体" w:hAnsi="Arial" w:cs="Arial"/>
                <w:color w:val="000000"/>
                <w:sz w:val="18"/>
                <w:szCs w:val="18"/>
              </w:rPr>
              <w:t>(73)</w:t>
            </w:r>
          </w:p>
        </w:tc>
        <w:tc>
          <w:tcPr>
            <w:tcW w:w="0" w:type="auto"/>
            <w:shd w:val="clear" w:color="auto" w:fill="E2E2E2"/>
            <w:tcMar>
              <w:top w:w="40" w:type="dxa"/>
              <w:left w:w="0" w:type="dxa"/>
              <w:bottom w:w="40" w:type="dxa"/>
              <w:right w:w="20" w:type="dxa"/>
            </w:tcMar>
            <w:vAlign w:val="bottom"/>
          </w:tcPr>
          <w:p w14:paraId="22CFD1D7"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1D8"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E2E2E2"/>
            <w:tcMar>
              <w:top w:w="40" w:type="dxa"/>
              <w:left w:w="20" w:type="dxa"/>
              <w:bottom w:w="40" w:type="dxa"/>
              <w:right w:w="0" w:type="dxa"/>
            </w:tcMar>
            <w:vAlign w:val="bottom"/>
          </w:tcPr>
          <w:p w14:paraId="22CFD1D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1DA" w14:textId="77777777" w:rsidR="002661BA" w:rsidRDefault="00D972BC">
            <w:pPr>
              <w:jc w:val="right"/>
              <w:textAlignment w:val="bottom"/>
            </w:pPr>
            <w:r>
              <w:rPr>
                <w:rFonts w:ascii="Arial" w:eastAsia="宋体" w:hAnsi="Arial" w:cs="Arial"/>
                <w:color w:val="000000"/>
                <w:sz w:val="18"/>
                <w:szCs w:val="18"/>
              </w:rPr>
              <w:t>(159)</w:t>
            </w:r>
          </w:p>
        </w:tc>
        <w:tc>
          <w:tcPr>
            <w:tcW w:w="0" w:type="auto"/>
            <w:shd w:val="clear" w:color="auto" w:fill="E2E2E2"/>
            <w:tcMar>
              <w:top w:w="40" w:type="dxa"/>
              <w:left w:w="0" w:type="dxa"/>
              <w:bottom w:w="40" w:type="dxa"/>
              <w:right w:w="20" w:type="dxa"/>
            </w:tcMar>
            <w:vAlign w:val="bottom"/>
          </w:tcPr>
          <w:p w14:paraId="22CFD1DB" w14:textId="77777777" w:rsidR="002661BA" w:rsidRDefault="002661BA">
            <w:pPr>
              <w:jc w:val="right"/>
              <w:rPr>
                <w:rFonts w:ascii="宋体"/>
              </w:rPr>
            </w:pPr>
          </w:p>
        </w:tc>
      </w:tr>
      <w:tr w:rsidR="002661BA" w14:paraId="22CFD1E6" w14:textId="77777777">
        <w:tc>
          <w:tcPr>
            <w:tcW w:w="0" w:type="auto"/>
            <w:gridSpan w:val="3"/>
            <w:shd w:val="clear" w:color="auto" w:fill="FFFFFF"/>
            <w:tcMar>
              <w:top w:w="40" w:type="dxa"/>
              <w:left w:w="245" w:type="dxa"/>
              <w:bottom w:w="40" w:type="dxa"/>
              <w:right w:w="20" w:type="dxa"/>
            </w:tcMar>
            <w:vAlign w:val="bottom"/>
          </w:tcPr>
          <w:p w14:paraId="22CFD1DD" w14:textId="77777777" w:rsidR="002661BA" w:rsidRDefault="00D972BC">
            <w:pPr>
              <w:textAlignment w:val="bottom"/>
            </w:pPr>
            <w:r>
              <w:rPr>
                <w:rFonts w:ascii="Arial" w:eastAsia="宋体" w:hAnsi="Arial" w:cs="Arial"/>
                <w:color w:val="000000"/>
                <w:sz w:val="18"/>
                <w:szCs w:val="18"/>
              </w:rPr>
              <w:t>State and local</w:t>
            </w:r>
          </w:p>
        </w:tc>
        <w:tc>
          <w:tcPr>
            <w:tcW w:w="0" w:type="auto"/>
            <w:gridSpan w:val="2"/>
            <w:shd w:val="clear" w:color="auto" w:fill="FFFFFF"/>
            <w:tcMar>
              <w:top w:w="40" w:type="dxa"/>
              <w:left w:w="20" w:type="dxa"/>
              <w:bottom w:w="40" w:type="dxa"/>
              <w:right w:w="0" w:type="dxa"/>
            </w:tcMar>
            <w:vAlign w:val="bottom"/>
          </w:tcPr>
          <w:p w14:paraId="22CFD1DE" w14:textId="77777777" w:rsidR="002661BA" w:rsidRDefault="00D972BC">
            <w:pPr>
              <w:jc w:val="right"/>
              <w:textAlignment w:val="bottom"/>
            </w:pPr>
            <w:r>
              <w:rPr>
                <w:rFonts w:ascii="Arial" w:eastAsia="宋体" w:hAnsi="Arial" w:cs="Arial"/>
                <w:color w:val="000000"/>
                <w:sz w:val="18"/>
                <w:szCs w:val="18"/>
              </w:rPr>
              <w:t>(125)</w:t>
            </w:r>
          </w:p>
        </w:tc>
        <w:tc>
          <w:tcPr>
            <w:tcW w:w="0" w:type="auto"/>
            <w:shd w:val="clear" w:color="auto" w:fill="FFFFFF"/>
            <w:tcMar>
              <w:top w:w="40" w:type="dxa"/>
              <w:left w:w="0" w:type="dxa"/>
              <w:bottom w:w="40" w:type="dxa"/>
              <w:right w:w="20" w:type="dxa"/>
            </w:tcMar>
            <w:vAlign w:val="bottom"/>
          </w:tcPr>
          <w:p w14:paraId="22CFD1DF"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1E0"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D1E1" w14:textId="77777777" w:rsidR="002661BA" w:rsidRDefault="00D972BC">
            <w:pPr>
              <w:jc w:val="right"/>
              <w:textAlignment w:val="bottom"/>
            </w:pPr>
            <w:r>
              <w:rPr>
                <w:rFonts w:ascii="Arial" w:eastAsia="宋体" w:hAnsi="Arial" w:cs="Arial"/>
                <w:color w:val="000000"/>
                <w:sz w:val="18"/>
                <w:szCs w:val="18"/>
              </w:rPr>
              <w:t>(8)</w:t>
            </w:r>
          </w:p>
        </w:tc>
        <w:tc>
          <w:tcPr>
            <w:tcW w:w="0" w:type="auto"/>
            <w:shd w:val="clear" w:color="auto" w:fill="FFFFFF"/>
            <w:tcMar>
              <w:top w:w="40" w:type="dxa"/>
              <w:left w:w="0" w:type="dxa"/>
              <w:bottom w:w="40" w:type="dxa"/>
              <w:right w:w="20" w:type="dxa"/>
            </w:tcMar>
            <w:vAlign w:val="bottom"/>
          </w:tcPr>
          <w:p w14:paraId="22CFD1E2"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1E3"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D1E4" w14:textId="77777777" w:rsidR="002661BA" w:rsidRDefault="00D972BC">
            <w:pPr>
              <w:jc w:val="right"/>
              <w:textAlignment w:val="bottom"/>
            </w:pPr>
            <w:r>
              <w:rPr>
                <w:rFonts w:ascii="Arial" w:eastAsia="宋体" w:hAnsi="Arial" w:cs="Arial"/>
                <w:color w:val="000000"/>
                <w:sz w:val="18"/>
                <w:szCs w:val="18"/>
              </w:rPr>
              <w:t>(44)</w:t>
            </w:r>
          </w:p>
        </w:tc>
        <w:tc>
          <w:tcPr>
            <w:tcW w:w="0" w:type="auto"/>
            <w:shd w:val="clear" w:color="auto" w:fill="FFFFFF"/>
            <w:tcMar>
              <w:top w:w="40" w:type="dxa"/>
              <w:left w:w="0" w:type="dxa"/>
              <w:bottom w:w="40" w:type="dxa"/>
              <w:right w:w="20" w:type="dxa"/>
            </w:tcMar>
            <w:vAlign w:val="bottom"/>
          </w:tcPr>
          <w:p w14:paraId="22CFD1E5" w14:textId="77777777" w:rsidR="002661BA" w:rsidRDefault="002661BA">
            <w:pPr>
              <w:jc w:val="right"/>
              <w:rPr>
                <w:rFonts w:ascii="宋体"/>
              </w:rPr>
            </w:pPr>
          </w:p>
        </w:tc>
      </w:tr>
      <w:tr w:rsidR="002661BA" w14:paraId="22CFD1F0" w14:textId="77777777">
        <w:tc>
          <w:tcPr>
            <w:tcW w:w="0" w:type="auto"/>
            <w:gridSpan w:val="3"/>
            <w:shd w:val="clear" w:color="auto" w:fill="E2E2E2"/>
            <w:tcMar>
              <w:top w:w="40" w:type="dxa"/>
              <w:left w:w="245" w:type="dxa"/>
              <w:bottom w:w="40" w:type="dxa"/>
              <w:right w:w="20" w:type="dxa"/>
            </w:tcMar>
            <w:vAlign w:val="bottom"/>
          </w:tcPr>
          <w:p w14:paraId="22CFD1E7" w14:textId="77777777" w:rsidR="002661BA" w:rsidRDefault="00D972BC">
            <w:pPr>
              <w:textAlignment w:val="bottom"/>
            </w:pPr>
            <w:r>
              <w:rPr>
                <w:rFonts w:ascii="Arial" w:eastAsia="宋体" w:hAnsi="Arial" w:cs="Arial"/>
                <w:color w:val="000000"/>
                <w:sz w:val="18"/>
                <w:szCs w:val="18"/>
              </w:rPr>
              <w:t>Foreign</w:t>
            </w:r>
          </w:p>
        </w:tc>
        <w:tc>
          <w:tcPr>
            <w:tcW w:w="0" w:type="auto"/>
            <w:gridSpan w:val="2"/>
            <w:shd w:val="clear" w:color="auto" w:fill="E2E2E2"/>
            <w:tcMar>
              <w:top w:w="40" w:type="dxa"/>
              <w:left w:w="20" w:type="dxa"/>
              <w:bottom w:w="40" w:type="dxa"/>
              <w:right w:w="0" w:type="dxa"/>
            </w:tcMar>
            <w:vAlign w:val="bottom"/>
          </w:tcPr>
          <w:p w14:paraId="22CFD1E8" w14:textId="77777777" w:rsidR="002661BA" w:rsidRDefault="00D972BC">
            <w:pPr>
              <w:jc w:val="right"/>
              <w:textAlignment w:val="bottom"/>
            </w:pPr>
            <w:r>
              <w:rPr>
                <w:rFonts w:ascii="Arial" w:eastAsia="宋体" w:hAnsi="Arial" w:cs="Arial"/>
                <w:color w:val="000000"/>
                <w:sz w:val="18"/>
                <w:szCs w:val="18"/>
              </w:rPr>
              <w:t>198 </w:t>
            </w:r>
          </w:p>
        </w:tc>
        <w:tc>
          <w:tcPr>
            <w:tcW w:w="0" w:type="auto"/>
            <w:shd w:val="clear" w:color="auto" w:fill="E2E2E2"/>
            <w:tcMar>
              <w:top w:w="40" w:type="dxa"/>
              <w:left w:w="0" w:type="dxa"/>
              <w:bottom w:w="40" w:type="dxa"/>
              <w:right w:w="20" w:type="dxa"/>
            </w:tcMar>
            <w:vAlign w:val="bottom"/>
          </w:tcPr>
          <w:p w14:paraId="22CFD1E9"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1EA"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D1EB" w14:textId="77777777" w:rsidR="002661BA" w:rsidRDefault="00D972BC">
            <w:pPr>
              <w:jc w:val="right"/>
              <w:textAlignment w:val="bottom"/>
            </w:pPr>
            <w:r>
              <w:rPr>
                <w:rFonts w:ascii="Arial" w:eastAsia="宋体" w:hAnsi="Arial" w:cs="Arial"/>
                <w:color w:val="000000"/>
                <w:sz w:val="18"/>
                <w:szCs w:val="18"/>
              </w:rPr>
              <w:t>495 </w:t>
            </w:r>
          </w:p>
        </w:tc>
        <w:tc>
          <w:tcPr>
            <w:tcW w:w="0" w:type="auto"/>
            <w:shd w:val="clear" w:color="auto" w:fill="E2E2E2"/>
            <w:tcMar>
              <w:top w:w="40" w:type="dxa"/>
              <w:left w:w="0" w:type="dxa"/>
              <w:bottom w:w="40" w:type="dxa"/>
              <w:right w:w="20" w:type="dxa"/>
            </w:tcMar>
            <w:vAlign w:val="bottom"/>
          </w:tcPr>
          <w:p w14:paraId="22CFD1EC"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1ED"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D1EE" w14:textId="77777777" w:rsidR="002661BA" w:rsidRDefault="00D972BC">
            <w:pPr>
              <w:jc w:val="right"/>
              <w:textAlignment w:val="bottom"/>
            </w:pPr>
            <w:r>
              <w:rPr>
                <w:rFonts w:ascii="Arial" w:eastAsia="宋体" w:hAnsi="Arial" w:cs="Arial"/>
                <w:color w:val="000000"/>
                <w:sz w:val="18"/>
                <w:szCs w:val="18"/>
              </w:rPr>
              <w:t>202 </w:t>
            </w:r>
          </w:p>
        </w:tc>
        <w:tc>
          <w:tcPr>
            <w:tcW w:w="0" w:type="auto"/>
            <w:shd w:val="clear" w:color="auto" w:fill="E2E2E2"/>
            <w:tcMar>
              <w:top w:w="40" w:type="dxa"/>
              <w:left w:w="0" w:type="dxa"/>
              <w:bottom w:w="40" w:type="dxa"/>
              <w:right w:w="20" w:type="dxa"/>
            </w:tcMar>
            <w:vAlign w:val="bottom"/>
          </w:tcPr>
          <w:p w14:paraId="22CFD1EF" w14:textId="77777777" w:rsidR="002661BA" w:rsidRDefault="002661BA">
            <w:pPr>
              <w:jc w:val="right"/>
              <w:rPr>
                <w:rFonts w:ascii="宋体"/>
              </w:rPr>
            </w:pPr>
          </w:p>
        </w:tc>
      </w:tr>
      <w:tr w:rsidR="002661BA" w14:paraId="22CFD1FA" w14:textId="77777777">
        <w:tc>
          <w:tcPr>
            <w:tcW w:w="0" w:type="auto"/>
            <w:gridSpan w:val="3"/>
            <w:shd w:val="clear" w:color="auto" w:fill="FFFFFF"/>
            <w:tcMar>
              <w:top w:w="0" w:type="dxa"/>
              <w:left w:w="20" w:type="dxa"/>
              <w:bottom w:w="0" w:type="dxa"/>
              <w:right w:w="20" w:type="dxa"/>
            </w:tcMar>
            <w:vAlign w:val="bottom"/>
          </w:tcPr>
          <w:p w14:paraId="22CFD1F1"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1F2" w14:textId="77777777" w:rsidR="002661BA" w:rsidRDefault="00D972BC">
            <w:pPr>
              <w:jc w:val="right"/>
              <w:textAlignment w:val="bottom"/>
            </w:pPr>
            <w:r>
              <w:rPr>
                <w:rFonts w:ascii="Arial" w:eastAsia="宋体" w:hAnsi="Arial" w:cs="Arial"/>
                <w:color w:val="000000"/>
                <w:sz w:val="18"/>
                <w:szCs w:val="18"/>
              </w:rPr>
              <w:t>(682)</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1F3"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1F4" w14:textId="77777777" w:rsidR="002661BA" w:rsidRDefault="00D972BC">
            <w:pPr>
              <w:textAlignment w:val="bottom"/>
            </w:pPr>
            <w:r>
              <w:rPr>
                <w:rFonts w:ascii="Arial" w:eastAsia="宋体" w:hAnsi="Arial" w:cs="Arial"/>
                <w:color w:val="000000"/>
                <w:sz w:val="18"/>
                <w:szCs w:val="18"/>
              </w:rPr>
              <w:t>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1F5" w14:textId="77777777" w:rsidR="002661BA" w:rsidRDefault="00D972BC">
            <w:pPr>
              <w:jc w:val="right"/>
              <w:textAlignment w:val="bottom"/>
            </w:pPr>
            <w:r>
              <w:rPr>
                <w:rFonts w:ascii="Arial" w:eastAsia="宋体" w:hAnsi="Arial" w:cs="Arial"/>
                <w:color w:val="000000"/>
                <w:sz w:val="18"/>
                <w:szCs w:val="18"/>
              </w:rPr>
              <w:t>414 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1F6"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1F7" w14:textId="77777777" w:rsidR="002661BA" w:rsidRDefault="00D972BC">
            <w:pPr>
              <w:textAlignment w:val="bottom"/>
            </w:pPr>
            <w:r>
              <w:rPr>
                <w:rFonts w:ascii="Arial" w:eastAsia="宋体" w:hAnsi="Arial" w:cs="Arial"/>
                <w:color w:val="000000"/>
                <w:sz w:val="18"/>
                <w:szCs w:val="18"/>
              </w:rPr>
              <w:t>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1F8" w14:textId="77777777" w:rsidR="002661BA" w:rsidRDefault="00D972BC">
            <w:pPr>
              <w:jc w:val="right"/>
              <w:textAlignment w:val="bottom"/>
            </w:pPr>
            <w:r>
              <w:rPr>
                <w:rFonts w:ascii="Arial" w:eastAsia="宋体" w:hAnsi="Arial" w:cs="Arial"/>
                <w:color w:val="000000"/>
                <w:sz w:val="18"/>
                <w:szCs w:val="18"/>
              </w:rPr>
              <w:t>(1)</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1F9" w14:textId="77777777" w:rsidR="002661BA" w:rsidRDefault="002661BA">
            <w:pPr>
              <w:jc w:val="right"/>
              <w:rPr>
                <w:rFonts w:ascii="宋体"/>
              </w:rPr>
            </w:pPr>
          </w:p>
        </w:tc>
      </w:tr>
      <w:tr w:rsidR="002661BA" w14:paraId="22CFD207" w14:textId="77777777">
        <w:tc>
          <w:tcPr>
            <w:tcW w:w="0" w:type="auto"/>
            <w:gridSpan w:val="3"/>
            <w:shd w:val="clear" w:color="auto" w:fill="E2E2E2"/>
            <w:tcMar>
              <w:top w:w="0" w:type="dxa"/>
              <w:left w:w="20" w:type="dxa"/>
              <w:bottom w:w="0" w:type="dxa"/>
              <w:right w:w="20" w:type="dxa"/>
            </w:tcMar>
            <w:vAlign w:val="bottom"/>
          </w:tcPr>
          <w:p w14:paraId="22CFD1FB"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1F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1FD" w14:textId="77777777" w:rsidR="002661BA" w:rsidRDefault="00D972BC">
            <w:pPr>
              <w:jc w:val="right"/>
              <w:textAlignment w:val="bottom"/>
            </w:pPr>
            <w:r>
              <w:rPr>
                <w:rFonts w:ascii="Arial" w:eastAsia="宋体" w:hAnsi="Arial" w:cs="Arial"/>
                <w:color w:val="000000"/>
                <w:sz w:val="18"/>
                <w:szCs w:val="18"/>
              </w:rPr>
              <w:t>146 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1FE"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1FF"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20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201" w14:textId="77777777" w:rsidR="002661BA" w:rsidRDefault="00D972BC">
            <w:pPr>
              <w:jc w:val="right"/>
              <w:textAlignment w:val="bottom"/>
            </w:pPr>
            <w:r>
              <w:rPr>
                <w:rFonts w:ascii="Arial" w:eastAsia="宋体" w:hAnsi="Arial" w:cs="Arial"/>
                <w:color w:val="000000"/>
                <w:sz w:val="18"/>
                <w:szCs w:val="18"/>
              </w:rPr>
              <w:t>858 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202"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203"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20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205" w14:textId="77777777" w:rsidR="002661BA" w:rsidRDefault="00D972BC">
            <w:pPr>
              <w:jc w:val="right"/>
              <w:textAlignment w:val="bottom"/>
            </w:pPr>
            <w:r>
              <w:rPr>
                <w:rFonts w:ascii="Arial" w:eastAsia="宋体" w:hAnsi="Arial" w:cs="Arial"/>
                <w:color w:val="000000"/>
                <w:sz w:val="18"/>
                <w:szCs w:val="18"/>
              </w:rPr>
              <w:t>219 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206" w14:textId="77777777" w:rsidR="002661BA" w:rsidRDefault="002661BA">
            <w:pPr>
              <w:jc w:val="right"/>
              <w:rPr>
                <w:rFonts w:ascii="宋体"/>
              </w:rPr>
            </w:pPr>
          </w:p>
        </w:tc>
      </w:tr>
    </w:tbl>
    <w:p w14:paraId="22CFD208" w14:textId="77777777" w:rsidR="002661BA" w:rsidRDefault="002661BA">
      <w:pPr>
        <w:ind w:firstLine="540"/>
        <w:jc w:val="both"/>
      </w:pPr>
    </w:p>
    <w:p w14:paraId="22CFD209" w14:textId="77777777" w:rsidR="002661BA" w:rsidRDefault="00D972BC">
      <w:pPr>
        <w:spacing w:after="120"/>
        <w:ind w:firstLine="540"/>
        <w:jc w:val="both"/>
      </w:pPr>
      <w:r>
        <w:rPr>
          <w:rFonts w:ascii="Arial" w:eastAsia="宋体" w:hAnsi="Arial" w:cs="Arial"/>
          <w:color w:val="000000"/>
          <w:sz w:val="20"/>
          <w:szCs w:val="20"/>
        </w:rPr>
        <w:t>The following table presents a reconciliation of the difference between the actual provision for income taxes and the provision computed by applying the federal statutory rate of 21% to income before i</w:t>
      </w:r>
      <w:r>
        <w:rPr>
          <w:rFonts w:ascii="Arial" w:eastAsia="宋体" w:hAnsi="Arial" w:cs="Arial"/>
          <w:color w:val="000000"/>
          <w:sz w:val="20"/>
          <w:szCs w:val="20"/>
        </w:rPr>
        <w:t xml:space="preserve">ncome taxes for the 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42"/>
        <w:gridCol w:w="4871"/>
        <w:gridCol w:w="40"/>
        <w:gridCol w:w="121"/>
        <w:gridCol w:w="898"/>
        <w:gridCol w:w="36"/>
        <w:gridCol w:w="36"/>
        <w:gridCol w:w="36"/>
        <w:gridCol w:w="36"/>
        <w:gridCol w:w="121"/>
        <w:gridCol w:w="898"/>
        <w:gridCol w:w="36"/>
        <w:gridCol w:w="36"/>
        <w:gridCol w:w="36"/>
        <w:gridCol w:w="36"/>
        <w:gridCol w:w="121"/>
        <w:gridCol w:w="900"/>
        <w:gridCol w:w="36"/>
      </w:tblGrid>
      <w:tr w:rsidR="002661BA" w14:paraId="22CFD21C" w14:textId="77777777">
        <w:tc>
          <w:tcPr>
            <w:tcW w:w="50" w:type="pct"/>
            <w:shd w:val="clear" w:color="auto" w:fill="auto"/>
            <w:vAlign w:val="bottom"/>
          </w:tcPr>
          <w:p w14:paraId="22CFD20A" w14:textId="77777777" w:rsidR="002661BA" w:rsidRDefault="002661BA">
            <w:pPr>
              <w:rPr>
                <w:rFonts w:ascii="宋体"/>
              </w:rPr>
            </w:pPr>
          </w:p>
        </w:tc>
        <w:tc>
          <w:tcPr>
            <w:tcW w:w="2978" w:type="pct"/>
            <w:shd w:val="clear" w:color="auto" w:fill="auto"/>
            <w:vAlign w:val="bottom"/>
          </w:tcPr>
          <w:p w14:paraId="22CFD20B" w14:textId="77777777" w:rsidR="002661BA" w:rsidRDefault="002661BA">
            <w:pPr>
              <w:rPr>
                <w:rFonts w:ascii="宋体"/>
              </w:rPr>
            </w:pPr>
          </w:p>
        </w:tc>
        <w:tc>
          <w:tcPr>
            <w:tcW w:w="5" w:type="pct"/>
            <w:shd w:val="clear" w:color="auto" w:fill="auto"/>
            <w:vAlign w:val="bottom"/>
          </w:tcPr>
          <w:p w14:paraId="22CFD20C" w14:textId="77777777" w:rsidR="002661BA" w:rsidRDefault="002661BA">
            <w:pPr>
              <w:rPr>
                <w:rFonts w:ascii="宋体"/>
              </w:rPr>
            </w:pPr>
          </w:p>
        </w:tc>
        <w:tc>
          <w:tcPr>
            <w:tcW w:w="50" w:type="pct"/>
            <w:shd w:val="clear" w:color="auto" w:fill="auto"/>
            <w:vAlign w:val="bottom"/>
          </w:tcPr>
          <w:p w14:paraId="22CFD20D" w14:textId="77777777" w:rsidR="002661BA" w:rsidRDefault="002661BA">
            <w:pPr>
              <w:rPr>
                <w:rFonts w:ascii="宋体"/>
              </w:rPr>
            </w:pPr>
          </w:p>
        </w:tc>
        <w:tc>
          <w:tcPr>
            <w:tcW w:w="580" w:type="pct"/>
            <w:shd w:val="clear" w:color="auto" w:fill="auto"/>
            <w:vAlign w:val="bottom"/>
          </w:tcPr>
          <w:p w14:paraId="22CFD20E" w14:textId="77777777" w:rsidR="002661BA" w:rsidRDefault="002661BA">
            <w:pPr>
              <w:rPr>
                <w:rFonts w:ascii="宋体"/>
              </w:rPr>
            </w:pPr>
          </w:p>
        </w:tc>
        <w:tc>
          <w:tcPr>
            <w:tcW w:w="5" w:type="pct"/>
            <w:shd w:val="clear" w:color="auto" w:fill="auto"/>
            <w:vAlign w:val="bottom"/>
          </w:tcPr>
          <w:p w14:paraId="22CFD20F" w14:textId="77777777" w:rsidR="002661BA" w:rsidRDefault="002661BA">
            <w:pPr>
              <w:rPr>
                <w:rFonts w:ascii="宋体"/>
              </w:rPr>
            </w:pPr>
          </w:p>
        </w:tc>
        <w:tc>
          <w:tcPr>
            <w:tcW w:w="5" w:type="pct"/>
            <w:shd w:val="clear" w:color="auto" w:fill="auto"/>
            <w:vAlign w:val="bottom"/>
          </w:tcPr>
          <w:p w14:paraId="22CFD210" w14:textId="77777777" w:rsidR="002661BA" w:rsidRDefault="002661BA">
            <w:pPr>
              <w:rPr>
                <w:rFonts w:ascii="宋体"/>
              </w:rPr>
            </w:pPr>
          </w:p>
        </w:tc>
        <w:tc>
          <w:tcPr>
            <w:tcW w:w="19" w:type="pct"/>
            <w:shd w:val="clear" w:color="auto" w:fill="auto"/>
            <w:vAlign w:val="bottom"/>
          </w:tcPr>
          <w:p w14:paraId="22CFD211" w14:textId="77777777" w:rsidR="002661BA" w:rsidRDefault="002661BA">
            <w:pPr>
              <w:rPr>
                <w:rFonts w:ascii="宋体"/>
              </w:rPr>
            </w:pPr>
          </w:p>
        </w:tc>
        <w:tc>
          <w:tcPr>
            <w:tcW w:w="5" w:type="pct"/>
            <w:shd w:val="clear" w:color="auto" w:fill="auto"/>
            <w:vAlign w:val="bottom"/>
          </w:tcPr>
          <w:p w14:paraId="22CFD212" w14:textId="77777777" w:rsidR="002661BA" w:rsidRDefault="002661BA">
            <w:pPr>
              <w:rPr>
                <w:rFonts w:ascii="宋体"/>
              </w:rPr>
            </w:pPr>
          </w:p>
        </w:tc>
        <w:tc>
          <w:tcPr>
            <w:tcW w:w="50" w:type="pct"/>
            <w:shd w:val="clear" w:color="auto" w:fill="auto"/>
            <w:vAlign w:val="bottom"/>
          </w:tcPr>
          <w:p w14:paraId="22CFD213" w14:textId="77777777" w:rsidR="002661BA" w:rsidRDefault="002661BA">
            <w:pPr>
              <w:rPr>
                <w:rFonts w:ascii="宋体"/>
              </w:rPr>
            </w:pPr>
          </w:p>
        </w:tc>
        <w:tc>
          <w:tcPr>
            <w:tcW w:w="580" w:type="pct"/>
            <w:shd w:val="clear" w:color="auto" w:fill="auto"/>
            <w:vAlign w:val="bottom"/>
          </w:tcPr>
          <w:p w14:paraId="22CFD214" w14:textId="77777777" w:rsidR="002661BA" w:rsidRDefault="002661BA">
            <w:pPr>
              <w:rPr>
                <w:rFonts w:ascii="宋体"/>
              </w:rPr>
            </w:pPr>
          </w:p>
        </w:tc>
        <w:tc>
          <w:tcPr>
            <w:tcW w:w="5" w:type="pct"/>
            <w:shd w:val="clear" w:color="auto" w:fill="auto"/>
            <w:vAlign w:val="bottom"/>
          </w:tcPr>
          <w:p w14:paraId="22CFD215" w14:textId="77777777" w:rsidR="002661BA" w:rsidRDefault="002661BA">
            <w:pPr>
              <w:rPr>
                <w:rFonts w:ascii="宋体"/>
              </w:rPr>
            </w:pPr>
          </w:p>
        </w:tc>
        <w:tc>
          <w:tcPr>
            <w:tcW w:w="5" w:type="pct"/>
            <w:shd w:val="clear" w:color="auto" w:fill="auto"/>
            <w:vAlign w:val="bottom"/>
          </w:tcPr>
          <w:p w14:paraId="22CFD216" w14:textId="77777777" w:rsidR="002661BA" w:rsidRDefault="002661BA">
            <w:pPr>
              <w:rPr>
                <w:rFonts w:ascii="宋体"/>
              </w:rPr>
            </w:pPr>
          </w:p>
        </w:tc>
        <w:tc>
          <w:tcPr>
            <w:tcW w:w="19" w:type="pct"/>
            <w:shd w:val="clear" w:color="auto" w:fill="auto"/>
            <w:vAlign w:val="bottom"/>
          </w:tcPr>
          <w:p w14:paraId="22CFD217" w14:textId="77777777" w:rsidR="002661BA" w:rsidRDefault="002661BA">
            <w:pPr>
              <w:rPr>
                <w:rFonts w:ascii="宋体"/>
              </w:rPr>
            </w:pPr>
          </w:p>
        </w:tc>
        <w:tc>
          <w:tcPr>
            <w:tcW w:w="5" w:type="pct"/>
            <w:shd w:val="clear" w:color="auto" w:fill="auto"/>
            <w:vAlign w:val="bottom"/>
          </w:tcPr>
          <w:p w14:paraId="22CFD218" w14:textId="77777777" w:rsidR="002661BA" w:rsidRDefault="002661BA">
            <w:pPr>
              <w:rPr>
                <w:rFonts w:ascii="宋体"/>
              </w:rPr>
            </w:pPr>
          </w:p>
        </w:tc>
        <w:tc>
          <w:tcPr>
            <w:tcW w:w="50" w:type="pct"/>
            <w:shd w:val="clear" w:color="auto" w:fill="auto"/>
            <w:vAlign w:val="bottom"/>
          </w:tcPr>
          <w:p w14:paraId="22CFD219" w14:textId="77777777" w:rsidR="002661BA" w:rsidRDefault="002661BA">
            <w:pPr>
              <w:rPr>
                <w:rFonts w:ascii="宋体"/>
              </w:rPr>
            </w:pPr>
          </w:p>
        </w:tc>
        <w:tc>
          <w:tcPr>
            <w:tcW w:w="581" w:type="pct"/>
            <w:shd w:val="clear" w:color="auto" w:fill="auto"/>
            <w:vAlign w:val="bottom"/>
          </w:tcPr>
          <w:p w14:paraId="22CFD21A" w14:textId="77777777" w:rsidR="002661BA" w:rsidRDefault="002661BA">
            <w:pPr>
              <w:rPr>
                <w:rFonts w:ascii="宋体"/>
              </w:rPr>
            </w:pPr>
          </w:p>
        </w:tc>
        <w:tc>
          <w:tcPr>
            <w:tcW w:w="5" w:type="pct"/>
            <w:shd w:val="clear" w:color="auto" w:fill="auto"/>
            <w:vAlign w:val="bottom"/>
          </w:tcPr>
          <w:p w14:paraId="22CFD21B" w14:textId="77777777" w:rsidR="002661BA" w:rsidRDefault="002661BA">
            <w:pPr>
              <w:rPr>
                <w:rFonts w:ascii="宋体"/>
              </w:rPr>
            </w:pPr>
          </w:p>
        </w:tc>
      </w:tr>
      <w:tr w:rsidR="002661BA" w14:paraId="22CFD21F" w14:textId="77777777">
        <w:tc>
          <w:tcPr>
            <w:tcW w:w="0" w:type="auto"/>
            <w:gridSpan w:val="3"/>
            <w:shd w:val="clear" w:color="auto" w:fill="auto"/>
            <w:tcMar>
              <w:top w:w="40" w:type="dxa"/>
              <w:left w:w="245" w:type="dxa"/>
              <w:bottom w:w="40" w:type="dxa"/>
              <w:right w:w="20" w:type="dxa"/>
            </w:tcMar>
            <w:vAlign w:val="bottom"/>
          </w:tcPr>
          <w:p w14:paraId="22CFD21D" w14:textId="77777777" w:rsidR="002661BA" w:rsidRDefault="00D972BC">
            <w:pPr>
              <w:textAlignment w:val="bottom"/>
            </w:pPr>
            <w:r>
              <w:rPr>
                <w:rFonts w:ascii="Arial" w:eastAsia="宋体" w:hAnsi="Arial" w:cs="Arial"/>
                <w:color w:val="000000"/>
                <w:sz w:val="16"/>
                <w:szCs w:val="16"/>
              </w:rPr>
              <w:t> </w:t>
            </w:r>
          </w:p>
        </w:tc>
        <w:tc>
          <w:tcPr>
            <w:tcW w:w="0" w:type="auto"/>
            <w:gridSpan w:val="15"/>
            <w:shd w:val="clear" w:color="auto" w:fill="auto"/>
            <w:tcMar>
              <w:top w:w="40" w:type="dxa"/>
              <w:left w:w="20" w:type="dxa"/>
              <w:bottom w:w="40" w:type="dxa"/>
              <w:right w:w="20" w:type="dxa"/>
            </w:tcMar>
            <w:vAlign w:val="bottom"/>
          </w:tcPr>
          <w:p w14:paraId="22CFD21E"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D226" w14:textId="77777777">
        <w:tc>
          <w:tcPr>
            <w:tcW w:w="0" w:type="auto"/>
            <w:gridSpan w:val="3"/>
            <w:shd w:val="clear" w:color="auto" w:fill="auto"/>
            <w:tcMar>
              <w:top w:w="40" w:type="dxa"/>
              <w:left w:w="20" w:type="dxa"/>
              <w:bottom w:w="40" w:type="dxa"/>
              <w:right w:w="20" w:type="dxa"/>
            </w:tcMar>
            <w:vAlign w:val="bottom"/>
          </w:tcPr>
          <w:p w14:paraId="22CFD220" w14:textId="77777777" w:rsidR="002661BA" w:rsidRDefault="00D972BC">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221"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222"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223"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224"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225"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D233" w14:textId="77777777">
        <w:tc>
          <w:tcPr>
            <w:tcW w:w="0" w:type="auto"/>
            <w:gridSpan w:val="3"/>
            <w:shd w:val="clear" w:color="auto" w:fill="E2E2E2"/>
            <w:tcMar>
              <w:top w:w="40" w:type="dxa"/>
              <w:left w:w="20" w:type="dxa"/>
              <w:bottom w:w="40" w:type="dxa"/>
              <w:right w:w="20" w:type="dxa"/>
            </w:tcMar>
            <w:vAlign w:val="bottom"/>
          </w:tcPr>
          <w:p w14:paraId="22CFD227" w14:textId="77777777" w:rsidR="002661BA" w:rsidRDefault="00D972BC">
            <w:pPr>
              <w:textAlignment w:val="bottom"/>
            </w:pPr>
            <w:r>
              <w:rPr>
                <w:rFonts w:ascii="Arial" w:eastAsia="宋体" w:hAnsi="Arial" w:cs="Arial"/>
                <w:color w:val="000000"/>
                <w:sz w:val="18"/>
                <w:szCs w:val="18"/>
              </w:rPr>
              <w:t>Provision at statutory rate</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D22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229" w14:textId="77777777" w:rsidR="002661BA" w:rsidRDefault="00D972BC">
            <w:pPr>
              <w:jc w:val="right"/>
              <w:textAlignment w:val="bottom"/>
            </w:pPr>
            <w:r>
              <w:rPr>
                <w:rFonts w:ascii="Arial" w:eastAsia="宋体" w:hAnsi="Arial" w:cs="Arial"/>
                <w:color w:val="000000"/>
                <w:sz w:val="18"/>
                <w:szCs w:val="18"/>
              </w:rPr>
              <w:t>84 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22A"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22B"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D22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22D" w14:textId="77777777" w:rsidR="002661BA" w:rsidRDefault="00D972BC">
            <w:pPr>
              <w:jc w:val="right"/>
              <w:textAlignment w:val="bottom"/>
            </w:pPr>
            <w:r>
              <w:rPr>
                <w:rFonts w:ascii="Arial" w:eastAsia="宋体" w:hAnsi="Arial" w:cs="Arial"/>
                <w:color w:val="000000"/>
                <w:sz w:val="18"/>
                <w:szCs w:val="18"/>
              </w:rPr>
              <w:t>703 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22E"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22F"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D23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231" w14:textId="77777777" w:rsidR="002661BA" w:rsidRDefault="00D972BC">
            <w:pPr>
              <w:jc w:val="right"/>
              <w:textAlignment w:val="bottom"/>
            </w:pPr>
            <w:r>
              <w:rPr>
                <w:rFonts w:ascii="Arial" w:eastAsia="宋体" w:hAnsi="Arial" w:cs="Arial"/>
                <w:color w:val="000000"/>
                <w:sz w:val="18"/>
                <w:szCs w:val="18"/>
              </w:rPr>
              <w:t>347 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232" w14:textId="77777777" w:rsidR="002661BA" w:rsidRDefault="002661BA">
            <w:pPr>
              <w:jc w:val="right"/>
              <w:rPr>
                <w:rFonts w:ascii="宋体"/>
              </w:rPr>
            </w:pPr>
          </w:p>
        </w:tc>
      </w:tr>
      <w:tr w:rsidR="002661BA" w14:paraId="22CFD23A" w14:textId="77777777">
        <w:trPr>
          <w:hidden/>
        </w:trPr>
        <w:tc>
          <w:tcPr>
            <w:tcW w:w="0" w:type="auto"/>
            <w:gridSpan w:val="3"/>
            <w:shd w:val="clear" w:color="auto" w:fill="auto"/>
            <w:vAlign w:val="bottom"/>
          </w:tcPr>
          <w:p w14:paraId="22CFD234" w14:textId="77777777" w:rsidR="002661BA" w:rsidRDefault="002661BA">
            <w:pPr>
              <w:rPr>
                <w:rFonts w:ascii="宋体"/>
                <w:vanish/>
              </w:rPr>
            </w:pPr>
          </w:p>
        </w:tc>
        <w:tc>
          <w:tcPr>
            <w:tcW w:w="0" w:type="auto"/>
            <w:gridSpan w:val="3"/>
            <w:shd w:val="clear" w:color="auto" w:fill="auto"/>
            <w:vAlign w:val="bottom"/>
          </w:tcPr>
          <w:p w14:paraId="22CFD235" w14:textId="77777777" w:rsidR="002661BA" w:rsidRDefault="002661BA">
            <w:pPr>
              <w:rPr>
                <w:rFonts w:ascii="宋体"/>
                <w:vanish/>
              </w:rPr>
            </w:pPr>
          </w:p>
        </w:tc>
        <w:tc>
          <w:tcPr>
            <w:tcW w:w="0" w:type="auto"/>
            <w:gridSpan w:val="3"/>
            <w:shd w:val="clear" w:color="auto" w:fill="auto"/>
            <w:vAlign w:val="bottom"/>
          </w:tcPr>
          <w:p w14:paraId="22CFD236" w14:textId="77777777" w:rsidR="002661BA" w:rsidRDefault="002661BA">
            <w:pPr>
              <w:rPr>
                <w:rFonts w:ascii="宋体"/>
                <w:vanish/>
              </w:rPr>
            </w:pPr>
          </w:p>
        </w:tc>
        <w:tc>
          <w:tcPr>
            <w:tcW w:w="0" w:type="auto"/>
            <w:gridSpan w:val="3"/>
            <w:shd w:val="clear" w:color="auto" w:fill="auto"/>
            <w:vAlign w:val="bottom"/>
          </w:tcPr>
          <w:p w14:paraId="22CFD237" w14:textId="77777777" w:rsidR="002661BA" w:rsidRDefault="002661BA">
            <w:pPr>
              <w:rPr>
                <w:rFonts w:ascii="宋体"/>
                <w:vanish/>
              </w:rPr>
            </w:pPr>
          </w:p>
        </w:tc>
        <w:tc>
          <w:tcPr>
            <w:tcW w:w="0" w:type="auto"/>
            <w:gridSpan w:val="3"/>
            <w:shd w:val="clear" w:color="auto" w:fill="auto"/>
            <w:vAlign w:val="bottom"/>
          </w:tcPr>
          <w:p w14:paraId="22CFD238" w14:textId="77777777" w:rsidR="002661BA" w:rsidRDefault="002661BA">
            <w:pPr>
              <w:rPr>
                <w:rFonts w:ascii="宋体"/>
                <w:vanish/>
              </w:rPr>
            </w:pPr>
          </w:p>
        </w:tc>
        <w:tc>
          <w:tcPr>
            <w:tcW w:w="0" w:type="auto"/>
            <w:gridSpan w:val="3"/>
            <w:shd w:val="clear" w:color="auto" w:fill="auto"/>
            <w:vAlign w:val="bottom"/>
          </w:tcPr>
          <w:p w14:paraId="22CFD239" w14:textId="77777777" w:rsidR="002661BA" w:rsidRDefault="002661BA">
            <w:pPr>
              <w:rPr>
                <w:rFonts w:ascii="宋体"/>
                <w:vanish/>
              </w:rPr>
            </w:pPr>
          </w:p>
        </w:tc>
      </w:tr>
      <w:tr w:rsidR="002661BA" w14:paraId="22CFD244" w14:textId="77777777">
        <w:tc>
          <w:tcPr>
            <w:tcW w:w="0" w:type="auto"/>
            <w:gridSpan w:val="3"/>
            <w:shd w:val="clear" w:color="auto" w:fill="FFFFFF"/>
            <w:tcMar>
              <w:top w:w="40" w:type="dxa"/>
              <w:left w:w="245" w:type="dxa"/>
              <w:bottom w:w="40" w:type="dxa"/>
              <w:right w:w="20" w:type="dxa"/>
            </w:tcMar>
            <w:vAlign w:val="bottom"/>
          </w:tcPr>
          <w:p w14:paraId="22CFD23B" w14:textId="77777777" w:rsidR="002661BA" w:rsidRDefault="00D972BC">
            <w:pPr>
              <w:textAlignment w:val="bottom"/>
            </w:pPr>
            <w:r>
              <w:rPr>
                <w:rFonts w:ascii="Arial" w:eastAsia="宋体" w:hAnsi="Arial" w:cs="Arial"/>
                <w:color w:val="000000"/>
                <w:sz w:val="18"/>
                <w:szCs w:val="18"/>
              </w:rPr>
              <w:t>Foreign income taxed at different rates</w:t>
            </w:r>
          </w:p>
        </w:tc>
        <w:tc>
          <w:tcPr>
            <w:tcW w:w="0" w:type="auto"/>
            <w:gridSpan w:val="2"/>
            <w:shd w:val="clear" w:color="auto" w:fill="FFFFFF"/>
            <w:tcMar>
              <w:top w:w="40" w:type="dxa"/>
              <w:left w:w="20" w:type="dxa"/>
              <w:bottom w:w="40" w:type="dxa"/>
              <w:right w:w="0" w:type="dxa"/>
            </w:tcMar>
            <w:vAlign w:val="bottom"/>
          </w:tcPr>
          <w:p w14:paraId="22CFD23C" w14:textId="77777777" w:rsidR="002661BA" w:rsidRDefault="00D972BC">
            <w:pPr>
              <w:jc w:val="right"/>
              <w:textAlignment w:val="bottom"/>
            </w:pPr>
            <w:r>
              <w:rPr>
                <w:rFonts w:ascii="Arial" w:eastAsia="宋体" w:hAnsi="Arial" w:cs="Arial"/>
                <w:color w:val="000000"/>
                <w:sz w:val="18"/>
                <w:szCs w:val="18"/>
              </w:rPr>
              <w:t>19 </w:t>
            </w:r>
          </w:p>
        </w:tc>
        <w:tc>
          <w:tcPr>
            <w:tcW w:w="0" w:type="auto"/>
            <w:shd w:val="clear" w:color="auto" w:fill="FFFFFF"/>
            <w:tcMar>
              <w:top w:w="40" w:type="dxa"/>
              <w:left w:w="0" w:type="dxa"/>
              <w:bottom w:w="40" w:type="dxa"/>
              <w:right w:w="20" w:type="dxa"/>
            </w:tcMar>
            <w:vAlign w:val="bottom"/>
          </w:tcPr>
          <w:p w14:paraId="22CFD23D"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23E"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D23F" w14:textId="77777777" w:rsidR="002661BA" w:rsidRDefault="00D972BC">
            <w:pPr>
              <w:jc w:val="right"/>
              <w:textAlignment w:val="bottom"/>
            </w:pPr>
            <w:r>
              <w:rPr>
                <w:rFonts w:ascii="Arial" w:eastAsia="宋体" w:hAnsi="Arial" w:cs="Arial"/>
                <w:color w:val="000000"/>
                <w:sz w:val="18"/>
                <w:szCs w:val="18"/>
              </w:rPr>
              <w:t>19 </w:t>
            </w:r>
          </w:p>
        </w:tc>
        <w:tc>
          <w:tcPr>
            <w:tcW w:w="0" w:type="auto"/>
            <w:shd w:val="clear" w:color="auto" w:fill="FFFFFF"/>
            <w:tcMar>
              <w:top w:w="40" w:type="dxa"/>
              <w:left w:w="0" w:type="dxa"/>
              <w:bottom w:w="40" w:type="dxa"/>
              <w:right w:w="20" w:type="dxa"/>
            </w:tcMar>
            <w:vAlign w:val="bottom"/>
          </w:tcPr>
          <w:p w14:paraId="22CFD240"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241"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D242" w14:textId="77777777" w:rsidR="002661BA" w:rsidRDefault="00D972BC">
            <w:pPr>
              <w:jc w:val="right"/>
              <w:textAlignment w:val="bottom"/>
            </w:pPr>
            <w:r>
              <w:rPr>
                <w:rFonts w:ascii="Arial" w:eastAsia="宋体" w:hAnsi="Arial" w:cs="Arial"/>
                <w:color w:val="000000"/>
                <w:sz w:val="18"/>
                <w:szCs w:val="18"/>
              </w:rPr>
              <w:t>13 </w:t>
            </w:r>
          </w:p>
        </w:tc>
        <w:tc>
          <w:tcPr>
            <w:tcW w:w="0" w:type="auto"/>
            <w:shd w:val="clear" w:color="auto" w:fill="FFFFFF"/>
            <w:tcMar>
              <w:top w:w="40" w:type="dxa"/>
              <w:left w:w="0" w:type="dxa"/>
              <w:bottom w:w="40" w:type="dxa"/>
              <w:right w:w="20" w:type="dxa"/>
            </w:tcMar>
            <w:vAlign w:val="bottom"/>
          </w:tcPr>
          <w:p w14:paraId="22CFD243" w14:textId="77777777" w:rsidR="002661BA" w:rsidRDefault="002661BA">
            <w:pPr>
              <w:jc w:val="right"/>
              <w:rPr>
                <w:rFonts w:ascii="宋体"/>
              </w:rPr>
            </w:pPr>
          </w:p>
        </w:tc>
      </w:tr>
      <w:tr w:rsidR="002661BA" w14:paraId="22CFD24E" w14:textId="77777777">
        <w:tc>
          <w:tcPr>
            <w:tcW w:w="0" w:type="auto"/>
            <w:gridSpan w:val="3"/>
            <w:shd w:val="clear" w:color="auto" w:fill="E2E2E2"/>
            <w:tcMar>
              <w:top w:w="40" w:type="dxa"/>
              <w:left w:w="245" w:type="dxa"/>
              <w:bottom w:w="40" w:type="dxa"/>
              <w:right w:w="20" w:type="dxa"/>
            </w:tcMar>
            <w:vAlign w:val="bottom"/>
          </w:tcPr>
          <w:p w14:paraId="22CFD245" w14:textId="77777777" w:rsidR="002661BA" w:rsidRDefault="00D972BC">
            <w:pPr>
              <w:textAlignment w:val="bottom"/>
            </w:pPr>
            <w:r>
              <w:rPr>
                <w:rFonts w:ascii="Arial" w:eastAsia="宋体" w:hAnsi="Arial" w:cs="Arial"/>
                <w:color w:val="000000"/>
                <w:sz w:val="18"/>
                <w:szCs w:val="18"/>
              </w:rPr>
              <w:t>Other taxes on foreign operations</w:t>
            </w:r>
          </w:p>
        </w:tc>
        <w:tc>
          <w:tcPr>
            <w:tcW w:w="0" w:type="auto"/>
            <w:gridSpan w:val="2"/>
            <w:shd w:val="clear" w:color="auto" w:fill="E2E2E2"/>
            <w:tcMar>
              <w:top w:w="40" w:type="dxa"/>
              <w:left w:w="20" w:type="dxa"/>
              <w:bottom w:w="40" w:type="dxa"/>
              <w:right w:w="0" w:type="dxa"/>
            </w:tcMar>
            <w:vAlign w:val="bottom"/>
          </w:tcPr>
          <w:p w14:paraId="22CFD246" w14:textId="77777777" w:rsidR="002661BA" w:rsidRDefault="00D972BC">
            <w:pPr>
              <w:jc w:val="right"/>
              <w:textAlignment w:val="bottom"/>
            </w:pPr>
            <w:r>
              <w:rPr>
                <w:rFonts w:ascii="Arial" w:eastAsia="宋体" w:hAnsi="Arial" w:cs="Arial"/>
                <w:color w:val="000000"/>
                <w:sz w:val="18"/>
                <w:szCs w:val="18"/>
              </w:rPr>
              <w:t>89 </w:t>
            </w:r>
          </w:p>
        </w:tc>
        <w:tc>
          <w:tcPr>
            <w:tcW w:w="0" w:type="auto"/>
            <w:shd w:val="clear" w:color="auto" w:fill="E2E2E2"/>
            <w:tcMar>
              <w:top w:w="40" w:type="dxa"/>
              <w:left w:w="0" w:type="dxa"/>
              <w:bottom w:w="40" w:type="dxa"/>
              <w:right w:w="20" w:type="dxa"/>
            </w:tcMar>
            <w:vAlign w:val="bottom"/>
          </w:tcPr>
          <w:p w14:paraId="22CFD247"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248"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249" w14:textId="77777777" w:rsidR="002661BA" w:rsidRDefault="00D972BC">
            <w:pPr>
              <w:jc w:val="right"/>
              <w:textAlignment w:val="bottom"/>
            </w:pPr>
            <w:r>
              <w:rPr>
                <w:rFonts w:ascii="Arial" w:eastAsia="宋体" w:hAnsi="Arial" w:cs="Arial"/>
                <w:color w:val="000000"/>
                <w:sz w:val="18"/>
                <w:szCs w:val="18"/>
              </w:rPr>
              <w:t>19 </w:t>
            </w:r>
          </w:p>
        </w:tc>
        <w:tc>
          <w:tcPr>
            <w:tcW w:w="0" w:type="auto"/>
            <w:shd w:val="clear" w:color="auto" w:fill="E2E2E2"/>
            <w:tcMar>
              <w:top w:w="40" w:type="dxa"/>
              <w:left w:w="0" w:type="dxa"/>
              <w:bottom w:w="40" w:type="dxa"/>
              <w:right w:w="20" w:type="dxa"/>
            </w:tcMar>
            <w:vAlign w:val="bottom"/>
          </w:tcPr>
          <w:p w14:paraId="22CFD24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24B"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24C" w14:textId="77777777" w:rsidR="002661BA" w:rsidRDefault="00D972BC">
            <w:pPr>
              <w:jc w:val="right"/>
              <w:textAlignment w:val="bottom"/>
            </w:pPr>
            <w:r>
              <w:rPr>
                <w:rFonts w:ascii="Arial" w:eastAsia="宋体" w:hAnsi="Arial" w:cs="Arial"/>
                <w:color w:val="000000"/>
                <w:sz w:val="18"/>
                <w:szCs w:val="18"/>
              </w:rPr>
              <w:t>(19)</w:t>
            </w:r>
          </w:p>
        </w:tc>
        <w:tc>
          <w:tcPr>
            <w:tcW w:w="0" w:type="auto"/>
            <w:shd w:val="clear" w:color="auto" w:fill="E2E2E2"/>
            <w:tcMar>
              <w:top w:w="40" w:type="dxa"/>
              <w:left w:w="0" w:type="dxa"/>
              <w:bottom w:w="40" w:type="dxa"/>
              <w:right w:w="20" w:type="dxa"/>
            </w:tcMar>
            <w:vAlign w:val="bottom"/>
          </w:tcPr>
          <w:p w14:paraId="22CFD24D" w14:textId="77777777" w:rsidR="002661BA" w:rsidRDefault="002661BA">
            <w:pPr>
              <w:jc w:val="right"/>
              <w:rPr>
                <w:rFonts w:ascii="宋体"/>
              </w:rPr>
            </w:pPr>
          </w:p>
        </w:tc>
      </w:tr>
      <w:tr w:rsidR="002661BA" w14:paraId="22CFD255" w14:textId="77777777">
        <w:trPr>
          <w:hidden/>
        </w:trPr>
        <w:tc>
          <w:tcPr>
            <w:tcW w:w="0" w:type="auto"/>
            <w:gridSpan w:val="3"/>
            <w:shd w:val="clear" w:color="auto" w:fill="auto"/>
            <w:vAlign w:val="bottom"/>
          </w:tcPr>
          <w:p w14:paraId="22CFD24F" w14:textId="77777777" w:rsidR="002661BA" w:rsidRDefault="002661BA">
            <w:pPr>
              <w:rPr>
                <w:rFonts w:ascii="宋体"/>
                <w:vanish/>
              </w:rPr>
            </w:pPr>
          </w:p>
        </w:tc>
        <w:tc>
          <w:tcPr>
            <w:tcW w:w="0" w:type="auto"/>
            <w:gridSpan w:val="3"/>
            <w:shd w:val="clear" w:color="auto" w:fill="auto"/>
            <w:vAlign w:val="bottom"/>
          </w:tcPr>
          <w:p w14:paraId="22CFD250" w14:textId="77777777" w:rsidR="002661BA" w:rsidRDefault="002661BA">
            <w:pPr>
              <w:rPr>
                <w:rFonts w:ascii="宋体"/>
                <w:vanish/>
              </w:rPr>
            </w:pPr>
          </w:p>
        </w:tc>
        <w:tc>
          <w:tcPr>
            <w:tcW w:w="0" w:type="auto"/>
            <w:gridSpan w:val="3"/>
            <w:shd w:val="clear" w:color="auto" w:fill="auto"/>
            <w:vAlign w:val="bottom"/>
          </w:tcPr>
          <w:p w14:paraId="22CFD251" w14:textId="77777777" w:rsidR="002661BA" w:rsidRDefault="002661BA">
            <w:pPr>
              <w:rPr>
                <w:rFonts w:ascii="宋体"/>
                <w:vanish/>
              </w:rPr>
            </w:pPr>
          </w:p>
        </w:tc>
        <w:tc>
          <w:tcPr>
            <w:tcW w:w="0" w:type="auto"/>
            <w:gridSpan w:val="3"/>
            <w:shd w:val="clear" w:color="auto" w:fill="auto"/>
            <w:vAlign w:val="bottom"/>
          </w:tcPr>
          <w:p w14:paraId="22CFD252" w14:textId="77777777" w:rsidR="002661BA" w:rsidRDefault="002661BA">
            <w:pPr>
              <w:rPr>
                <w:rFonts w:ascii="宋体"/>
                <w:vanish/>
              </w:rPr>
            </w:pPr>
          </w:p>
        </w:tc>
        <w:tc>
          <w:tcPr>
            <w:tcW w:w="0" w:type="auto"/>
            <w:gridSpan w:val="3"/>
            <w:shd w:val="clear" w:color="auto" w:fill="auto"/>
            <w:vAlign w:val="bottom"/>
          </w:tcPr>
          <w:p w14:paraId="22CFD253" w14:textId="77777777" w:rsidR="002661BA" w:rsidRDefault="002661BA">
            <w:pPr>
              <w:rPr>
                <w:rFonts w:ascii="宋体"/>
                <w:vanish/>
              </w:rPr>
            </w:pPr>
          </w:p>
        </w:tc>
        <w:tc>
          <w:tcPr>
            <w:tcW w:w="0" w:type="auto"/>
            <w:gridSpan w:val="3"/>
            <w:shd w:val="clear" w:color="auto" w:fill="auto"/>
            <w:vAlign w:val="bottom"/>
          </w:tcPr>
          <w:p w14:paraId="22CFD254" w14:textId="77777777" w:rsidR="002661BA" w:rsidRDefault="002661BA">
            <w:pPr>
              <w:rPr>
                <w:rFonts w:ascii="宋体"/>
                <w:vanish/>
              </w:rPr>
            </w:pPr>
          </w:p>
        </w:tc>
      </w:tr>
      <w:tr w:rsidR="002661BA" w14:paraId="22CFD25C" w14:textId="77777777">
        <w:trPr>
          <w:hidden/>
        </w:trPr>
        <w:tc>
          <w:tcPr>
            <w:tcW w:w="0" w:type="auto"/>
            <w:gridSpan w:val="3"/>
            <w:shd w:val="clear" w:color="auto" w:fill="auto"/>
            <w:vAlign w:val="bottom"/>
          </w:tcPr>
          <w:p w14:paraId="22CFD256" w14:textId="77777777" w:rsidR="002661BA" w:rsidRDefault="002661BA">
            <w:pPr>
              <w:rPr>
                <w:rFonts w:ascii="宋体"/>
                <w:vanish/>
              </w:rPr>
            </w:pPr>
          </w:p>
        </w:tc>
        <w:tc>
          <w:tcPr>
            <w:tcW w:w="0" w:type="auto"/>
            <w:gridSpan w:val="3"/>
            <w:shd w:val="clear" w:color="auto" w:fill="auto"/>
            <w:vAlign w:val="bottom"/>
          </w:tcPr>
          <w:p w14:paraId="22CFD257" w14:textId="77777777" w:rsidR="002661BA" w:rsidRDefault="002661BA">
            <w:pPr>
              <w:rPr>
                <w:rFonts w:ascii="宋体"/>
                <w:vanish/>
              </w:rPr>
            </w:pPr>
          </w:p>
        </w:tc>
        <w:tc>
          <w:tcPr>
            <w:tcW w:w="0" w:type="auto"/>
            <w:gridSpan w:val="3"/>
            <w:shd w:val="clear" w:color="auto" w:fill="auto"/>
            <w:vAlign w:val="bottom"/>
          </w:tcPr>
          <w:p w14:paraId="22CFD258" w14:textId="77777777" w:rsidR="002661BA" w:rsidRDefault="002661BA">
            <w:pPr>
              <w:rPr>
                <w:rFonts w:ascii="宋体"/>
                <w:vanish/>
              </w:rPr>
            </w:pPr>
          </w:p>
        </w:tc>
        <w:tc>
          <w:tcPr>
            <w:tcW w:w="0" w:type="auto"/>
            <w:gridSpan w:val="3"/>
            <w:shd w:val="clear" w:color="auto" w:fill="auto"/>
            <w:vAlign w:val="bottom"/>
          </w:tcPr>
          <w:p w14:paraId="22CFD259" w14:textId="77777777" w:rsidR="002661BA" w:rsidRDefault="002661BA">
            <w:pPr>
              <w:rPr>
                <w:rFonts w:ascii="宋体"/>
                <w:vanish/>
              </w:rPr>
            </w:pPr>
          </w:p>
        </w:tc>
        <w:tc>
          <w:tcPr>
            <w:tcW w:w="0" w:type="auto"/>
            <w:gridSpan w:val="3"/>
            <w:shd w:val="clear" w:color="auto" w:fill="auto"/>
            <w:vAlign w:val="bottom"/>
          </w:tcPr>
          <w:p w14:paraId="22CFD25A" w14:textId="77777777" w:rsidR="002661BA" w:rsidRDefault="002661BA">
            <w:pPr>
              <w:rPr>
                <w:rFonts w:ascii="宋体"/>
                <w:vanish/>
              </w:rPr>
            </w:pPr>
          </w:p>
        </w:tc>
        <w:tc>
          <w:tcPr>
            <w:tcW w:w="0" w:type="auto"/>
            <w:gridSpan w:val="3"/>
            <w:shd w:val="clear" w:color="auto" w:fill="auto"/>
            <w:vAlign w:val="bottom"/>
          </w:tcPr>
          <w:p w14:paraId="22CFD25B" w14:textId="77777777" w:rsidR="002661BA" w:rsidRDefault="002661BA">
            <w:pPr>
              <w:rPr>
                <w:rFonts w:ascii="宋体"/>
                <w:vanish/>
              </w:rPr>
            </w:pPr>
          </w:p>
        </w:tc>
      </w:tr>
      <w:tr w:rsidR="002661BA" w14:paraId="22CFD266" w14:textId="77777777">
        <w:tc>
          <w:tcPr>
            <w:tcW w:w="0" w:type="auto"/>
            <w:gridSpan w:val="3"/>
            <w:shd w:val="clear" w:color="auto" w:fill="FFFFFF"/>
            <w:tcMar>
              <w:top w:w="40" w:type="dxa"/>
              <w:left w:w="245" w:type="dxa"/>
              <w:bottom w:w="40" w:type="dxa"/>
              <w:right w:w="20" w:type="dxa"/>
            </w:tcMar>
            <w:vAlign w:val="bottom"/>
          </w:tcPr>
          <w:p w14:paraId="22CFD25D" w14:textId="77777777" w:rsidR="002661BA" w:rsidRDefault="00D972BC">
            <w:pPr>
              <w:textAlignment w:val="bottom"/>
            </w:pPr>
            <w:r>
              <w:rPr>
                <w:rFonts w:ascii="Arial" w:eastAsia="宋体" w:hAnsi="Arial" w:cs="Arial"/>
                <w:color w:val="000000"/>
                <w:sz w:val="18"/>
                <w:szCs w:val="18"/>
              </w:rPr>
              <w:t>Stock-based compensation</w:t>
            </w:r>
          </w:p>
        </w:tc>
        <w:tc>
          <w:tcPr>
            <w:tcW w:w="0" w:type="auto"/>
            <w:gridSpan w:val="2"/>
            <w:shd w:val="clear" w:color="auto" w:fill="FFFFFF"/>
            <w:tcMar>
              <w:top w:w="40" w:type="dxa"/>
              <w:left w:w="20" w:type="dxa"/>
              <w:bottom w:w="40" w:type="dxa"/>
              <w:right w:w="0" w:type="dxa"/>
            </w:tcMar>
            <w:vAlign w:val="bottom"/>
          </w:tcPr>
          <w:p w14:paraId="22CFD25E" w14:textId="77777777" w:rsidR="002661BA" w:rsidRDefault="00D972BC">
            <w:pPr>
              <w:jc w:val="right"/>
              <w:textAlignment w:val="bottom"/>
            </w:pPr>
            <w:r>
              <w:rPr>
                <w:rFonts w:ascii="Arial" w:eastAsia="宋体" w:hAnsi="Arial" w:cs="Arial"/>
                <w:color w:val="000000"/>
                <w:sz w:val="18"/>
                <w:szCs w:val="18"/>
              </w:rPr>
              <w:t>(26)</w:t>
            </w:r>
          </w:p>
        </w:tc>
        <w:tc>
          <w:tcPr>
            <w:tcW w:w="0" w:type="auto"/>
            <w:shd w:val="clear" w:color="auto" w:fill="FFFFFF"/>
            <w:tcMar>
              <w:top w:w="40" w:type="dxa"/>
              <w:left w:w="0" w:type="dxa"/>
              <w:bottom w:w="40" w:type="dxa"/>
              <w:right w:w="20" w:type="dxa"/>
            </w:tcMar>
            <w:vAlign w:val="bottom"/>
          </w:tcPr>
          <w:p w14:paraId="22CFD25F"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260"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D261" w14:textId="77777777" w:rsidR="002661BA" w:rsidRDefault="00D972BC">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22CFD262"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263"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D264" w14:textId="77777777" w:rsidR="002661BA" w:rsidRDefault="00D972BC">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22CFD265" w14:textId="77777777" w:rsidR="002661BA" w:rsidRDefault="002661BA">
            <w:pPr>
              <w:jc w:val="right"/>
              <w:rPr>
                <w:rFonts w:ascii="宋体"/>
              </w:rPr>
            </w:pPr>
          </w:p>
        </w:tc>
      </w:tr>
      <w:tr w:rsidR="002661BA" w14:paraId="22CFD270" w14:textId="77777777">
        <w:tc>
          <w:tcPr>
            <w:tcW w:w="0" w:type="auto"/>
            <w:gridSpan w:val="3"/>
            <w:shd w:val="clear" w:color="auto" w:fill="E2E2E2"/>
            <w:tcMar>
              <w:top w:w="40" w:type="dxa"/>
              <w:left w:w="245" w:type="dxa"/>
              <w:bottom w:w="40" w:type="dxa"/>
              <w:right w:w="20" w:type="dxa"/>
            </w:tcMar>
            <w:vAlign w:val="bottom"/>
          </w:tcPr>
          <w:p w14:paraId="22CFD267" w14:textId="77777777" w:rsidR="002661BA" w:rsidRDefault="00D972BC">
            <w:pPr>
              <w:textAlignment w:val="bottom"/>
            </w:pPr>
            <w:r>
              <w:rPr>
                <w:rFonts w:ascii="Arial" w:eastAsia="宋体" w:hAnsi="Arial" w:cs="Arial"/>
                <w:color w:val="000000"/>
                <w:sz w:val="18"/>
                <w:szCs w:val="18"/>
              </w:rPr>
              <w:t>State taxes, net of federal benefit</w:t>
            </w:r>
          </w:p>
        </w:tc>
        <w:tc>
          <w:tcPr>
            <w:tcW w:w="0" w:type="auto"/>
            <w:gridSpan w:val="2"/>
            <w:shd w:val="clear" w:color="auto" w:fill="E2E2E2"/>
            <w:tcMar>
              <w:top w:w="40" w:type="dxa"/>
              <w:left w:w="20" w:type="dxa"/>
              <w:bottom w:w="40" w:type="dxa"/>
              <w:right w:w="0" w:type="dxa"/>
            </w:tcMar>
            <w:vAlign w:val="bottom"/>
          </w:tcPr>
          <w:p w14:paraId="22CFD268" w14:textId="77777777" w:rsidR="002661BA" w:rsidRDefault="00D972BC">
            <w:pPr>
              <w:jc w:val="right"/>
              <w:textAlignment w:val="bottom"/>
            </w:pPr>
            <w:r>
              <w:rPr>
                <w:rFonts w:ascii="Arial" w:eastAsia="宋体" w:hAnsi="Arial" w:cs="Arial"/>
                <w:color w:val="000000"/>
                <w:sz w:val="18"/>
                <w:szCs w:val="18"/>
              </w:rPr>
              <w:t>3 </w:t>
            </w:r>
          </w:p>
        </w:tc>
        <w:tc>
          <w:tcPr>
            <w:tcW w:w="0" w:type="auto"/>
            <w:shd w:val="clear" w:color="auto" w:fill="E2E2E2"/>
            <w:tcMar>
              <w:top w:w="40" w:type="dxa"/>
              <w:left w:w="0" w:type="dxa"/>
              <w:bottom w:w="40" w:type="dxa"/>
              <w:right w:w="20" w:type="dxa"/>
            </w:tcMar>
            <w:vAlign w:val="bottom"/>
          </w:tcPr>
          <w:p w14:paraId="22CFD269"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26A"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D26B" w14:textId="77777777" w:rsidR="002661BA" w:rsidRDefault="00D972BC">
            <w:pPr>
              <w:jc w:val="right"/>
              <w:textAlignment w:val="bottom"/>
            </w:pPr>
            <w:r>
              <w:rPr>
                <w:rFonts w:ascii="Arial" w:eastAsia="宋体" w:hAnsi="Arial" w:cs="Arial"/>
                <w:color w:val="000000"/>
                <w:sz w:val="18"/>
                <w:szCs w:val="18"/>
              </w:rPr>
              <w:t>80 </w:t>
            </w:r>
          </w:p>
        </w:tc>
        <w:tc>
          <w:tcPr>
            <w:tcW w:w="0" w:type="auto"/>
            <w:shd w:val="clear" w:color="auto" w:fill="E2E2E2"/>
            <w:tcMar>
              <w:top w:w="40" w:type="dxa"/>
              <w:left w:w="0" w:type="dxa"/>
              <w:bottom w:w="40" w:type="dxa"/>
              <w:right w:w="20" w:type="dxa"/>
            </w:tcMar>
            <w:vAlign w:val="bottom"/>
          </w:tcPr>
          <w:p w14:paraId="22CFD26C"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26D"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D26E" w14:textId="77777777" w:rsidR="002661BA" w:rsidRDefault="00D972BC">
            <w:pPr>
              <w:jc w:val="right"/>
              <w:textAlignment w:val="bottom"/>
            </w:pPr>
            <w:r>
              <w:rPr>
                <w:rFonts w:ascii="Arial" w:eastAsia="宋体" w:hAnsi="Arial" w:cs="Arial"/>
                <w:color w:val="000000"/>
                <w:sz w:val="18"/>
                <w:szCs w:val="18"/>
              </w:rPr>
              <w:t>(24)</w:t>
            </w:r>
          </w:p>
        </w:tc>
        <w:tc>
          <w:tcPr>
            <w:tcW w:w="0" w:type="auto"/>
            <w:shd w:val="clear" w:color="auto" w:fill="E2E2E2"/>
            <w:tcMar>
              <w:top w:w="40" w:type="dxa"/>
              <w:left w:w="0" w:type="dxa"/>
              <w:bottom w:w="40" w:type="dxa"/>
              <w:right w:w="20" w:type="dxa"/>
            </w:tcMar>
            <w:vAlign w:val="bottom"/>
          </w:tcPr>
          <w:p w14:paraId="22CFD26F" w14:textId="77777777" w:rsidR="002661BA" w:rsidRDefault="002661BA">
            <w:pPr>
              <w:jc w:val="right"/>
              <w:rPr>
                <w:rFonts w:ascii="宋体"/>
              </w:rPr>
            </w:pPr>
          </w:p>
        </w:tc>
      </w:tr>
      <w:tr w:rsidR="002661BA" w14:paraId="22CFD27A" w14:textId="77777777">
        <w:tc>
          <w:tcPr>
            <w:tcW w:w="0" w:type="auto"/>
            <w:gridSpan w:val="3"/>
            <w:shd w:val="clear" w:color="auto" w:fill="FFFFFF"/>
            <w:tcMar>
              <w:top w:w="40" w:type="dxa"/>
              <w:left w:w="245" w:type="dxa"/>
              <w:bottom w:w="40" w:type="dxa"/>
              <w:right w:w="20" w:type="dxa"/>
            </w:tcMar>
            <w:vAlign w:val="bottom"/>
          </w:tcPr>
          <w:p w14:paraId="22CFD271" w14:textId="77777777" w:rsidR="002661BA" w:rsidRDefault="00D972BC">
            <w:pPr>
              <w:textAlignment w:val="bottom"/>
            </w:pPr>
            <w:r>
              <w:rPr>
                <w:rFonts w:ascii="Arial" w:eastAsia="宋体" w:hAnsi="Arial" w:cs="Arial"/>
                <w:color w:val="000000"/>
                <w:sz w:val="18"/>
                <w:szCs w:val="18"/>
              </w:rPr>
              <w:t>Research and other tax credits</w:t>
            </w:r>
          </w:p>
        </w:tc>
        <w:tc>
          <w:tcPr>
            <w:tcW w:w="0" w:type="auto"/>
            <w:gridSpan w:val="2"/>
            <w:shd w:val="clear" w:color="auto" w:fill="FFFFFF"/>
            <w:tcMar>
              <w:top w:w="40" w:type="dxa"/>
              <w:left w:w="20" w:type="dxa"/>
              <w:bottom w:w="40" w:type="dxa"/>
              <w:right w:w="0" w:type="dxa"/>
            </w:tcMar>
            <w:vAlign w:val="bottom"/>
          </w:tcPr>
          <w:p w14:paraId="22CFD272" w14:textId="77777777" w:rsidR="002661BA" w:rsidRDefault="00D972BC">
            <w:pPr>
              <w:jc w:val="right"/>
              <w:textAlignment w:val="bottom"/>
            </w:pPr>
            <w:r>
              <w:rPr>
                <w:rFonts w:ascii="Arial" w:eastAsia="宋体" w:hAnsi="Arial" w:cs="Arial"/>
                <w:color w:val="000000"/>
                <w:sz w:val="18"/>
                <w:szCs w:val="18"/>
              </w:rPr>
              <w:t>(39)</w:t>
            </w:r>
          </w:p>
        </w:tc>
        <w:tc>
          <w:tcPr>
            <w:tcW w:w="0" w:type="auto"/>
            <w:shd w:val="clear" w:color="auto" w:fill="FFFFFF"/>
            <w:tcMar>
              <w:top w:w="40" w:type="dxa"/>
              <w:left w:w="0" w:type="dxa"/>
              <w:bottom w:w="40" w:type="dxa"/>
              <w:right w:w="20" w:type="dxa"/>
            </w:tcMar>
            <w:vAlign w:val="bottom"/>
          </w:tcPr>
          <w:p w14:paraId="22CFD273"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274"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D275" w14:textId="77777777" w:rsidR="002661BA" w:rsidRDefault="00D972BC">
            <w:pPr>
              <w:jc w:val="right"/>
              <w:textAlignment w:val="bottom"/>
            </w:pPr>
            <w:r>
              <w:rPr>
                <w:rFonts w:ascii="Arial" w:eastAsia="宋体" w:hAnsi="Arial" w:cs="Arial"/>
                <w:color w:val="000000"/>
                <w:sz w:val="18"/>
                <w:szCs w:val="18"/>
              </w:rPr>
              <w:t>(28)</w:t>
            </w:r>
          </w:p>
        </w:tc>
        <w:tc>
          <w:tcPr>
            <w:tcW w:w="0" w:type="auto"/>
            <w:shd w:val="clear" w:color="auto" w:fill="FFFFFF"/>
            <w:tcMar>
              <w:top w:w="40" w:type="dxa"/>
              <w:left w:w="0" w:type="dxa"/>
              <w:bottom w:w="40" w:type="dxa"/>
              <w:right w:w="20" w:type="dxa"/>
            </w:tcMar>
            <w:vAlign w:val="bottom"/>
          </w:tcPr>
          <w:p w14:paraId="22CFD276"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277"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D278" w14:textId="77777777" w:rsidR="002661BA" w:rsidRDefault="00D972BC">
            <w:pPr>
              <w:jc w:val="right"/>
              <w:textAlignment w:val="bottom"/>
            </w:pPr>
            <w:r>
              <w:rPr>
                <w:rFonts w:ascii="Arial" w:eastAsia="宋体" w:hAnsi="Arial" w:cs="Arial"/>
                <w:color w:val="000000"/>
                <w:sz w:val="18"/>
                <w:szCs w:val="18"/>
              </w:rPr>
              <w:t>(29)</w:t>
            </w:r>
          </w:p>
        </w:tc>
        <w:tc>
          <w:tcPr>
            <w:tcW w:w="0" w:type="auto"/>
            <w:shd w:val="clear" w:color="auto" w:fill="FFFFFF"/>
            <w:tcMar>
              <w:top w:w="40" w:type="dxa"/>
              <w:left w:w="0" w:type="dxa"/>
              <w:bottom w:w="40" w:type="dxa"/>
              <w:right w:w="20" w:type="dxa"/>
            </w:tcMar>
            <w:vAlign w:val="bottom"/>
          </w:tcPr>
          <w:p w14:paraId="22CFD279" w14:textId="77777777" w:rsidR="002661BA" w:rsidRDefault="002661BA">
            <w:pPr>
              <w:jc w:val="right"/>
              <w:rPr>
                <w:rFonts w:ascii="宋体"/>
              </w:rPr>
            </w:pPr>
          </w:p>
        </w:tc>
      </w:tr>
      <w:tr w:rsidR="002661BA" w14:paraId="22CFD281" w14:textId="77777777">
        <w:trPr>
          <w:hidden/>
        </w:trPr>
        <w:tc>
          <w:tcPr>
            <w:tcW w:w="0" w:type="auto"/>
            <w:gridSpan w:val="3"/>
            <w:shd w:val="clear" w:color="auto" w:fill="auto"/>
            <w:vAlign w:val="bottom"/>
          </w:tcPr>
          <w:p w14:paraId="22CFD27B" w14:textId="77777777" w:rsidR="002661BA" w:rsidRDefault="002661BA">
            <w:pPr>
              <w:rPr>
                <w:rFonts w:ascii="宋体"/>
                <w:vanish/>
              </w:rPr>
            </w:pPr>
          </w:p>
        </w:tc>
        <w:tc>
          <w:tcPr>
            <w:tcW w:w="0" w:type="auto"/>
            <w:gridSpan w:val="3"/>
            <w:shd w:val="clear" w:color="auto" w:fill="auto"/>
            <w:vAlign w:val="bottom"/>
          </w:tcPr>
          <w:p w14:paraId="22CFD27C" w14:textId="77777777" w:rsidR="002661BA" w:rsidRDefault="002661BA">
            <w:pPr>
              <w:rPr>
                <w:rFonts w:ascii="宋体"/>
                <w:vanish/>
              </w:rPr>
            </w:pPr>
          </w:p>
        </w:tc>
        <w:tc>
          <w:tcPr>
            <w:tcW w:w="0" w:type="auto"/>
            <w:gridSpan w:val="3"/>
            <w:shd w:val="clear" w:color="auto" w:fill="auto"/>
            <w:vAlign w:val="bottom"/>
          </w:tcPr>
          <w:p w14:paraId="22CFD27D" w14:textId="77777777" w:rsidR="002661BA" w:rsidRDefault="002661BA">
            <w:pPr>
              <w:rPr>
                <w:rFonts w:ascii="宋体"/>
                <w:vanish/>
              </w:rPr>
            </w:pPr>
          </w:p>
        </w:tc>
        <w:tc>
          <w:tcPr>
            <w:tcW w:w="0" w:type="auto"/>
            <w:gridSpan w:val="3"/>
            <w:shd w:val="clear" w:color="auto" w:fill="auto"/>
            <w:vAlign w:val="bottom"/>
          </w:tcPr>
          <w:p w14:paraId="22CFD27E" w14:textId="77777777" w:rsidR="002661BA" w:rsidRDefault="002661BA">
            <w:pPr>
              <w:rPr>
                <w:rFonts w:ascii="宋体"/>
                <w:vanish/>
              </w:rPr>
            </w:pPr>
          </w:p>
        </w:tc>
        <w:tc>
          <w:tcPr>
            <w:tcW w:w="0" w:type="auto"/>
            <w:gridSpan w:val="3"/>
            <w:shd w:val="clear" w:color="auto" w:fill="auto"/>
            <w:vAlign w:val="bottom"/>
          </w:tcPr>
          <w:p w14:paraId="22CFD27F" w14:textId="77777777" w:rsidR="002661BA" w:rsidRDefault="002661BA">
            <w:pPr>
              <w:rPr>
                <w:rFonts w:ascii="宋体"/>
                <w:vanish/>
              </w:rPr>
            </w:pPr>
          </w:p>
        </w:tc>
        <w:tc>
          <w:tcPr>
            <w:tcW w:w="0" w:type="auto"/>
            <w:gridSpan w:val="3"/>
            <w:shd w:val="clear" w:color="auto" w:fill="auto"/>
            <w:vAlign w:val="bottom"/>
          </w:tcPr>
          <w:p w14:paraId="22CFD280" w14:textId="77777777" w:rsidR="002661BA" w:rsidRDefault="002661BA">
            <w:pPr>
              <w:rPr>
                <w:rFonts w:ascii="宋体"/>
                <w:vanish/>
              </w:rPr>
            </w:pPr>
          </w:p>
        </w:tc>
      </w:tr>
      <w:tr w:rsidR="002661BA" w14:paraId="22CFD288" w14:textId="77777777">
        <w:trPr>
          <w:hidden/>
        </w:trPr>
        <w:tc>
          <w:tcPr>
            <w:tcW w:w="0" w:type="auto"/>
            <w:gridSpan w:val="3"/>
            <w:shd w:val="clear" w:color="auto" w:fill="auto"/>
            <w:vAlign w:val="bottom"/>
          </w:tcPr>
          <w:p w14:paraId="22CFD282" w14:textId="77777777" w:rsidR="002661BA" w:rsidRDefault="002661BA">
            <w:pPr>
              <w:rPr>
                <w:rFonts w:ascii="宋体"/>
                <w:vanish/>
              </w:rPr>
            </w:pPr>
          </w:p>
        </w:tc>
        <w:tc>
          <w:tcPr>
            <w:tcW w:w="0" w:type="auto"/>
            <w:gridSpan w:val="3"/>
            <w:shd w:val="clear" w:color="auto" w:fill="auto"/>
            <w:vAlign w:val="bottom"/>
          </w:tcPr>
          <w:p w14:paraId="22CFD283" w14:textId="77777777" w:rsidR="002661BA" w:rsidRDefault="002661BA">
            <w:pPr>
              <w:rPr>
                <w:rFonts w:ascii="宋体"/>
                <w:vanish/>
              </w:rPr>
            </w:pPr>
          </w:p>
        </w:tc>
        <w:tc>
          <w:tcPr>
            <w:tcW w:w="0" w:type="auto"/>
            <w:gridSpan w:val="3"/>
            <w:shd w:val="clear" w:color="auto" w:fill="auto"/>
            <w:vAlign w:val="bottom"/>
          </w:tcPr>
          <w:p w14:paraId="22CFD284" w14:textId="77777777" w:rsidR="002661BA" w:rsidRDefault="002661BA">
            <w:pPr>
              <w:rPr>
                <w:rFonts w:ascii="宋体"/>
                <w:vanish/>
              </w:rPr>
            </w:pPr>
          </w:p>
        </w:tc>
        <w:tc>
          <w:tcPr>
            <w:tcW w:w="0" w:type="auto"/>
            <w:gridSpan w:val="3"/>
            <w:shd w:val="clear" w:color="auto" w:fill="auto"/>
            <w:vAlign w:val="bottom"/>
          </w:tcPr>
          <w:p w14:paraId="22CFD285" w14:textId="77777777" w:rsidR="002661BA" w:rsidRDefault="002661BA">
            <w:pPr>
              <w:rPr>
                <w:rFonts w:ascii="宋体"/>
                <w:vanish/>
              </w:rPr>
            </w:pPr>
          </w:p>
        </w:tc>
        <w:tc>
          <w:tcPr>
            <w:tcW w:w="0" w:type="auto"/>
            <w:gridSpan w:val="3"/>
            <w:shd w:val="clear" w:color="auto" w:fill="auto"/>
            <w:vAlign w:val="bottom"/>
          </w:tcPr>
          <w:p w14:paraId="22CFD286" w14:textId="77777777" w:rsidR="002661BA" w:rsidRDefault="002661BA">
            <w:pPr>
              <w:rPr>
                <w:rFonts w:ascii="宋体"/>
                <w:vanish/>
              </w:rPr>
            </w:pPr>
          </w:p>
        </w:tc>
        <w:tc>
          <w:tcPr>
            <w:tcW w:w="0" w:type="auto"/>
            <w:gridSpan w:val="3"/>
            <w:shd w:val="clear" w:color="auto" w:fill="auto"/>
            <w:vAlign w:val="bottom"/>
          </w:tcPr>
          <w:p w14:paraId="22CFD287" w14:textId="77777777" w:rsidR="002661BA" w:rsidRDefault="002661BA">
            <w:pPr>
              <w:rPr>
                <w:rFonts w:ascii="宋体"/>
                <w:vanish/>
              </w:rPr>
            </w:pPr>
          </w:p>
        </w:tc>
      </w:tr>
      <w:tr w:rsidR="002661BA" w14:paraId="22CFD292" w14:textId="77777777">
        <w:tc>
          <w:tcPr>
            <w:tcW w:w="0" w:type="auto"/>
            <w:gridSpan w:val="3"/>
            <w:shd w:val="clear" w:color="auto" w:fill="E2E2E2"/>
            <w:tcMar>
              <w:top w:w="40" w:type="dxa"/>
              <w:left w:w="245" w:type="dxa"/>
              <w:bottom w:w="40" w:type="dxa"/>
              <w:right w:w="20" w:type="dxa"/>
            </w:tcMar>
            <w:vAlign w:val="bottom"/>
          </w:tcPr>
          <w:p w14:paraId="22CFD289" w14:textId="77777777" w:rsidR="002661BA" w:rsidRDefault="00D972BC">
            <w:pPr>
              <w:textAlignment w:val="bottom"/>
            </w:pPr>
            <w:r>
              <w:rPr>
                <w:rFonts w:ascii="Arial" w:eastAsia="宋体" w:hAnsi="Arial" w:cs="Arial"/>
                <w:color w:val="000000"/>
                <w:sz w:val="18"/>
                <w:szCs w:val="18"/>
              </w:rPr>
              <w:t>Impact of tax rate change</w:t>
            </w:r>
          </w:p>
        </w:tc>
        <w:tc>
          <w:tcPr>
            <w:tcW w:w="0" w:type="auto"/>
            <w:gridSpan w:val="2"/>
            <w:shd w:val="clear" w:color="auto" w:fill="E2E2E2"/>
            <w:tcMar>
              <w:top w:w="40" w:type="dxa"/>
              <w:left w:w="20" w:type="dxa"/>
              <w:bottom w:w="40" w:type="dxa"/>
              <w:right w:w="0" w:type="dxa"/>
            </w:tcMar>
            <w:vAlign w:val="bottom"/>
          </w:tcPr>
          <w:p w14:paraId="22CFD28A" w14:textId="77777777" w:rsidR="002661BA" w:rsidRDefault="00D972BC">
            <w:pPr>
              <w:jc w:val="right"/>
              <w:textAlignment w:val="bottom"/>
            </w:pPr>
            <w:r>
              <w:rPr>
                <w:rFonts w:ascii="Arial" w:eastAsia="宋体" w:hAnsi="Arial" w:cs="Arial"/>
                <w:color w:val="000000"/>
                <w:sz w:val="18"/>
                <w:szCs w:val="18"/>
              </w:rPr>
              <w:t>(3)</w:t>
            </w:r>
          </w:p>
        </w:tc>
        <w:tc>
          <w:tcPr>
            <w:tcW w:w="0" w:type="auto"/>
            <w:shd w:val="clear" w:color="auto" w:fill="E2E2E2"/>
            <w:tcMar>
              <w:top w:w="40" w:type="dxa"/>
              <w:left w:w="0" w:type="dxa"/>
              <w:bottom w:w="40" w:type="dxa"/>
              <w:right w:w="20" w:type="dxa"/>
            </w:tcMar>
            <w:vAlign w:val="bottom"/>
          </w:tcPr>
          <w:p w14:paraId="22CFD28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28C"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28D" w14:textId="77777777" w:rsidR="002661BA" w:rsidRDefault="00D972BC">
            <w:pPr>
              <w:jc w:val="right"/>
              <w:textAlignment w:val="bottom"/>
            </w:pPr>
            <w:r>
              <w:rPr>
                <w:rFonts w:ascii="Arial" w:eastAsia="宋体" w:hAnsi="Arial" w:cs="Arial"/>
                <w:color w:val="000000"/>
                <w:sz w:val="18"/>
                <w:szCs w:val="18"/>
              </w:rPr>
              <w:t>43 </w:t>
            </w:r>
          </w:p>
        </w:tc>
        <w:tc>
          <w:tcPr>
            <w:tcW w:w="0" w:type="auto"/>
            <w:shd w:val="clear" w:color="auto" w:fill="E2E2E2"/>
            <w:tcMar>
              <w:top w:w="40" w:type="dxa"/>
              <w:left w:w="0" w:type="dxa"/>
              <w:bottom w:w="40" w:type="dxa"/>
              <w:right w:w="20" w:type="dxa"/>
            </w:tcMar>
            <w:vAlign w:val="bottom"/>
          </w:tcPr>
          <w:p w14:paraId="22CFD28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28F"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290" w14:textId="77777777" w:rsidR="002661BA" w:rsidRDefault="00D972BC">
            <w:pPr>
              <w:jc w:val="right"/>
              <w:textAlignment w:val="bottom"/>
            </w:pPr>
            <w:r>
              <w:rPr>
                <w:rFonts w:ascii="Arial" w:eastAsia="宋体" w:hAnsi="Arial" w:cs="Arial"/>
                <w:color w:val="000000"/>
                <w:sz w:val="18"/>
                <w:szCs w:val="18"/>
              </w:rPr>
              <w:t>(21)</w:t>
            </w:r>
          </w:p>
        </w:tc>
        <w:tc>
          <w:tcPr>
            <w:tcW w:w="0" w:type="auto"/>
            <w:shd w:val="clear" w:color="auto" w:fill="E2E2E2"/>
            <w:tcMar>
              <w:top w:w="40" w:type="dxa"/>
              <w:left w:w="0" w:type="dxa"/>
              <w:bottom w:w="40" w:type="dxa"/>
              <w:right w:w="20" w:type="dxa"/>
            </w:tcMar>
            <w:vAlign w:val="bottom"/>
          </w:tcPr>
          <w:p w14:paraId="22CFD291" w14:textId="77777777" w:rsidR="002661BA" w:rsidRDefault="002661BA">
            <w:pPr>
              <w:jc w:val="right"/>
              <w:rPr>
                <w:rFonts w:ascii="宋体"/>
              </w:rPr>
            </w:pPr>
          </w:p>
        </w:tc>
      </w:tr>
      <w:tr w:rsidR="002661BA" w14:paraId="22CFD299" w14:textId="77777777">
        <w:trPr>
          <w:hidden/>
        </w:trPr>
        <w:tc>
          <w:tcPr>
            <w:tcW w:w="0" w:type="auto"/>
            <w:gridSpan w:val="3"/>
            <w:shd w:val="clear" w:color="auto" w:fill="auto"/>
            <w:vAlign w:val="bottom"/>
          </w:tcPr>
          <w:p w14:paraId="22CFD293" w14:textId="77777777" w:rsidR="002661BA" w:rsidRDefault="002661BA">
            <w:pPr>
              <w:rPr>
                <w:rFonts w:ascii="宋体"/>
                <w:vanish/>
              </w:rPr>
            </w:pPr>
          </w:p>
        </w:tc>
        <w:tc>
          <w:tcPr>
            <w:tcW w:w="0" w:type="auto"/>
            <w:gridSpan w:val="3"/>
            <w:shd w:val="clear" w:color="auto" w:fill="auto"/>
            <w:vAlign w:val="bottom"/>
          </w:tcPr>
          <w:p w14:paraId="22CFD294" w14:textId="77777777" w:rsidR="002661BA" w:rsidRDefault="002661BA">
            <w:pPr>
              <w:rPr>
                <w:rFonts w:ascii="宋体"/>
                <w:vanish/>
              </w:rPr>
            </w:pPr>
          </w:p>
        </w:tc>
        <w:tc>
          <w:tcPr>
            <w:tcW w:w="0" w:type="auto"/>
            <w:gridSpan w:val="3"/>
            <w:shd w:val="clear" w:color="auto" w:fill="auto"/>
            <w:vAlign w:val="bottom"/>
          </w:tcPr>
          <w:p w14:paraId="22CFD295" w14:textId="77777777" w:rsidR="002661BA" w:rsidRDefault="002661BA">
            <w:pPr>
              <w:rPr>
                <w:rFonts w:ascii="宋体"/>
                <w:vanish/>
              </w:rPr>
            </w:pPr>
          </w:p>
        </w:tc>
        <w:tc>
          <w:tcPr>
            <w:tcW w:w="0" w:type="auto"/>
            <w:gridSpan w:val="3"/>
            <w:shd w:val="clear" w:color="auto" w:fill="auto"/>
            <w:vAlign w:val="bottom"/>
          </w:tcPr>
          <w:p w14:paraId="22CFD296" w14:textId="77777777" w:rsidR="002661BA" w:rsidRDefault="002661BA">
            <w:pPr>
              <w:rPr>
                <w:rFonts w:ascii="宋体"/>
                <w:vanish/>
              </w:rPr>
            </w:pPr>
          </w:p>
        </w:tc>
        <w:tc>
          <w:tcPr>
            <w:tcW w:w="0" w:type="auto"/>
            <w:gridSpan w:val="3"/>
            <w:shd w:val="clear" w:color="auto" w:fill="auto"/>
            <w:vAlign w:val="bottom"/>
          </w:tcPr>
          <w:p w14:paraId="22CFD297" w14:textId="77777777" w:rsidR="002661BA" w:rsidRDefault="002661BA">
            <w:pPr>
              <w:rPr>
                <w:rFonts w:ascii="宋体"/>
                <w:vanish/>
              </w:rPr>
            </w:pPr>
          </w:p>
        </w:tc>
        <w:tc>
          <w:tcPr>
            <w:tcW w:w="0" w:type="auto"/>
            <w:gridSpan w:val="3"/>
            <w:shd w:val="clear" w:color="auto" w:fill="auto"/>
            <w:vAlign w:val="bottom"/>
          </w:tcPr>
          <w:p w14:paraId="22CFD298" w14:textId="77777777" w:rsidR="002661BA" w:rsidRDefault="002661BA">
            <w:pPr>
              <w:rPr>
                <w:rFonts w:ascii="宋体"/>
                <w:vanish/>
              </w:rPr>
            </w:pPr>
          </w:p>
        </w:tc>
      </w:tr>
      <w:tr w:rsidR="002661BA" w14:paraId="22CFD2A3" w14:textId="77777777">
        <w:tc>
          <w:tcPr>
            <w:tcW w:w="0" w:type="auto"/>
            <w:gridSpan w:val="3"/>
            <w:shd w:val="clear" w:color="auto" w:fill="FFFFFF"/>
            <w:tcMar>
              <w:top w:w="40" w:type="dxa"/>
              <w:left w:w="245" w:type="dxa"/>
              <w:bottom w:w="40" w:type="dxa"/>
              <w:right w:w="20" w:type="dxa"/>
            </w:tcMar>
            <w:vAlign w:val="bottom"/>
          </w:tcPr>
          <w:p w14:paraId="22CFD29A" w14:textId="77777777" w:rsidR="002661BA" w:rsidRDefault="00D972BC">
            <w:pPr>
              <w:textAlignment w:val="bottom"/>
            </w:pPr>
            <w:r>
              <w:rPr>
                <w:rFonts w:ascii="Arial" w:eastAsia="宋体" w:hAnsi="Arial" w:cs="Arial"/>
                <w:color w:val="000000"/>
                <w:sz w:val="18"/>
                <w:szCs w:val="18"/>
              </w:rPr>
              <w:t>Effective settlement of audits</w:t>
            </w:r>
          </w:p>
        </w:tc>
        <w:tc>
          <w:tcPr>
            <w:tcW w:w="0" w:type="auto"/>
            <w:gridSpan w:val="2"/>
            <w:shd w:val="clear" w:color="auto" w:fill="FFFFFF"/>
            <w:tcMar>
              <w:top w:w="40" w:type="dxa"/>
              <w:left w:w="20" w:type="dxa"/>
              <w:bottom w:w="40" w:type="dxa"/>
              <w:right w:w="0" w:type="dxa"/>
            </w:tcMar>
            <w:vAlign w:val="bottom"/>
          </w:tcPr>
          <w:p w14:paraId="22CFD29B"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29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29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29E"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29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2A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2A1" w14:textId="77777777" w:rsidR="002661BA" w:rsidRDefault="00D972BC">
            <w:pPr>
              <w:jc w:val="right"/>
              <w:textAlignment w:val="bottom"/>
            </w:pPr>
            <w:r>
              <w:rPr>
                <w:rFonts w:ascii="Arial" w:eastAsia="宋体" w:hAnsi="Arial" w:cs="Arial"/>
                <w:color w:val="000000"/>
                <w:sz w:val="18"/>
                <w:szCs w:val="18"/>
              </w:rPr>
              <w:t>(69)</w:t>
            </w:r>
          </w:p>
        </w:tc>
        <w:tc>
          <w:tcPr>
            <w:tcW w:w="0" w:type="auto"/>
            <w:shd w:val="clear" w:color="auto" w:fill="FFFFFF"/>
            <w:tcMar>
              <w:top w:w="40" w:type="dxa"/>
              <w:left w:w="0" w:type="dxa"/>
              <w:bottom w:w="40" w:type="dxa"/>
              <w:right w:w="20" w:type="dxa"/>
            </w:tcMar>
            <w:vAlign w:val="bottom"/>
          </w:tcPr>
          <w:p w14:paraId="22CFD2A2" w14:textId="77777777" w:rsidR="002661BA" w:rsidRDefault="002661BA">
            <w:pPr>
              <w:jc w:val="right"/>
              <w:rPr>
                <w:rFonts w:ascii="宋体"/>
              </w:rPr>
            </w:pPr>
          </w:p>
        </w:tc>
      </w:tr>
      <w:tr w:rsidR="002661BA" w14:paraId="22CFD2AD" w14:textId="77777777">
        <w:tc>
          <w:tcPr>
            <w:tcW w:w="0" w:type="auto"/>
            <w:gridSpan w:val="3"/>
            <w:shd w:val="clear" w:color="auto" w:fill="E2E2E2"/>
            <w:tcMar>
              <w:top w:w="40" w:type="dxa"/>
              <w:left w:w="245" w:type="dxa"/>
              <w:bottom w:w="40" w:type="dxa"/>
              <w:right w:w="20" w:type="dxa"/>
            </w:tcMar>
            <w:vAlign w:val="bottom"/>
          </w:tcPr>
          <w:p w14:paraId="22CFD2A4" w14:textId="77777777" w:rsidR="002661BA" w:rsidRDefault="00D972BC">
            <w:pPr>
              <w:textAlignment w:val="bottom"/>
            </w:pPr>
            <w:r>
              <w:rPr>
                <w:rFonts w:ascii="Arial" w:eastAsia="宋体" w:hAnsi="Arial" w:cs="Arial"/>
                <w:color w:val="000000"/>
                <w:sz w:val="18"/>
                <w:szCs w:val="18"/>
              </w:rPr>
              <w:t>Non-deductible executive compensation</w:t>
            </w:r>
          </w:p>
        </w:tc>
        <w:tc>
          <w:tcPr>
            <w:tcW w:w="0" w:type="auto"/>
            <w:gridSpan w:val="2"/>
            <w:shd w:val="clear" w:color="auto" w:fill="E2E2E2"/>
            <w:tcMar>
              <w:top w:w="40" w:type="dxa"/>
              <w:left w:w="20" w:type="dxa"/>
              <w:bottom w:w="40" w:type="dxa"/>
              <w:right w:w="0" w:type="dxa"/>
            </w:tcMar>
            <w:vAlign w:val="bottom"/>
          </w:tcPr>
          <w:p w14:paraId="22CFD2A5" w14:textId="77777777" w:rsidR="002661BA" w:rsidRDefault="00D972BC">
            <w:pPr>
              <w:jc w:val="right"/>
              <w:textAlignment w:val="bottom"/>
            </w:pPr>
            <w:r>
              <w:rPr>
                <w:rFonts w:ascii="Arial" w:eastAsia="宋体" w:hAnsi="Arial" w:cs="Arial"/>
                <w:color w:val="000000"/>
                <w:sz w:val="18"/>
                <w:szCs w:val="18"/>
              </w:rPr>
              <w:t>10 </w:t>
            </w:r>
          </w:p>
        </w:tc>
        <w:tc>
          <w:tcPr>
            <w:tcW w:w="0" w:type="auto"/>
            <w:shd w:val="clear" w:color="auto" w:fill="E2E2E2"/>
            <w:tcMar>
              <w:top w:w="40" w:type="dxa"/>
              <w:left w:w="0" w:type="dxa"/>
              <w:bottom w:w="40" w:type="dxa"/>
              <w:right w:w="20" w:type="dxa"/>
            </w:tcMar>
            <w:vAlign w:val="bottom"/>
          </w:tcPr>
          <w:p w14:paraId="22CFD2A6"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2A7"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2A8" w14:textId="77777777" w:rsidR="002661BA" w:rsidRDefault="00D972BC">
            <w:pPr>
              <w:jc w:val="right"/>
              <w:textAlignment w:val="bottom"/>
            </w:pPr>
            <w:r>
              <w:rPr>
                <w:rFonts w:ascii="Arial" w:eastAsia="宋体" w:hAnsi="Arial" w:cs="Arial"/>
                <w:color w:val="000000"/>
                <w:sz w:val="18"/>
                <w:szCs w:val="18"/>
              </w:rPr>
              <w:t>9 </w:t>
            </w:r>
          </w:p>
        </w:tc>
        <w:tc>
          <w:tcPr>
            <w:tcW w:w="0" w:type="auto"/>
            <w:shd w:val="clear" w:color="auto" w:fill="E2E2E2"/>
            <w:tcMar>
              <w:top w:w="40" w:type="dxa"/>
              <w:left w:w="0" w:type="dxa"/>
              <w:bottom w:w="40" w:type="dxa"/>
              <w:right w:w="20" w:type="dxa"/>
            </w:tcMar>
            <w:vAlign w:val="bottom"/>
          </w:tcPr>
          <w:p w14:paraId="22CFD2A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2AA"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2AB" w14:textId="77777777" w:rsidR="002661BA" w:rsidRDefault="00D972BC">
            <w:pPr>
              <w:jc w:val="right"/>
              <w:textAlignment w:val="bottom"/>
            </w:pPr>
            <w:r>
              <w:rPr>
                <w:rFonts w:ascii="Arial" w:eastAsia="宋体" w:hAnsi="Arial" w:cs="Arial"/>
                <w:color w:val="000000"/>
                <w:sz w:val="18"/>
                <w:szCs w:val="18"/>
              </w:rPr>
              <w:t>10 </w:t>
            </w:r>
          </w:p>
        </w:tc>
        <w:tc>
          <w:tcPr>
            <w:tcW w:w="0" w:type="auto"/>
            <w:shd w:val="clear" w:color="auto" w:fill="E2E2E2"/>
            <w:tcMar>
              <w:top w:w="40" w:type="dxa"/>
              <w:left w:w="0" w:type="dxa"/>
              <w:bottom w:w="40" w:type="dxa"/>
              <w:right w:w="20" w:type="dxa"/>
            </w:tcMar>
            <w:vAlign w:val="bottom"/>
          </w:tcPr>
          <w:p w14:paraId="22CFD2AC" w14:textId="77777777" w:rsidR="002661BA" w:rsidRDefault="002661BA">
            <w:pPr>
              <w:jc w:val="right"/>
              <w:rPr>
                <w:rFonts w:ascii="宋体"/>
              </w:rPr>
            </w:pPr>
          </w:p>
        </w:tc>
      </w:tr>
      <w:tr w:rsidR="002661BA" w14:paraId="22CFD2B7" w14:textId="77777777">
        <w:tc>
          <w:tcPr>
            <w:tcW w:w="0" w:type="auto"/>
            <w:gridSpan w:val="3"/>
            <w:shd w:val="clear" w:color="auto" w:fill="FFFFFF"/>
            <w:tcMar>
              <w:top w:w="40" w:type="dxa"/>
              <w:left w:w="245" w:type="dxa"/>
              <w:bottom w:w="40" w:type="dxa"/>
              <w:right w:w="20" w:type="dxa"/>
            </w:tcMar>
            <w:vAlign w:val="bottom"/>
          </w:tcPr>
          <w:p w14:paraId="22CFD2AE" w14:textId="77777777" w:rsidR="002661BA" w:rsidRDefault="00D972BC">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22CFD2AF" w14:textId="77777777" w:rsidR="002661BA" w:rsidRDefault="00D972BC">
            <w:pPr>
              <w:jc w:val="right"/>
              <w:textAlignment w:val="bottom"/>
            </w:pPr>
            <w:r>
              <w:rPr>
                <w:rFonts w:ascii="Arial" w:eastAsia="宋体" w:hAnsi="Arial" w:cs="Arial"/>
                <w:color w:val="000000"/>
                <w:sz w:val="18"/>
                <w:szCs w:val="18"/>
              </w:rPr>
              <w:t>9 </w:t>
            </w:r>
          </w:p>
        </w:tc>
        <w:tc>
          <w:tcPr>
            <w:tcW w:w="0" w:type="auto"/>
            <w:shd w:val="clear" w:color="auto" w:fill="FFFFFF"/>
            <w:tcMar>
              <w:top w:w="40" w:type="dxa"/>
              <w:left w:w="0" w:type="dxa"/>
              <w:bottom w:w="40" w:type="dxa"/>
              <w:right w:w="20" w:type="dxa"/>
            </w:tcMar>
            <w:vAlign w:val="bottom"/>
          </w:tcPr>
          <w:p w14:paraId="22CFD2B0"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2B1"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D2B2" w14:textId="77777777" w:rsidR="002661BA" w:rsidRDefault="00D972BC">
            <w:pPr>
              <w:jc w:val="right"/>
              <w:textAlignment w:val="bottom"/>
            </w:pPr>
            <w:r>
              <w:rPr>
                <w:rFonts w:ascii="Arial" w:eastAsia="宋体" w:hAnsi="Arial" w:cs="Arial"/>
                <w:color w:val="000000"/>
                <w:sz w:val="18"/>
                <w:szCs w:val="18"/>
              </w:rPr>
              <w:t>17 </w:t>
            </w:r>
          </w:p>
        </w:tc>
        <w:tc>
          <w:tcPr>
            <w:tcW w:w="0" w:type="auto"/>
            <w:shd w:val="clear" w:color="auto" w:fill="FFFFFF"/>
            <w:tcMar>
              <w:top w:w="40" w:type="dxa"/>
              <w:left w:w="0" w:type="dxa"/>
              <w:bottom w:w="40" w:type="dxa"/>
              <w:right w:w="20" w:type="dxa"/>
            </w:tcMar>
            <w:vAlign w:val="bottom"/>
          </w:tcPr>
          <w:p w14:paraId="22CFD2B3"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2B4"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D2B5" w14:textId="77777777" w:rsidR="002661BA" w:rsidRDefault="00D972BC">
            <w:pPr>
              <w:jc w:val="right"/>
              <w:textAlignment w:val="bottom"/>
            </w:pPr>
            <w:r>
              <w:rPr>
                <w:rFonts w:ascii="Arial" w:eastAsia="宋体" w:hAnsi="Arial" w:cs="Arial"/>
                <w:color w:val="000000"/>
                <w:sz w:val="18"/>
                <w:szCs w:val="18"/>
              </w:rPr>
              <w:t>15 </w:t>
            </w:r>
          </w:p>
        </w:tc>
        <w:tc>
          <w:tcPr>
            <w:tcW w:w="0" w:type="auto"/>
            <w:shd w:val="clear" w:color="auto" w:fill="FFFFFF"/>
            <w:tcMar>
              <w:top w:w="40" w:type="dxa"/>
              <w:left w:w="0" w:type="dxa"/>
              <w:bottom w:w="40" w:type="dxa"/>
              <w:right w:w="20" w:type="dxa"/>
            </w:tcMar>
            <w:vAlign w:val="bottom"/>
          </w:tcPr>
          <w:p w14:paraId="22CFD2B6" w14:textId="77777777" w:rsidR="002661BA" w:rsidRDefault="002661BA">
            <w:pPr>
              <w:jc w:val="right"/>
              <w:rPr>
                <w:rFonts w:ascii="宋体"/>
              </w:rPr>
            </w:pPr>
          </w:p>
        </w:tc>
      </w:tr>
      <w:tr w:rsidR="002661BA" w14:paraId="22CFD2C4" w14:textId="77777777">
        <w:tc>
          <w:tcPr>
            <w:tcW w:w="0" w:type="auto"/>
            <w:gridSpan w:val="3"/>
            <w:shd w:val="clear" w:color="auto" w:fill="E2E2E2"/>
            <w:tcMar>
              <w:top w:w="0" w:type="dxa"/>
              <w:left w:w="20" w:type="dxa"/>
              <w:bottom w:w="0" w:type="dxa"/>
              <w:right w:w="20" w:type="dxa"/>
            </w:tcMar>
            <w:vAlign w:val="bottom"/>
          </w:tcPr>
          <w:p w14:paraId="22CFD2B8"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2B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2BA" w14:textId="77777777" w:rsidR="002661BA" w:rsidRDefault="00D972BC">
            <w:pPr>
              <w:jc w:val="right"/>
              <w:textAlignment w:val="bottom"/>
            </w:pPr>
            <w:r>
              <w:rPr>
                <w:rFonts w:ascii="Arial" w:eastAsia="宋体" w:hAnsi="Arial" w:cs="Arial"/>
                <w:color w:val="000000"/>
                <w:sz w:val="18"/>
                <w:szCs w:val="18"/>
              </w:rPr>
              <w:t>146 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2B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2BC"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2BD"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2BE" w14:textId="77777777" w:rsidR="002661BA" w:rsidRDefault="00D972BC">
            <w:pPr>
              <w:jc w:val="right"/>
              <w:textAlignment w:val="bottom"/>
            </w:pPr>
            <w:r>
              <w:rPr>
                <w:rFonts w:ascii="Arial" w:eastAsia="宋体" w:hAnsi="Arial" w:cs="Arial"/>
                <w:color w:val="000000"/>
                <w:sz w:val="18"/>
                <w:szCs w:val="18"/>
              </w:rPr>
              <w:t>858 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2B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2C0"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2C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2C2" w14:textId="77777777" w:rsidR="002661BA" w:rsidRDefault="00D972BC">
            <w:pPr>
              <w:jc w:val="right"/>
              <w:textAlignment w:val="bottom"/>
            </w:pPr>
            <w:r>
              <w:rPr>
                <w:rFonts w:ascii="Arial" w:eastAsia="宋体" w:hAnsi="Arial" w:cs="Arial"/>
                <w:color w:val="000000"/>
                <w:sz w:val="18"/>
                <w:szCs w:val="18"/>
              </w:rPr>
              <w:t>219 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2C3" w14:textId="77777777" w:rsidR="002661BA" w:rsidRDefault="002661BA">
            <w:pPr>
              <w:jc w:val="right"/>
              <w:rPr>
                <w:rFonts w:ascii="宋体"/>
              </w:rPr>
            </w:pPr>
          </w:p>
        </w:tc>
      </w:tr>
    </w:tbl>
    <w:p w14:paraId="22CFD2C5" w14:textId="77777777" w:rsidR="002661BA" w:rsidRDefault="002661BA">
      <w:pPr>
        <w:jc w:val="both"/>
      </w:pPr>
    </w:p>
    <w:p w14:paraId="22CFD2C6" w14:textId="77777777" w:rsidR="002661BA" w:rsidRDefault="002661BA">
      <w:pPr>
        <w:jc w:val="both"/>
      </w:pPr>
    </w:p>
    <w:p w14:paraId="22CFD2C7" w14:textId="77777777" w:rsidR="002661BA" w:rsidRDefault="00D972BC">
      <w:pPr>
        <w:jc w:val="center"/>
      </w:pPr>
      <w:r>
        <w:rPr>
          <w:rFonts w:ascii="Arial" w:eastAsia="宋体" w:hAnsi="Arial" w:cs="Arial"/>
          <w:color w:val="000000"/>
          <w:sz w:val="18"/>
          <w:szCs w:val="18"/>
        </w:rPr>
        <w:t>108</w:t>
      </w:r>
    </w:p>
    <w:p w14:paraId="22CFD2C8" w14:textId="77777777" w:rsidR="002661BA" w:rsidRDefault="00D972BC">
      <w:r>
        <w:pict w14:anchorId="22CFE51D">
          <v:rect id="_x0000_i1132" style="width:415.3pt;height:1.5pt" o:hralign="center" o:hrstd="t" o:hr="t" fillcolor="#a0a0a0" stroked="f"/>
        </w:pict>
      </w:r>
    </w:p>
    <w:p w14:paraId="22CFD2C9" w14:textId="77777777" w:rsidR="002661BA" w:rsidRDefault="00D972BC">
      <w:hyperlink r:id="rId143" w:anchor="id0d7a71b05ce452ea9fdb54f3cb359c7_7" w:history="1">
        <w:r>
          <w:rPr>
            <w:rStyle w:val="a5"/>
            <w:rFonts w:ascii="Arial" w:eastAsia="宋体" w:hAnsi="Arial" w:cs="Arial"/>
            <w:sz w:val="18"/>
            <w:szCs w:val="18"/>
          </w:rPr>
          <w:t>Table of Contents</w:t>
        </w:r>
      </w:hyperlink>
    </w:p>
    <w:p w14:paraId="22CFD2CA" w14:textId="77777777" w:rsidR="002661BA" w:rsidRDefault="00D972BC">
      <w:pPr>
        <w:jc w:val="center"/>
      </w:pPr>
      <w:r>
        <w:rPr>
          <w:rFonts w:ascii="Arial" w:eastAsia="宋体" w:hAnsi="Arial" w:cs="Arial"/>
          <w:b/>
          <w:bCs/>
          <w:color w:val="000000"/>
          <w:sz w:val="20"/>
          <w:szCs w:val="20"/>
        </w:rPr>
        <w:t>eBay Inc.</w:t>
      </w:r>
    </w:p>
    <w:p w14:paraId="22CFD2CB" w14:textId="77777777" w:rsidR="002661BA" w:rsidRDefault="00D972BC">
      <w:pPr>
        <w:spacing w:before="80"/>
        <w:jc w:val="center"/>
      </w:pPr>
      <w:r>
        <w:rPr>
          <w:rFonts w:ascii="Arial" w:eastAsia="宋体" w:hAnsi="Arial" w:cs="Arial"/>
          <w:b/>
          <w:bCs/>
          <w:color w:val="000000"/>
          <w:sz w:val="20"/>
          <w:szCs w:val="20"/>
        </w:rPr>
        <w:t xml:space="preserve">NOTES TO </w:t>
      </w:r>
      <w:r>
        <w:rPr>
          <w:rFonts w:ascii="Arial" w:eastAsia="宋体" w:hAnsi="Arial" w:cs="Arial"/>
          <w:b/>
          <w:bCs/>
          <w:color w:val="000000"/>
          <w:sz w:val="20"/>
          <w:szCs w:val="20"/>
        </w:rPr>
        <w:t>CONSOLIDATED FINANCIAL STATEMENTS—(Continued)</w:t>
      </w:r>
    </w:p>
    <w:p w14:paraId="22CFD2CC" w14:textId="77777777" w:rsidR="002661BA" w:rsidRDefault="00D972BC">
      <w:pPr>
        <w:spacing w:after="120"/>
        <w:ind w:firstLine="540"/>
        <w:jc w:val="both"/>
      </w:pPr>
      <w:r>
        <w:rPr>
          <w:rFonts w:ascii="Arial" w:eastAsia="宋体" w:hAnsi="Arial" w:cs="Arial"/>
          <w:color w:val="000000"/>
          <w:sz w:val="20"/>
          <w:szCs w:val="20"/>
        </w:rPr>
        <w:t xml:space="preserve">Deferred tax assets and liabilities are recognized for the future tax consequences of differences between the carrying amounts of assets and liabilities and their respective tax bases using enacted tax </w:t>
      </w:r>
      <w:r>
        <w:rPr>
          <w:rFonts w:ascii="Arial" w:eastAsia="宋体" w:hAnsi="Arial" w:cs="Arial"/>
          <w:color w:val="000000"/>
          <w:sz w:val="20"/>
          <w:szCs w:val="20"/>
        </w:rPr>
        <w:t>rates in effect for the year in which the differences are expected to be reversed. The following table summarizes significant deferred tax assets and liabilities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6006"/>
        <w:gridCol w:w="40"/>
        <w:gridCol w:w="122"/>
        <w:gridCol w:w="912"/>
        <w:gridCol w:w="36"/>
        <w:gridCol w:w="36"/>
        <w:gridCol w:w="36"/>
        <w:gridCol w:w="36"/>
        <w:gridCol w:w="121"/>
        <w:gridCol w:w="914"/>
        <w:gridCol w:w="36"/>
      </w:tblGrid>
      <w:tr w:rsidR="002661BA" w14:paraId="22CFD2D9" w14:textId="77777777">
        <w:tc>
          <w:tcPr>
            <w:tcW w:w="50" w:type="pct"/>
            <w:shd w:val="clear" w:color="auto" w:fill="auto"/>
            <w:vAlign w:val="bottom"/>
          </w:tcPr>
          <w:p w14:paraId="22CFD2CD" w14:textId="77777777" w:rsidR="002661BA" w:rsidRDefault="002661BA">
            <w:pPr>
              <w:rPr>
                <w:rFonts w:ascii="宋体"/>
              </w:rPr>
            </w:pPr>
          </w:p>
        </w:tc>
        <w:tc>
          <w:tcPr>
            <w:tcW w:w="3643" w:type="pct"/>
            <w:shd w:val="clear" w:color="auto" w:fill="auto"/>
            <w:vAlign w:val="bottom"/>
          </w:tcPr>
          <w:p w14:paraId="22CFD2CE" w14:textId="77777777" w:rsidR="002661BA" w:rsidRDefault="002661BA">
            <w:pPr>
              <w:rPr>
                <w:rFonts w:ascii="宋体"/>
              </w:rPr>
            </w:pPr>
          </w:p>
        </w:tc>
        <w:tc>
          <w:tcPr>
            <w:tcW w:w="5" w:type="pct"/>
            <w:shd w:val="clear" w:color="auto" w:fill="auto"/>
            <w:vAlign w:val="bottom"/>
          </w:tcPr>
          <w:p w14:paraId="22CFD2CF" w14:textId="77777777" w:rsidR="002661BA" w:rsidRDefault="002661BA">
            <w:pPr>
              <w:rPr>
                <w:rFonts w:ascii="宋体"/>
              </w:rPr>
            </w:pPr>
          </w:p>
        </w:tc>
        <w:tc>
          <w:tcPr>
            <w:tcW w:w="50" w:type="pct"/>
            <w:shd w:val="clear" w:color="auto" w:fill="auto"/>
            <w:vAlign w:val="bottom"/>
          </w:tcPr>
          <w:p w14:paraId="22CFD2D0" w14:textId="77777777" w:rsidR="002661BA" w:rsidRDefault="002661BA">
            <w:pPr>
              <w:rPr>
                <w:rFonts w:ascii="宋体"/>
              </w:rPr>
            </w:pPr>
          </w:p>
        </w:tc>
        <w:tc>
          <w:tcPr>
            <w:tcW w:w="580" w:type="pct"/>
            <w:shd w:val="clear" w:color="auto" w:fill="auto"/>
            <w:vAlign w:val="bottom"/>
          </w:tcPr>
          <w:p w14:paraId="22CFD2D1" w14:textId="77777777" w:rsidR="002661BA" w:rsidRDefault="002661BA">
            <w:pPr>
              <w:rPr>
                <w:rFonts w:ascii="宋体"/>
              </w:rPr>
            </w:pPr>
          </w:p>
        </w:tc>
        <w:tc>
          <w:tcPr>
            <w:tcW w:w="5" w:type="pct"/>
            <w:shd w:val="clear" w:color="auto" w:fill="auto"/>
            <w:vAlign w:val="bottom"/>
          </w:tcPr>
          <w:p w14:paraId="22CFD2D2" w14:textId="77777777" w:rsidR="002661BA" w:rsidRDefault="002661BA">
            <w:pPr>
              <w:rPr>
                <w:rFonts w:ascii="宋体"/>
              </w:rPr>
            </w:pPr>
          </w:p>
        </w:tc>
        <w:tc>
          <w:tcPr>
            <w:tcW w:w="5" w:type="pct"/>
            <w:shd w:val="clear" w:color="auto" w:fill="auto"/>
            <w:vAlign w:val="bottom"/>
          </w:tcPr>
          <w:p w14:paraId="22CFD2D3" w14:textId="77777777" w:rsidR="002661BA" w:rsidRDefault="002661BA">
            <w:pPr>
              <w:rPr>
                <w:rFonts w:ascii="宋体"/>
              </w:rPr>
            </w:pPr>
          </w:p>
        </w:tc>
        <w:tc>
          <w:tcPr>
            <w:tcW w:w="19" w:type="pct"/>
            <w:shd w:val="clear" w:color="auto" w:fill="auto"/>
            <w:vAlign w:val="bottom"/>
          </w:tcPr>
          <w:p w14:paraId="22CFD2D4" w14:textId="77777777" w:rsidR="002661BA" w:rsidRDefault="002661BA">
            <w:pPr>
              <w:rPr>
                <w:rFonts w:ascii="宋体"/>
              </w:rPr>
            </w:pPr>
          </w:p>
        </w:tc>
        <w:tc>
          <w:tcPr>
            <w:tcW w:w="5" w:type="pct"/>
            <w:shd w:val="clear" w:color="auto" w:fill="auto"/>
            <w:vAlign w:val="bottom"/>
          </w:tcPr>
          <w:p w14:paraId="22CFD2D5" w14:textId="77777777" w:rsidR="002661BA" w:rsidRDefault="002661BA">
            <w:pPr>
              <w:rPr>
                <w:rFonts w:ascii="宋体"/>
              </w:rPr>
            </w:pPr>
          </w:p>
        </w:tc>
        <w:tc>
          <w:tcPr>
            <w:tcW w:w="50" w:type="pct"/>
            <w:shd w:val="clear" w:color="auto" w:fill="auto"/>
            <w:vAlign w:val="bottom"/>
          </w:tcPr>
          <w:p w14:paraId="22CFD2D6" w14:textId="77777777" w:rsidR="002661BA" w:rsidRDefault="002661BA">
            <w:pPr>
              <w:rPr>
                <w:rFonts w:ascii="宋体"/>
              </w:rPr>
            </w:pPr>
          </w:p>
        </w:tc>
        <w:tc>
          <w:tcPr>
            <w:tcW w:w="581" w:type="pct"/>
            <w:shd w:val="clear" w:color="auto" w:fill="auto"/>
            <w:vAlign w:val="bottom"/>
          </w:tcPr>
          <w:p w14:paraId="22CFD2D7" w14:textId="77777777" w:rsidR="002661BA" w:rsidRDefault="002661BA">
            <w:pPr>
              <w:rPr>
                <w:rFonts w:ascii="宋体"/>
              </w:rPr>
            </w:pPr>
          </w:p>
        </w:tc>
        <w:tc>
          <w:tcPr>
            <w:tcW w:w="5" w:type="pct"/>
            <w:shd w:val="clear" w:color="auto" w:fill="auto"/>
            <w:vAlign w:val="bottom"/>
          </w:tcPr>
          <w:p w14:paraId="22CFD2D8" w14:textId="77777777" w:rsidR="002661BA" w:rsidRDefault="002661BA">
            <w:pPr>
              <w:rPr>
                <w:rFonts w:ascii="宋体"/>
              </w:rPr>
            </w:pPr>
          </w:p>
        </w:tc>
      </w:tr>
      <w:tr w:rsidR="002661BA" w14:paraId="22CFD2DC" w14:textId="77777777">
        <w:tc>
          <w:tcPr>
            <w:tcW w:w="0" w:type="auto"/>
            <w:gridSpan w:val="3"/>
            <w:shd w:val="clear" w:color="auto" w:fill="auto"/>
            <w:tcMar>
              <w:top w:w="40" w:type="dxa"/>
              <w:left w:w="20" w:type="dxa"/>
              <w:bottom w:w="40" w:type="dxa"/>
              <w:right w:w="20" w:type="dxa"/>
            </w:tcMar>
            <w:vAlign w:val="bottom"/>
          </w:tcPr>
          <w:p w14:paraId="22CFD2DA" w14:textId="77777777" w:rsidR="002661BA" w:rsidRDefault="00D972BC">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22CFD2DB" w14:textId="77777777" w:rsidR="002661BA" w:rsidRDefault="00D972BC">
            <w:pPr>
              <w:jc w:val="center"/>
              <w:textAlignment w:val="bottom"/>
            </w:pPr>
            <w:r>
              <w:rPr>
                <w:rFonts w:ascii="Arial" w:eastAsia="宋体" w:hAnsi="Arial" w:cs="Arial"/>
                <w:b/>
                <w:bCs/>
                <w:color w:val="000000"/>
                <w:sz w:val="17"/>
                <w:szCs w:val="17"/>
              </w:rPr>
              <w:t>As of December 31,</w:t>
            </w:r>
          </w:p>
        </w:tc>
      </w:tr>
      <w:tr w:rsidR="002661BA" w14:paraId="22CFD2E1" w14:textId="77777777">
        <w:tc>
          <w:tcPr>
            <w:tcW w:w="0" w:type="auto"/>
            <w:gridSpan w:val="3"/>
            <w:shd w:val="clear" w:color="auto" w:fill="auto"/>
            <w:tcMar>
              <w:top w:w="40" w:type="dxa"/>
              <w:left w:w="20" w:type="dxa"/>
              <w:bottom w:w="40" w:type="dxa"/>
              <w:right w:w="20" w:type="dxa"/>
            </w:tcMar>
            <w:vAlign w:val="bottom"/>
          </w:tcPr>
          <w:p w14:paraId="22CFD2DD" w14:textId="77777777" w:rsidR="002661BA" w:rsidRDefault="00D972BC">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2DE"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2DF"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2E0" w14:textId="77777777" w:rsidR="002661BA" w:rsidRDefault="00D972BC">
            <w:pPr>
              <w:jc w:val="center"/>
              <w:textAlignment w:val="bottom"/>
            </w:pPr>
            <w:r>
              <w:rPr>
                <w:rFonts w:ascii="Arial" w:eastAsia="宋体" w:hAnsi="Arial" w:cs="Arial"/>
                <w:b/>
                <w:bCs/>
                <w:color w:val="000000"/>
                <w:sz w:val="17"/>
                <w:szCs w:val="17"/>
              </w:rPr>
              <w:t>2020</w:t>
            </w:r>
          </w:p>
        </w:tc>
      </w:tr>
      <w:tr w:rsidR="002661BA" w14:paraId="22CFD2E6" w14:textId="77777777">
        <w:tc>
          <w:tcPr>
            <w:tcW w:w="0" w:type="auto"/>
            <w:gridSpan w:val="3"/>
            <w:shd w:val="clear" w:color="auto" w:fill="E2E2E2"/>
            <w:tcMar>
              <w:top w:w="40" w:type="dxa"/>
              <w:left w:w="20" w:type="dxa"/>
              <w:bottom w:w="40" w:type="dxa"/>
              <w:right w:w="20" w:type="dxa"/>
            </w:tcMar>
            <w:vAlign w:val="bottom"/>
          </w:tcPr>
          <w:p w14:paraId="22CFD2E2" w14:textId="77777777" w:rsidR="002661BA" w:rsidRDefault="00D972BC">
            <w:pPr>
              <w:textAlignment w:val="bottom"/>
            </w:pPr>
            <w:r>
              <w:rPr>
                <w:rFonts w:ascii="Arial" w:eastAsia="宋体" w:hAnsi="Arial" w:cs="Arial"/>
                <w:color w:val="000000"/>
                <w:sz w:val="18"/>
                <w:szCs w:val="18"/>
              </w:rPr>
              <w:t>Deferred tax assets: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D2E3"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D2E4"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D2E5" w14:textId="77777777" w:rsidR="002661BA" w:rsidRDefault="002661BA">
            <w:pPr>
              <w:rPr>
                <w:rFonts w:ascii="宋体"/>
              </w:rPr>
            </w:pPr>
          </w:p>
        </w:tc>
      </w:tr>
      <w:tr w:rsidR="002661BA" w14:paraId="22CFD2EF" w14:textId="77777777">
        <w:tc>
          <w:tcPr>
            <w:tcW w:w="0" w:type="auto"/>
            <w:gridSpan w:val="3"/>
            <w:shd w:val="clear" w:color="auto" w:fill="FFFFFF"/>
            <w:tcMar>
              <w:top w:w="40" w:type="dxa"/>
              <w:left w:w="245" w:type="dxa"/>
              <w:bottom w:w="40" w:type="dxa"/>
              <w:right w:w="20" w:type="dxa"/>
            </w:tcMar>
            <w:vAlign w:val="bottom"/>
          </w:tcPr>
          <w:p w14:paraId="22CFD2E7" w14:textId="77777777" w:rsidR="002661BA" w:rsidRDefault="00D972BC">
            <w:pPr>
              <w:textAlignment w:val="bottom"/>
            </w:pPr>
            <w:r>
              <w:rPr>
                <w:rFonts w:ascii="Arial" w:eastAsia="宋体" w:hAnsi="Arial" w:cs="Arial"/>
                <w:color w:val="000000"/>
                <w:sz w:val="18"/>
                <w:szCs w:val="18"/>
              </w:rPr>
              <w:t>Net operating loss, capital loss and credits</w:t>
            </w:r>
          </w:p>
        </w:tc>
        <w:tc>
          <w:tcPr>
            <w:tcW w:w="0" w:type="auto"/>
            <w:shd w:val="clear" w:color="auto" w:fill="FFFFFF"/>
            <w:tcMar>
              <w:top w:w="40" w:type="dxa"/>
              <w:left w:w="20" w:type="dxa"/>
              <w:bottom w:w="40" w:type="dxa"/>
              <w:right w:w="0" w:type="dxa"/>
            </w:tcMar>
            <w:vAlign w:val="bottom"/>
          </w:tcPr>
          <w:p w14:paraId="22CFD2E8"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2E9" w14:textId="77777777" w:rsidR="002661BA" w:rsidRDefault="00D972BC">
            <w:pPr>
              <w:jc w:val="right"/>
              <w:textAlignment w:val="bottom"/>
            </w:pPr>
            <w:r>
              <w:rPr>
                <w:rFonts w:ascii="Arial" w:eastAsia="宋体" w:hAnsi="Arial" w:cs="Arial"/>
                <w:color w:val="000000"/>
                <w:sz w:val="18"/>
                <w:szCs w:val="18"/>
              </w:rPr>
              <w:t>191 </w:t>
            </w:r>
          </w:p>
        </w:tc>
        <w:tc>
          <w:tcPr>
            <w:tcW w:w="0" w:type="auto"/>
            <w:shd w:val="clear" w:color="auto" w:fill="FFFFFF"/>
            <w:tcMar>
              <w:top w:w="40" w:type="dxa"/>
              <w:left w:w="0" w:type="dxa"/>
              <w:bottom w:w="40" w:type="dxa"/>
              <w:right w:w="20" w:type="dxa"/>
            </w:tcMar>
            <w:vAlign w:val="bottom"/>
          </w:tcPr>
          <w:p w14:paraId="22CFD2EA"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2EB" w14:textId="77777777" w:rsidR="002661BA" w:rsidRDefault="00D972BC">
            <w:pPr>
              <w:textAlignment w:val="bottom"/>
            </w:pPr>
            <w:r>
              <w:rPr>
                <w:rFonts w:ascii="Arial" w:eastAsia="宋体" w:hAnsi="Arial" w:cs="Arial"/>
                <w:color w:val="000000"/>
                <w:sz w:val="18"/>
                <w:szCs w:val="18"/>
              </w:rPr>
              <w:t> </w:t>
            </w:r>
          </w:p>
        </w:tc>
        <w:tc>
          <w:tcPr>
            <w:tcW w:w="0" w:type="auto"/>
            <w:shd w:val="clear" w:color="auto" w:fill="FFFFFF"/>
            <w:tcMar>
              <w:top w:w="40" w:type="dxa"/>
              <w:left w:w="20" w:type="dxa"/>
              <w:bottom w:w="40" w:type="dxa"/>
              <w:right w:w="0" w:type="dxa"/>
            </w:tcMar>
            <w:vAlign w:val="bottom"/>
          </w:tcPr>
          <w:p w14:paraId="22CFD2E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2ED" w14:textId="77777777" w:rsidR="002661BA" w:rsidRDefault="00D972BC">
            <w:pPr>
              <w:jc w:val="right"/>
              <w:textAlignment w:val="bottom"/>
            </w:pPr>
            <w:r>
              <w:rPr>
                <w:rFonts w:ascii="Arial" w:eastAsia="宋体" w:hAnsi="Arial" w:cs="Arial"/>
                <w:color w:val="000000"/>
                <w:sz w:val="18"/>
                <w:szCs w:val="18"/>
              </w:rPr>
              <w:t>173 </w:t>
            </w:r>
          </w:p>
        </w:tc>
        <w:tc>
          <w:tcPr>
            <w:tcW w:w="0" w:type="auto"/>
            <w:shd w:val="clear" w:color="auto" w:fill="FFFFFF"/>
            <w:tcMar>
              <w:top w:w="40" w:type="dxa"/>
              <w:left w:w="0" w:type="dxa"/>
              <w:bottom w:w="40" w:type="dxa"/>
              <w:right w:w="20" w:type="dxa"/>
            </w:tcMar>
            <w:vAlign w:val="bottom"/>
          </w:tcPr>
          <w:p w14:paraId="22CFD2EE" w14:textId="77777777" w:rsidR="002661BA" w:rsidRDefault="002661BA">
            <w:pPr>
              <w:jc w:val="right"/>
              <w:rPr>
                <w:rFonts w:ascii="宋体"/>
              </w:rPr>
            </w:pPr>
          </w:p>
        </w:tc>
      </w:tr>
      <w:tr w:rsidR="002661BA" w14:paraId="22CFD2F6" w14:textId="77777777">
        <w:tc>
          <w:tcPr>
            <w:tcW w:w="0" w:type="auto"/>
            <w:gridSpan w:val="3"/>
            <w:shd w:val="clear" w:color="auto" w:fill="E2E2E2"/>
            <w:tcMar>
              <w:top w:w="40" w:type="dxa"/>
              <w:left w:w="245" w:type="dxa"/>
              <w:bottom w:w="40" w:type="dxa"/>
              <w:right w:w="20" w:type="dxa"/>
            </w:tcMar>
            <w:vAlign w:val="bottom"/>
          </w:tcPr>
          <w:p w14:paraId="22CFD2F0" w14:textId="77777777" w:rsidR="002661BA" w:rsidRDefault="00D972BC">
            <w:pPr>
              <w:textAlignment w:val="bottom"/>
            </w:pPr>
            <w:r>
              <w:rPr>
                <w:rFonts w:ascii="Arial" w:eastAsia="宋体" w:hAnsi="Arial" w:cs="Arial"/>
                <w:color w:val="000000"/>
                <w:sz w:val="18"/>
                <w:szCs w:val="18"/>
              </w:rPr>
              <w:t>Accruals and allowances</w:t>
            </w:r>
          </w:p>
        </w:tc>
        <w:tc>
          <w:tcPr>
            <w:tcW w:w="0" w:type="auto"/>
            <w:gridSpan w:val="2"/>
            <w:shd w:val="clear" w:color="auto" w:fill="E2E2E2"/>
            <w:tcMar>
              <w:top w:w="40" w:type="dxa"/>
              <w:left w:w="20" w:type="dxa"/>
              <w:bottom w:w="40" w:type="dxa"/>
              <w:right w:w="0" w:type="dxa"/>
            </w:tcMar>
            <w:vAlign w:val="bottom"/>
          </w:tcPr>
          <w:p w14:paraId="22CFD2F1" w14:textId="77777777" w:rsidR="002661BA" w:rsidRDefault="00D972BC">
            <w:pPr>
              <w:jc w:val="right"/>
              <w:textAlignment w:val="bottom"/>
            </w:pPr>
            <w:r>
              <w:rPr>
                <w:rFonts w:ascii="Arial" w:eastAsia="宋体" w:hAnsi="Arial" w:cs="Arial"/>
                <w:color w:val="000000"/>
                <w:sz w:val="18"/>
                <w:szCs w:val="18"/>
              </w:rPr>
              <w:t>356 </w:t>
            </w:r>
          </w:p>
        </w:tc>
        <w:tc>
          <w:tcPr>
            <w:tcW w:w="0" w:type="auto"/>
            <w:shd w:val="clear" w:color="auto" w:fill="E2E2E2"/>
            <w:tcMar>
              <w:top w:w="40" w:type="dxa"/>
              <w:left w:w="0" w:type="dxa"/>
              <w:bottom w:w="40" w:type="dxa"/>
              <w:right w:w="20" w:type="dxa"/>
            </w:tcMar>
            <w:vAlign w:val="bottom"/>
          </w:tcPr>
          <w:p w14:paraId="22CFD2F2"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2F3"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D2F4" w14:textId="77777777" w:rsidR="002661BA" w:rsidRDefault="00D972BC">
            <w:pPr>
              <w:jc w:val="right"/>
              <w:textAlignment w:val="bottom"/>
            </w:pPr>
            <w:r>
              <w:rPr>
                <w:rFonts w:ascii="Arial" w:eastAsia="宋体" w:hAnsi="Arial" w:cs="Arial"/>
                <w:color w:val="000000"/>
                <w:sz w:val="18"/>
                <w:szCs w:val="18"/>
              </w:rPr>
              <w:t>390 </w:t>
            </w:r>
          </w:p>
        </w:tc>
        <w:tc>
          <w:tcPr>
            <w:tcW w:w="0" w:type="auto"/>
            <w:shd w:val="clear" w:color="auto" w:fill="E2E2E2"/>
            <w:tcMar>
              <w:top w:w="40" w:type="dxa"/>
              <w:left w:w="0" w:type="dxa"/>
              <w:bottom w:w="40" w:type="dxa"/>
              <w:right w:w="20" w:type="dxa"/>
            </w:tcMar>
            <w:vAlign w:val="bottom"/>
          </w:tcPr>
          <w:p w14:paraId="22CFD2F5" w14:textId="77777777" w:rsidR="002661BA" w:rsidRDefault="002661BA">
            <w:pPr>
              <w:jc w:val="right"/>
              <w:rPr>
                <w:rFonts w:ascii="宋体"/>
              </w:rPr>
            </w:pPr>
          </w:p>
        </w:tc>
      </w:tr>
      <w:tr w:rsidR="002661BA" w14:paraId="22CFD2FD" w14:textId="77777777">
        <w:tc>
          <w:tcPr>
            <w:tcW w:w="0" w:type="auto"/>
            <w:gridSpan w:val="3"/>
            <w:shd w:val="clear" w:color="auto" w:fill="FFFFFF"/>
            <w:tcMar>
              <w:top w:w="40" w:type="dxa"/>
              <w:left w:w="245" w:type="dxa"/>
              <w:bottom w:w="40" w:type="dxa"/>
              <w:right w:w="20" w:type="dxa"/>
            </w:tcMar>
            <w:vAlign w:val="bottom"/>
          </w:tcPr>
          <w:p w14:paraId="22CFD2F7" w14:textId="77777777" w:rsidR="002661BA" w:rsidRDefault="00D972BC">
            <w:pPr>
              <w:textAlignment w:val="bottom"/>
            </w:pPr>
            <w:r>
              <w:rPr>
                <w:rFonts w:ascii="Arial" w:eastAsia="宋体" w:hAnsi="Arial" w:cs="Arial"/>
                <w:color w:val="000000"/>
                <w:sz w:val="18"/>
                <w:szCs w:val="18"/>
              </w:rPr>
              <w:t>Stock-based compensation</w:t>
            </w:r>
          </w:p>
        </w:tc>
        <w:tc>
          <w:tcPr>
            <w:tcW w:w="0" w:type="auto"/>
            <w:gridSpan w:val="2"/>
            <w:shd w:val="clear" w:color="auto" w:fill="FFFFFF"/>
            <w:tcMar>
              <w:top w:w="40" w:type="dxa"/>
              <w:left w:w="20" w:type="dxa"/>
              <w:bottom w:w="40" w:type="dxa"/>
              <w:right w:w="0" w:type="dxa"/>
            </w:tcMar>
            <w:vAlign w:val="bottom"/>
          </w:tcPr>
          <w:p w14:paraId="22CFD2F8" w14:textId="77777777" w:rsidR="002661BA" w:rsidRDefault="00D972BC">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22CFD2F9"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2FA"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D2FB" w14:textId="77777777" w:rsidR="002661BA" w:rsidRDefault="00D972BC">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22CFD2FC" w14:textId="77777777" w:rsidR="002661BA" w:rsidRDefault="002661BA">
            <w:pPr>
              <w:jc w:val="right"/>
              <w:rPr>
                <w:rFonts w:ascii="宋体"/>
              </w:rPr>
            </w:pPr>
          </w:p>
        </w:tc>
      </w:tr>
      <w:tr w:rsidR="002661BA" w14:paraId="22CFD304" w14:textId="77777777">
        <w:tc>
          <w:tcPr>
            <w:tcW w:w="0" w:type="auto"/>
            <w:gridSpan w:val="3"/>
            <w:shd w:val="clear" w:color="auto" w:fill="E2E2E2"/>
            <w:tcMar>
              <w:top w:w="40" w:type="dxa"/>
              <w:left w:w="245" w:type="dxa"/>
              <w:bottom w:w="40" w:type="dxa"/>
              <w:right w:w="20" w:type="dxa"/>
            </w:tcMar>
            <w:vAlign w:val="bottom"/>
          </w:tcPr>
          <w:p w14:paraId="22CFD2FE" w14:textId="77777777" w:rsidR="002661BA" w:rsidRDefault="00D972BC">
            <w:pPr>
              <w:textAlignment w:val="bottom"/>
            </w:pPr>
            <w:r>
              <w:rPr>
                <w:rFonts w:ascii="Arial" w:eastAsia="宋体" w:hAnsi="Arial" w:cs="Arial"/>
                <w:color w:val="000000"/>
                <w:sz w:val="18"/>
                <w:szCs w:val="18"/>
              </w:rPr>
              <w:t>Amortizable tax basis in intangibles</w:t>
            </w:r>
          </w:p>
        </w:tc>
        <w:tc>
          <w:tcPr>
            <w:tcW w:w="0" w:type="auto"/>
            <w:gridSpan w:val="2"/>
            <w:shd w:val="clear" w:color="auto" w:fill="E2E2E2"/>
            <w:tcMar>
              <w:top w:w="40" w:type="dxa"/>
              <w:left w:w="20" w:type="dxa"/>
              <w:bottom w:w="40" w:type="dxa"/>
              <w:right w:w="0" w:type="dxa"/>
            </w:tcMar>
            <w:vAlign w:val="bottom"/>
          </w:tcPr>
          <w:p w14:paraId="22CFD2FF" w14:textId="77777777" w:rsidR="002661BA" w:rsidRDefault="00D972BC">
            <w:pPr>
              <w:jc w:val="right"/>
              <w:textAlignment w:val="bottom"/>
            </w:pPr>
            <w:r>
              <w:rPr>
                <w:rFonts w:ascii="Arial" w:eastAsia="宋体" w:hAnsi="Arial" w:cs="Arial"/>
                <w:color w:val="000000"/>
                <w:sz w:val="18"/>
                <w:szCs w:val="18"/>
              </w:rPr>
              <w:t>3,174 </w:t>
            </w:r>
          </w:p>
        </w:tc>
        <w:tc>
          <w:tcPr>
            <w:tcW w:w="0" w:type="auto"/>
            <w:shd w:val="clear" w:color="auto" w:fill="E2E2E2"/>
            <w:tcMar>
              <w:top w:w="40" w:type="dxa"/>
              <w:left w:w="0" w:type="dxa"/>
              <w:bottom w:w="40" w:type="dxa"/>
              <w:right w:w="20" w:type="dxa"/>
            </w:tcMar>
            <w:vAlign w:val="bottom"/>
          </w:tcPr>
          <w:p w14:paraId="22CFD300"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301"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302" w14:textId="77777777" w:rsidR="002661BA" w:rsidRDefault="00D972BC">
            <w:pPr>
              <w:jc w:val="right"/>
              <w:textAlignment w:val="bottom"/>
            </w:pPr>
            <w:r>
              <w:rPr>
                <w:rFonts w:ascii="Arial" w:eastAsia="宋体" w:hAnsi="Arial" w:cs="Arial"/>
                <w:color w:val="000000"/>
                <w:sz w:val="18"/>
                <w:szCs w:val="18"/>
              </w:rPr>
              <w:t>3,471 </w:t>
            </w:r>
          </w:p>
        </w:tc>
        <w:tc>
          <w:tcPr>
            <w:tcW w:w="0" w:type="auto"/>
            <w:shd w:val="clear" w:color="auto" w:fill="E2E2E2"/>
            <w:tcMar>
              <w:top w:w="40" w:type="dxa"/>
              <w:left w:w="0" w:type="dxa"/>
              <w:bottom w:w="40" w:type="dxa"/>
              <w:right w:w="20" w:type="dxa"/>
            </w:tcMar>
            <w:vAlign w:val="bottom"/>
          </w:tcPr>
          <w:p w14:paraId="22CFD303" w14:textId="77777777" w:rsidR="002661BA" w:rsidRDefault="002661BA">
            <w:pPr>
              <w:jc w:val="right"/>
              <w:rPr>
                <w:rFonts w:ascii="宋体"/>
              </w:rPr>
            </w:pPr>
          </w:p>
        </w:tc>
      </w:tr>
      <w:tr w:rsidR="002661BA" w14:paraId="22CFD309" w14:textId="77777777">
        <w:trPr>
          <w:hidden/>
        </w:trPr>
        <w:tc>
          <w:tcPr>
            <w:tcW w:w="0" w:type="auto"/>
            <w:gridSpan w:val="3"/>
            <w:shd w:val="clear" w:color="auto" w:fill="auto"/>
            <w:vAlign w:val="bottom"/>
          </w:tcPr>
          <w:p w14:paraId="22CFD305" w14:textId="77777777" w:rsidR="002661BA" w:rsidRDefault="002661BA">
            <w:pPr>
              <w:rPr>
                <w:rFonts w:ascii="宋体"/>
                <w:vanish/>
              </w:rPr>
            </w:pPr>
          </w:p>
        </w:tc>
        <w:tc>
          <w:tcPr>
            <w:tcW w:w="0" w:type="auto"/>
            <w:gridSpan w:val="3"/>
            <w:shd w:val="clear" w:color="auto" w:fill="auto"/>
            <w:vAlign w:val="bottom"/>
          </w:tcPr>
          <w:p w14:paraId="22CFD306" w14:textId="77777777" w:rsidR="002661BA" w:rsidRDefault="002661BA">
            <w:pPr>
              <w:rPr>
                <w:rFonts w:ascii="宋体"/>
                <w:vanish/>
              </w:rPr>
            </w:pPr>
          </w:p>
        </w:tc>
        <w:tc>
          <w:tcPr>
            <w:tcW w:w="0" w:type="auto"/>
            <w:gridSpan w:val="3"/>
            <w:shd w:val="clear" w:color="auto" w:fill="auto"/>
            <w:vAlign w:val="bottom"/>
          </w:tcPr>
          <w:p w14:paraId="22CFD307" w14:textId="77777777" w:rsidR="002661BA" w:rsidRDefault="002661BA">
            <w:pPr>
              <w:rPr>
                <w:rFonts w:ascii="宋体"/>
                <w:vanish/>
              </w:rPr>
            </w:pPr>
          </w:p>
        </w:tc>
        <w:tc>
          <w:tcPr>
            <w:tcW w:w="0" w:type="auto"/>
            <w:gridSpan w:val="3"/>
            <w:shd w:val="clear" w:color="auto" w:fill="auto"/>
            <w:vAlign w:val="bottom"/>
          </w:tcPr>
          <w:p w14:paraId="22CFD308" w14:textId="77777777" w:rsidR="002661BA" w:rsidRDefault="002661BA">
            <w:pPr>
              <w:rPr>
                <w:rFonts w:ascii="宋体"/>
                <w:vanish/>
              </w:rPr>
            </w:pPr>
          </w:p>
        </w:tc>
      </w:tr>
      <w:tr w:rsidR="002661BA" w14:paraId="22CFD310" w14:textId="77777777">
        <w:tc>
          <w:tcPr>
            <w:tcW w:w="0" w:type="auto"/>
            <w:gridSpan w:val="3"/>
            <w:shd w:val="clear" w:color="auto" w:fill="FFFFFF"/>
            <w:tcMar>
              <w:top w:w="40" w:type="dxa"/>
              <w:left w:w="245" w:type="dxa"/>
              <w:bottom w:w="40" w:type="dxa"/>
              <w:right w:w="20" w:type="dxa"/>
            </w:tcMar>
            <w:vAlign w:val="bottom"/>
          </w:tcPr>
          <w:p w14:paraId="22CFD30A" w14:textId="77777777" w:rsidR="002661BA" w:rsidRDefault="00D972BC">
            <w:pPr>
              <w:textAlignment w:val="bottom"/>
            </w:pPr>
            <w:r>
              <w:rPr>
                <w:rFonts w:ascii="Arial" w:eastAsia="宋体" w:hAnsi="Arial" w:cs="Arial"/>
                <w:color w:val="000000"/>
                <w:sz w:val="18"/>
                <w:szCs w:val="18"/>
              </w:rPr>
              <w:t>Net deferred tax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30B" w14:textId="77777777" w:rsidR="002661BA" w:rsidRDefault="00D972BC">
            <w:pPr>
              <w:jc w:val="right"/>
              <w:textAlignment w:val="bottom"/>
            </w:pPr>
            <w:r>
              <w:rPr>
                <w:rFonts w:ascii="Arial" w:eastAsia="宋体" w:hAnsi="Arial" w:cs="Arial"/>
                <w:color w:val="000000"/>
                <w:sz w:val="18"/>
                <w:szCs w:val="18"/>
              </w:rPr>
              <w:t>3,733 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30C"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30D" w14:textId="77777777" w:rsidR="002661BA" w:rsidRDefault="00D972BC">
            <w:pPr>
              <w:textAlignment w:val="bottom"/>
            </w:pPr>
            <w:r>
              <w:rPr>
                <w:rFonts w:ascii="Arial" w:eastAsia="宋体" w:hAnsi="Arial" w:cs="Arial"/>
                <w:color w:val="000000"/>
                <w:sz w:val="18"/>
                <w:szCs w:val="18"/>
              </w:rPr>
              <w:t>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30E" w14:textId="77777777" w:rsidR="002661BA" w:rsidRDefault="00D972BC">
            <w:pPr>
              <w:jc w:val="right"/>
              <w:textAlignment w:val="bottom"/>
            </w:pPr>
            <w:r>
              <w:rPr>
                <w:rFonts w:ascii="Arial" w:eastAsia="宋体" w:hAnsi="Arial" w:cs="Arial"/>
                <w:color w:val="000000"/>
                <w:sz w:val="18"/>
                <w:szCs w:val="18"/>
              </w:rPr>
              <w:t>4,044 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30F" w14:textId="77777777" w:rsidR="002661BA" w:rsidRDefault="002661BA">
            <w:pPr>
              <w:jc w:val="right"/>
              <w:rPr>
                <w:rFonts w:ascii="宋体"/>
              </w:rPr>
            </w:pPr>
          </w:p>
        </w:tc>
      </w:tr>
      <w:tr w:rsidR="002661BA" w14:paraId="22CFD317" w14:textId="77777777">
        <w:tc>
          <w:tcPr>
            <w:tcW w:w="0" w:type="auto"/>
            <w:gridSpan w:val="3"/>
            <w:shd w:val="clear" w:color="auto" w:fill="E2E2E2"/>
            <w:tcMar>
              <w:top w:w="40" w:type="dxa"/>
              <w:left w:w="245" w:type="dxa"/>
              <w:bottom w:w="40" w:type="dxa"/>
              <w:right w:w="20" w:type="dxa"/>
            </w:tcMar>
            <w:vAlign w:val="bottom"/>
          </w:tcPr>
          <w:p w14:paraId="22CFD311" w14:textId="77777777" w:rsidR="002661BA" w:rsidRDefault="00D972BC">
            <w:pPr>
              <w:textAlignment w:val="bottom"/>
            </w:pPr>
            <w:r>
              <w:rPr>
                <w:rFonts w:ascii="Arial" w:eastAsia="宋体" w:hAnsi="Arial" w:cs="Arial"/>
                <w:color w:val="000000"/>
                <w:sz w:val="18"/>
                <w:szCs w:val="18"/>
              </w:rPr>
              <w:t>Valuation allowance</w:t>
            </w:r>
          </w:p>
        </w:tc>
        <w:tc>
          <w:tcPr>
            <w:tcW w:w="0" w:type="auto"/>
            <w:gridSpan w:val="2"/>
            <w:shd w:val="clear" w:color="auto" w:fill="E2E2E2"/>
            <w:tcMar>
              <w:top w:w="40" w:type="dxa"/>
              <w:left w:w="20" w:type="dxa"/>
              <w:bottom w:w="40" w:type="dxa"/>
              <w:right w:w="0" w:type="dxa"/>
            </w:tcMar>
            <w:vAlign w:val="bottom"/>
          </w:tcPr>
          <w:p w14:paraId="22CFD312" w14:textId="77777777" w:rsidR="002661BA" w:rsidRDefault="00D972BC">
            <w:pPr>
              <w:jc w:val="right"/>
              <w:textAlignment w:val="bottom"/>
            </w:pPr>
            <w:r>
              <w:rPr>
                <w:rFonts w:ascii="Arial" w:eastAsia="宋体" w:hAnsi="Arial" w:cs="Arial"/>
                <w:color w:val="000000"/>
                <w:sz w:val="18"/>
                <w:szCs w:val="18"/>
              </w:rPr>
              <w:t>(136)</w:t>
            </w:r>
          </w:p>
        </w:tc>
        <w:tc>
          <w:tcPr>
            <w:tcW w:w="0" w:type="auto"/>
            <w:shd w:val="clear" w:color="auto" w:fill="E2E2E2"/>
            <w:tcMar>
              <w:top w:w="40" w:type="dxa"/>
              <w:left w:w="0" w:type="dxa"/>
              <w:bottom w:w="40" w:type="dxa"/>
              <w:right w:w="20" w:type="dxa"/>
            </w:tcMar>
            <w:vAlign w:val="bottom"/>
          </w:tcPr>
          <w:p w14:paraId="22CFD313"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314"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D315" w14:textId="77777777" w:rsidR="002661BA" w:rsidRDefault="00D972BC">
            <w:pPr>
              <w:jc w:val="right"/>
              <w:textAlignment w:val="bottom"/>
            </w:pPr>
            <w:r>
              <w:rPr>
                <w:rFonts w:ascii="Arial" w:eastAsia="宋体" w:hAnsi="Arial" w:cs="Arial"/>
                <w:color w:val="000000"/>
                <w:sz w:val="18"/>
                <w:szCs w:val="18"/>
              </w:rPr>
              <w:t>(149)</w:t>
            </w:r>
          </w:p>
        </w:tc>
        <w:tc>
          <w:tcPr>
            <w:tcW w:w="0" w:type="auto"/>
            <w:shd w:val="clear" w:color="auto" w:fill="E2E2E2"/>
            <w:tcMar>
              <w:top w:w="40" w:type="dxa"/>
              <w:left w:w="0" w:type="dxa"/>
              <w:bottom w:w="40" w:type="dxa"/>
              <w:right w:w="20" w:type="dxa"/>
            </w:tcMar>
            <w:vAlign w:val="bottom"/>
          </w:tcPr>
          <w:p w14:paraId="22CFD316" w14:textId="77777777" w:rsidR="002661BA" w:rsidRDefault="002661BA">
            <w:pPr>
              <w:jc w:val="right"/>
              <w:rPr>
                <w:rFonts w:ascii="宋体"/>
              </w:rPr>
            </w:pPr>
          </w:p>
        </w:tc>
      </w:tr>
      <w:tr w:rsidR="002661BA" w14:paraId="22CFD31E" w14:textId="77777777">
        <w:tc>
          <w:tcPr>
            <w:tcW w:w="0" w:type="auto"/>
            <w:gridSpan w:val="3"/>
            <w:shd w:val="clear" w:color="auto" w:fill="FFFFFF"/>
            <w:tcMar>
              <w:top w:w="0" w:type="dxa"/>
              <w:left w:w="20" w:type="dxa"/>
              <w:bottom w:w="0" w:type="dxa"/>
              <w:right w:w="20" w:type="dxa"/>
            </w:tcMar>
            <w:vAlign w:val="bottom"/>
          </w:tcPr>
          <w:p w14:paraId="22CFD318"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319" w14:textId="77777777" w:rsidR="002661BA" w:rsidRDefault="00D972BC">
            <w:pPr>
              <w:jc w:val="right"/>
              <w:textAlignment w:val="bottom"/>
            </w:pPr>
            <w:r>
              <w:rPr>
                <w:rFonts w:ascii="Arial" w:eastAsia="宋体" w:hAnsi="Arial" w:cs="Arial"/>
                <w:color w:val="000000"/>
                <w:sz w:val="18"/>
                <w:szCs w:val="18"/>
              </w:rPr>
              <w:t>3,597 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31A"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31B" w14:textId="77777777" w:rsidR="002661BA" w:rsidRDefault="00D972BC">
            <w:pPr>
              <w:textAlignment w:val="bottom"/>
            </w:pPr>
            <w:r>
              <w:rPr>
                <w:rFonts w:ascii="Arial" w:eastAsia="宋体" w:hAnsi="Arial" w:cs="Arial"/>
                <w:color w:val="000000"/>
                <w:sz w:val="18"/>
                <w:szCs w:val="18"/>
              </w:rPr>
              <w:t>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31C" w14:textId="77777777" w:rsidR="002661BA" w:rsidRDefault="00D972BC">
            <w:pPr>
              <w:jc w:val="right"/>
              <w:textAlignment w:val="bottom"/>
            </w:pPr>
            <w:r>
              <w:rPr>
                <w:rFonts w:ascii="Arial" w:eastAsia="宋体" w:hAnsi="Arial" w:cs="Arial"/>
                <w:color w:val="000000"/>
                <w:sz w:val="18"/>
                <w:szCs w:val="18"/>
              </w:rPr>
              <w:t>3,895 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31D" w14:textId="77777777" w:rsidR="002661BA" w:rsidRDefault="002661BA">
            <w:pPr>
              <w:jc w:val="right"/>
              <w:rPr>
                <w:rFonts w:ascii="宋体"/>
              </w:rPr>
            </w:pPr>
          </w:p>
        </w:tc>
      </w:tr>
      <w:tr w:rsidR="002661BA" w14:paraId="22CFD323" w14:textId="77777777">
        <w:tc>
          <w:tcPr>
            <w:tcW w:w="0" w:type="auto"/>
            <w:gridSpan w:val="3"/>
            <w:shd w:val="clear" w:color="auto" w:fill="E2E2E2"/>
            <w:tcMar>
              <w:top w:w="40" w:type="dxa"/>
              <w:left w:w="20" w:type="dxa"/>
              <w:bottom w:w="40" w:type="dxa"/>
              <w:right w:w="20" w:type="dxa"/>
            </w:tcMar>
            <w:vAlign w:val="bottom"/>
          </w:tcPr>
          <w:p w14:paraId="22CFD31F" w14:textId="77777777" w:rsidR="002661BA" w:rsidRDefault="00D972BC">
            <w:pPr>
              <w:textAlignment w:val="bottom"/>
            </w:pPr>
            <w:r>
              <w:rPr>
                <w:rFonts w:ascii="Arial" w:eastAsia="宋体" w:hAnsi="Arial" w:cs="Arial"/>
                <w:color w:val="000000"/>
                <w:sz w:val="18"/>
                <w:szCs w:val="18"/>
              </w:rPr>
              <w:t>Deferred tax liabilities:</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D320"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D321" w14:textId="77777777" w:rsidR="002661BA" w:rsidRDefault="00D972BC">
            <w:pPr>
              <w:textAlignment w:val="bottom"/>
            </w:pPr>
            <w:r>
              <w:rPr>
                <w:rFonts w:ascii="Arial" w:eastAsia="宋体" w:hAnsi="Arial" w:cs="Arial"/>
                <w:color w:val="000000"/>
                <w:sz w:val="18"/>
                <w:szCs w:val="18"/>
              </w:rPr>
              <w:t> </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D322" w14:textId="77777777" w:rsidR="002661BA" w:rsidRDefault="002661BA">
            <w:pPr>
              <w:rPr>
                <w:rFonts w:ascii="宋体"/>
              </w:rPr>
            </w:pPr>
          </w:p>
        </w:tc>
      </w:tr>
      <w:tr w:rsidR="002661BA" w14:paraId="22CFD32A" w14:textId="77777777">
        <w:tc>
          <w:tcPr>
            <w:tcW w:w="0" w:type="auto"/>
            <w:gridSpan w:val="3"/>
            <w:shd w:val="clear" w:color="auto" w:fill="FFFFFF"/>
            <w:tcMar>
              <w:top w:w="40" w:type="dxa"/>
              <w:left w:w="245" w:type="dxa"/>
              <w:bottom w:w="40" w:type="dxa"/>
              <w:right w:w="20" w:type="dxa"/>
            </w:tcMar>
            <w:vAlign w:val="bottom"/>
          </w:tcPr>
          <w:p w14:paraId="22CFD324" w14:textId="77777777" w:rsidR="002661BA" w:rsidRDefault="00D972BC">
            <w:pPr>
              <w:textAlignment w:val="bottom"/>
            </w:pPr>
            <w:r>
              <w:rPr>
                <w:rFonts w:ascii="Arial" w:eastAsia="宋体" w:hAnsi="Arial" w:cs="Arial"/>
                <w:color w:val="000000"/>
                <w:sz w:val="18"/>
                <w:szCs w:val="18"/>
              </w:rPr>
              <w:t>Outside basis differences</w:t>
            </w:r>
          </w:p>
        </w:tc>
        <w:tc>
          <w:tcPr>
            <w:tcW w:w="0" w:type="auto"/>
            <w:gridSpan w:val="2"/>
            <w:shd w:val="clear" w:color="auto" w:fill="FFFFFF"/>
            <w:tcMar>
              <w:top w:w="40" w:type="dxa"/>
              <w:left w:w="20" w:type="dxa"/>
              <w:bottom w:w="40" w:type="dxa"/>
              <w:right w:w="0" w:type="dxa"/>
            </w:tcMar>
            <w:vAlign w:val="bottom"/>
          </w:tcPr>
          <w:p w14:paraId="22CFD325" w14:textId="77777777" w:rsidR="002661BA" w:rsidRDefault="00D972BC">
            <w:pPr>
              <w:jc w:val="right"/>
              <w:textAlignment w:val="bottom"/>
            </w:pPr>
            <w:r>
              <w:rPr>
                <w:rFonts w:ascii="Arial" w:eastAsia="宋体" w:hAnsi="Arial" w:cs="Arial"/>
                <w:color w:val="000000"/>
                <w:sz w:val="18"/>
                <w:szCs w:val="18"/>
              </w:rPr>
              <w:t>(3,136)</w:t>
            </w:r>
          </w:p>
        </w:tc>
        <w:tc>
          <w:tcPr>
            <w:tcW w:w="0" w:type="auto"/>
            <w:shd w:val="clear" w:color="auto" w:fill="FFFFFF"/>
            <w:tcMar>
              <w:top w:w="40" w:type="dxa"/>
              <w:left w:w="0" w:type="dxa"/>
              <w:bottom w:w="40" w:type="dxa"/>
              <w:right w:w="20" w:type="dxa"/>
            </w:tcMar>
            <w:vAlign w:val="bottom"/>
          </w:tcPr>
          <w:p w14:paraId="22CFD32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327"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328" w14:textId="77777777" w:rsidR="002661BA" w:rsidRDefault="00D972BC">
            <w:pPr>
              <w:jc w:val="right"/>
              <w:textAlignment w:val="bottom"/>
            </w:pPr>
            <w:r>
              <w:rPr>
                <w:rFonts w:ascii="Arial" w:eastAsia="宋体" w:hAnsi="Arial" w:cs="Arial"/>
                <w:color w:val="000000"/>
                <w:sz w:val="18"/>
                <w:szCs w:val="18"/>
              </w:rPr>
              <w:t>(2,165)</w:t>
            </w:r>
          </w:p>
        </w:tc>
        <w:tc>
          <w:tcPr>
            <w:tcW w:w="0" w:type="auto"/>
            <w:shd w:val="clear" w:color="auto" w:fill="FFFFFF"/>
            <w:tcMar>
              <w:top w:w="40" w:type="dxa"/>
              <w:left w:w="0" w:type="dxa"/>
              <w:bottom w:w="40" w:type="dxa"/>
              <w:right w:w="20" w:type="dxa"/>
            </w:tcMar>
            <w:vAlign w:val="bottom"/>
          </w:tcPr>
          <w:p w14:paraId="22CFD329" w14:textId="77777777" w:rsidR="002661BA" w:rsidRDefault="002661BA">
            <w:pPr>
              <w:jc w:val="right"/>
              <w:rPr>
                <w:rFonts w:ascii="宋体"/>
              </w:rPr>
            </w:pPr>
          </w:p>
        </w:tc>
      </w:tr>
      <w:tr w:rsidR="002661BA" w14:paraId="22CFD331" w14:textId="77777777">
        <w:tc>
          <w:tcPr>
            <w:tcW w:w="0" w:type="auto"/>
            <w:gridSpan w:val="3"/>
            <w:shd w:val="clear" w:color="auto" w:fill="E2E2E2"/>
            <w:tcMar>
              <w:top w:w="40" w:type="dxa"/>
              <w:left w:w="245" w:type="dxa"/>
              <w:bottom w:w="40" w:type="dxa"/>
              <w:right w:w="20" w:type="dxa"/>
            </w:tcMar>
            <w:vAlign w:val="bottom"/>
          </w:tcPr>
          <w:p w14:paraId="22CFD32B" w14:textId="77777777" w:rsidR="002661BA" w:rsidRDefault="00D972BC">
            <w:pPr>
              <w:textAlignment w:val="bottom"/>
            </w:pPr>
            <w:r>
              <w:rPr>
                <w:rFonts w:ascii="Arial" w:eastAsia="宋体" w:hAnsi="Arial" w:cs="Arial"/>
                <w:color w:val="000000"/>
                <w:sz w:val="18"/>
                <w:szCs w:val="18"/>
              </w:rPr>
              <w:t>Acquisition-related intangibles</w:t>
            </w:r>
          </w:p>
        </w:tc>
        <w:tc>
          <w:tcPr>
            <w:tcW w:w="0" w:type="auto"/>
            <w:gridSpan w:val="2"/>
            <w:shd w:val="clear" w:color="auto" w:fill="E2E2E2"/>
            <w:tcMar>
              <w:top w:w="40" w:type="dxa"/>
              <w:left w:w="20" w:type="dxa"/>
              <w:bottom w:w="40" w:type="dxa"/>
              <w:right w:w="0" w:type="dxa"/>
            </w:tcMar>
            <w:vAlign w:val="bottom"/>
          </w:tcPr>
          <w:p w14:paraId="22CFD32C" w14:textId="77777777" w:rsidR="002661BA" w:rsidRDefault="00D972BC">
            <w:pPr>
              <w:jc w:val="right"/>
              <w:textAlignment w:val="bottom"/>
            </w:pPr>
            <w:r>
              <w:rPr>
                <w:rFonts w:ascii="Arial" w:eastAsia="宋体" w:hAnsi="Arial" w:cs="Arial"/>
                <w:color w:val="000000"/>
                <w:sz w:val="18"/>
                <w:szCs w:val="18"/>
              </w:rPr>
              <w:t>(37)</w:t>
            </w:r>
          </w:p>
        </w:tc>
        <w:tc>
          <w:tcPr>
            <w:tcW w:w="0" w:type="auto"/>
            <w:shd w:val="clear" w:color="auto" w:fill="E2E2E2"/>
            <w:tcMar>
              <w:top w:w="40" w:type="dxa"/>
              <w:left w:w="0" w:type="dxa"/>
              <w:bottom w:w="40" w:type="dxa"/>
              <w:right w:w="20" w:type="dxa"/>
            </w:tcMar>
            <w:vAlign w:val="bottom"/>
          </w:tcPr>
          <w:p w14:paraId="22CFD32D"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32E"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22CFD32F" w14:textId="77777777" w:rsidR="002661BA" w:rsidRDefault="00D972BC">
            <w:pPr>
              <w:jc w:val="right"/>
              <w:textAlignment w:val="bottom"/>
            </w:pPr>
            <w:r>
              <w:rPr>
                <w:rFonts w:ascii="Arial" w:eastAsia="宋体" w:hAnsi="Arial" w:cs="Arial"/>
                <w:color w:val="000000"/>
                <w:sz w:val="18"/>
                <w:szCs w:val="18"/>
              </w:rPr>
              <w:t>(36)</w:t>
            </w:r>
          </w:p>
        </w:tc>
        <w:tc>
          <w:tcPr>
            <w:tcW w:w="0" w:type="auto"/>
            <w:shd w:val="clear" w:color="auto" w:fill="E2E2E2"/>
            <w:tcMar>
              <w:top w:w="40" w:type="dxa"/>
              <w:left w:w="0" w:type="dxa"/>
              <w:bottom w:w="40" w:type="dxa"/>
              <w:right w:w="20" w:type="dxa"/>
            </w:tcMar>
            <w:vAlign w:val="bottom"/>
          </w:tcPr>
          <w:p w14:paraId="22CFD330" w14:textId="77777777" w:rsidR="002661BA" w:rsidRDefault="002661BA">
            <w:pPr>
              <w:jc w:val="right"/>
              <w:rPr>
                <w:rFonts w:ascii="宋体"/>
              </w:rPr>
            </w:pPr>
          </w:p>
        </w:tc>
      </w:tr>
      <w:tr w:rsidR="002661BA" w14:paraId="22CFD338" w14:textId="77777777">
        <w:tc>
          <w:tcPr>
            <w:tcW w:w="0" w:type="auto"/>
            <w:gridSpan w:val="3"/>
            <w:shd w:val="clear" w:color="auto" w:fill="FFFFFF"/>
            <w:tcMar>
              <w:top w:w="40" w:type="dxa"/>
              <w:left w:w="245" w:type="dxa"/>
              <w:bottom w:w="40" w:type="dxa"/>
              <w:right w:w="20" w:type="dxa"/>
            </w:tcMar>
            <w:vAlign w:val="bottom"/>
          </w:tcPr>
          <w:p w14:paraId="22CFD332" w14:textId="77777777" w:rsidR="002661BA" w:rsidRDefault="00D972BC">
            <w:pPr>
              <w:textAlignment w:val="bottom"/>
            </w:pPr>
            <w:r>
              <w:rPr>
                <w:rFonts w:ascii="Arial" w:eastAsia="宋体" w:hAnsi="Arial" w:cs="Arial"/>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22CFD333" w14:textId="77777777" w:rsidR="002661BA" w:rsidRDefault="00D972BC">
            <w:pPr>
              <w:jc w:val="right"/>
              <w:textAlignment w:val="bottom"/>
            </w:pPr>
            <w:r>
              <w:rPr>
                <w:rFonts w:ascii="Arial" w:eastAsia="宋体" w:hAnsi="Arial" w:cs="Arial"/>
                <w:color w:val="000000"/>
                <w:sz w:val="18"/>
                <w:szCs w:val="18"/>
              </w:rPr>
              <w:t>(202)</w:t>
            </w:r>
          </w:p>
        </w:tc>
        <w:tc>
          <w:tcPr>
            <w:tcW w:w="0" w:type="auto"/>
            <w:shd w:val="clear" w:color="auto" w:fill="FFFFFF"/>
            <w:tcMar>
              <w:top w:w="40" w:type="dxa"/>
              <w:left w:w="0" w:type="dxa"/>
              <w:bottom w:w="40" w:type="dxa"/>
              <w:right w:w="20" w:type="dxa"/>
            </w:tcMar>
            <w:vAlign w:val="bottom"/>
          </w:tcPr>
          <w:p w14:paraId="22CFD334"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335" w14:textId="77777777" w:rsidR="002661BA" w:rsidRDefault="00D972BC">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22CFD336" w14:textId="77777777" w:rsidR="002661BA" w:rsidRDefault="00D972BC">
            <w:pPr>
              <w:jc w:val="right"/>
              <w:textAlignment w:val="bottom"/>
            </w:pPr>
            <w:r>
              <w:rPr>
                <w:rFonts w:ascii="Arial" w:eastAsia="宋体" w:hAnsi="Arial" w:cs="Arial"/>
                <w:color w:val="000000"/>
                <w:sz w:val="18"/>
                <w:szCs w:val="18"/>
              </w:rPr>
              <w:t>(219)</w:t>
            </w:r>
          </w:p>
        </w:tc>
        <w:tc>
          <w:tcPr>
            <w:tcW w:w="0" w:type="auto"/>
            <w:shd w:val="clear" w:color="auto" w:fill="FFFFFF"/>
            <w:tcMar>
              <w:top w:w="40" w:type="dxa"/>
              <w:left w:w="0" w:type="dxa"/>
              <w:bottom w:w="40" w:type="dxa"/>
              <w:right w:w="20" w:type="dxa"/>
            </w:tcMar>
            <w:vAlign w:val="bottom"/>
          </w:tcPr>
          <w:p w14:paraId="22CFD337" w14:textId="77777777" w:rsidR="002661BA" w:rsidRDefault="002661BA">
            <w:pPr>
              <w:jc w:val="right"/>
              <w:rPr>
                <w:rFonts w:ascii="宋体"/>
              </w:rPr>
            </w:pPr>
          </w:p>
        </w:tc>
      </w:tr>
      <w:tr w:rsidR="002661BA" w14:paraId="22CFD33F" w14:textId="77777777">
        <w:tc>
          <w:tcPr>
            <w:tcW w:w="0" w:type="auto"/>
            <w:gridSpan w:val="3"/>
            <w:shd w:val="clear" w:color="auto" w:fill="E2E2E2"/>
            <w:tcMar>
              <w:top w:w="40" w:type="dxa"/>
              <w:left w:w="245" w:type="dxa"/>
              <w:bottom w:w="40" w:type="dxa"/>
              <w:right w:w="20" w:type="dxa"/>
            </w:tcMar>
            <w:vAlign w:val="bottom"/>
          </w:tcPr>
          <w:p w14:paraId="22CFD339" w14:textId="77777777" w:rsidR="002661BA" w:rsidRDefault="00D972BC">
            <w:pPr>
              <w:textAlignment w:val="bottom"/>
            </w:pPr>
            <w:r>
              <w:rPr>
                <w:rFonts w:ascii="Arial" w:eastAsia="宋体" w:hAnsi="Arial" w:cs="Arial"/>
                <w:color w:val="000000"/>
                <w:sz w:val="18"/>
                <w:szCs w:val="18"/>
              </w:rPr>
              <w:t xml:space="preserve">Net </w:t>
            </w:r>
            <w:r>
              <w:rPr>
                <w:rFonts w:ascii="Arial" w:eastAsia="宋体" w:hAnsi="Arial" w:cs="Arial"/>
                <w:color w:val="000000"/>
                <w:sz w:val="18"/>
                <w:szCs w:val="18"/>
              </w:rPr>
              <w:t>unrealized gain on investments</w:t>
            </w:r>
          </w:p>
        </w:tc>
        <w:tc>
          <w:tcPr>
            <w:tcW w:w="0" w:type="auto"/>
            <w:gridSpan w:val="2"/>
            <w:shd w:val="clear" w:color="auto" w:fill="E2E2E2"/>
            <w:tcMar>
              <w:top w:w="40" w:type="dxa"/>
              <w:left w:w="20" w:type="dxa"/>
              <w:bottom w:w="40" w:type="dxa"/>
              <w:right w:w="0" w:type="dxa"/>
            </w:tcMar>
            <w:vAlign w:val="bottom"/>
          </w:tcPr>
          <w:p w14:paraId="22CFD33A" w14:textId="77777777" w:rsidR="002661BA" w:rsidRDefault="00D972BC">
            <w:pPr>
              <w:jc w:val="right"/>
              <w:textAlignment w:val="bottom"/>
            </w:pPr>
            <w:r>
              <w:rPr>
                <w:rFonts w:ascii="Arial" w:eastAsia="宋体" w:hAnsi="Arial" w:cs="Arial"/>
                <w:color w:val="000000"/>
                <w:sz w:val="18"/>
                <w:szCs w:val="18"/>
              </w:rPr>
              <w:t>(84)</w:t>
            </w:r>
          </w:p>
        </w:tc>
        <w:tc>
          <w:tcPr>
            <w:tcW w:w="0" w:type="auto"/>
            <w:shd w:val="clear" w:color="auto" w:fill="E2E2E2"/>
            <w:tcMar>
              <w:top w:w="40" w:type="dxa"/>
              <w:left w:w="0" w:type="dxa"/>
              <w:bottom w:w="40" w:type="dxa"/>
              <w:right w:w="20" w:type="dxa"/>
            </w:tcMar>
            <w:vAlign w:val="bottom"/>
          </w:tcPr>
          <w:p w14:paraId="22CFD33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33C"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33D" w14:textId="77777777" w:rsidR="002661BA" w:rsidRDefault="00D972BC">
            <w:pPr>
              <w:jc w:val="right"/>
              <w:textAlignment w:val="bottom"/>
            </w:pPr>
            <w:r>
              <w:rPr>
                <w:rFonts w:ascii="Arial" w:eastAsia="宋体" w:hAnsi="Arial" w:cs="Arial"/>
                <w:color w:val="000000"/>
                <w:sz w:val="18"/>
                <w:szCs w:val="18"/>
              </w:rPr>
              <w:t>(307)</w:t>
            </w:r>
          </w:p>
        </w:tc>
        <w:tc>
          <w:tcPr>
            <w:tcW w:w="0" w:type="auto"/>
            <w:shd w:val="clear" w:color="auto" w:fill="E2E2E2"/>
            <w:tcMar>
              <w:top w:w="40" w:type="dxa"/>
              <w:left w:w="0" w:type="dxa"/>
              <w:bottom w:w="40" w:type="dxa"/>
              <w:right w:w="20" w:type="dxa"/>
            </w:tcMar>
            <w:vAlign w:val="bottom"/>
          </w:tcPr>
          <w:p w14:paraId="22CFD33E" w14:textId="77777777" w:rsidR="002661BA" w:rsidRDefault="002661BA">
            <w:pPr>
              <w:jc w:val="right"/>
              <w:rPr>
                <w:rFonts w:ascii="宋体"/>
              </w:rPr>
            </w:pPr>
          </w:p>
        </w:tc>
      </w:tr>
      <w:tr w:rsidR="002661BA" w14:paraId="22CFD344" w14:textId="77777777">
        <w:trPr>
          <w:hidden/>
        </w:trPr>
        <w:tc>
          <w:tcPr>
            <w:tcW w:w="0" w:type="auto"/>
            <w:gridSpan w:val="3"/>
            <w:shd w:val="clear" w:color="auto" w:fill="auto"/>
            <w:vAlign w:val="bottom"/>
          </w:tcPr>
          <w:p w14:paraId="22CFD340" w14:textId="77777777" w:rsidR="002661BA" w:rsidRDefault="002661BA">
            <w:pPr>
              <w:rPr>
                <w:rFonts w:ascii="宋体"/>
                <w:vanish/>
              </w:rPr>
            </w:pPr>
          </w:p>
        </w:tc>
        <w:tc>
          <w:tcPr>
            <w:tcW w:w="0" w:type="auto"/>
            <w:gridSpan w:val="3"/>
            <w:shd w:val="clear" w:color="auto" w:fill="auto"/>
            <w:vAlign w:val="bottom"/>
          </w:tcPr>
          <w:p w14:paraId="22CFD341" w14:textId="77777777" w:rsidR="002661BA" w:rsidRDefault="002661BA">
            <w:pPr>
              <w:rPr>
                <w:rFonts w:ascii="宋体"/>
                <w:vanish/>
              </w:rPr>
            </w:pPr>
          </w:p>
        </w:tc>
        <w:tc>
          <w:tcPr>
            <w:tcW w:w="0" w:type="auto"/>
            <w:gridSpan w:val="3"/>
            <w:shd w:val="clear" w:color="auto" w:fill="auto"/>
            <w:vAlign w:val="bottom"/>
          </w:tcPr>
          <w:p w14:paraId="22CFD342" w14:textId="77777777" w:rsidR="002661BA" w:rsidRDefault="002661BA">
            <w:pPr>
              <w:rPr>
                <w:rFonts w:ascii="宋体"/>
                <w:vanish/>
              </w:rPr>
            </w:pPr>
          </w:p>
        </w:tc>
        <w:tc>
          <w:tcPr>
            <w:tcW w:w="0" w:type="auto"/>
            <w:gridSpan w:val="3"/>
            <w:shd w:val="clear" w:color="auto" w:fill="auto"/>
            <w:vAlign w:val="bottom"/>
          </w:tcPr>
          <w:p w14:paraId="22CFD343" w14:textId="77777777" w:rsidR="002661BA" w:rsidRDefault="002661BA">
            <w:pPr>
              <w:rPr>
                <w:rFonts w:ascii="宋体"/>
                <w:vanish/>
              </w:rPr>
            </w:pPr>
          </w:p>
        </w:tc>
      </w:tr>
      <w:tr w:rsidR="002661BA" w14:paraId="22CFD349" w14:textId="77777777">
        <w:trPr>
          <w:hidden/>
        </w:trPr>
        <w:tc>
          <w:tcPr>
            <w:tcW w:w="0" w:type="auto"/>
            <w:gridSpan w:val="3"/>
            <w:shd w:val="clear" w:color="auto" w:fill="auto"/>
            <w:vAlign w:val="bottom"/>
          </w:tcPr>
          <w:p w14:paraId="22CFD345" w14:textId="77777777" w:rsidR="002661BA" w:rsidRDefault="002661BA">
            <w:pPr>
              <w:rPr>
                <w:rFonts w:ascii="宋体"/>
                <w:vanish/>
              </w:rPr>
            </w:pPr>
          </w:p>
        </w:tc>
        <w:tc>
          <w:tcPr>
            <w:tcW w:w="0" w:type="auto"/>
            <w:gridSpan w:val="3"/>
            <w:shd w:val="clear" w:color="auto" w:fill="auto"/>
            <w:vAlign w:val="bottom"/>
          </w:tcPr>
          <w:p w14:paraId="22CFD346" w14:textId="77777777" w:rsidR="002661BA" w:rsidRDefault="002661BA">
            <w:pPr>
              <w:rPr>
                <w:rFonts w:ascii="宋体"/>
                <w:vanish/>
              </w:rPr>
            </w:pPr>
          </w:p>
        </w:tc>
        <w:tc>
          <w:tcPr>
            <w:tcW w:w="0" w:type="auto"/>
            <w:gridSpan w:val="3"/>
            <w:shd w:val="clear" w:color="auto" w:fill="auto"/>
            <w:vAlign w:val="bottom"/>
          </w:tcPr>
          <w:p w14:paraId="22CFD347" w14:textId="77777777" w:rsidR="002661BA" w:rsidRDefault="002661BA">
            <w:pPr>
              <w:rPr>
                <w:rFonts w:ascii="宋体"/>
                <w:vanish/>
              </w:rPr>
            </w:pPr>
          </w:p>
        </w:tc>
        <w:tc>
          <w:tcPr>
            <w:tcW w:w="0" w:type="auto"/>
            <w:gridSpan w:val="3"/>
            <w:shd w:val="clear" w:color="auto" w:fill="auto"/>
            <w:vAlign w:val="bottom"/>
          </w:tcPr>
          <w:p w14:paraId="22CFD348" w14:textId="77777777" w:rsidR="002661BA" w:rsidRDefault="002661BA">
            <w:pPr>
              <w:rPr>
                <w:rFonts w:ascii="宋体"/>
                <w:vanish/>
              </w:rPr>
            </w:pPr>
          </w:p>
        </w:tc>
      </w:tr>
      <w:tr w:rsidR="002661BA" w14:paraId="22CFD350" w14:textId="77777777">
        <w:tc>
          <w:tcPr>
            <w:tcW w:w="0" w:type="auto"/>
            <w:gridSpan w:val="3"/>
            <w:shd w:val="clear" w:color="auto" w:fill="FFFFFF"/>
            <w:tcMar>
              <w:top w:w="0" w:type="dxa"/>
              <w:left w:w="20" w:type="dxa"/>
              <w:bottom w:w="0" w:type="dxa"/>
              <w:right w:w="20" w:type="dxa"/>
            </w:tcMar>
            <w:vAlign w:val="bottom"/>
          </w:tcPr>
          <w:p w14:paraId="22CFD34A"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34B" w14:textId="77777777" w:rsidR="002661BA" w:rsidRDefault="00D972BC">
            <w:pPr>
              <w:jc w:val="right"/>
              <w:textAlignment w:val="bottom"/>
            </w:pPr>
            <w:r>
              <w:rPr>
                <w:rFonts w:ascii="Arial" w:eastAsia="宋体" w:hAnsi="Arial" w:cs="Arial"/>
                <w:color w:val="000000"/>
                <w:sz w:val="18"/>
                <w:szCs w:val="18"/>
              </w:rPr>
              <w:t>(3,459)</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34C" w14:textId="77777777" w:rsidR="002661BA" w:rsidRDefault="002661B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2CFD34D" w14:textId="77777777" w:rsidR="002661BA" w:rsidRDefault="00D972BC">
            <w:pPr>
              <w:textAlignment w:val="bottom"/>
            </w:pPr>
            <w:r>
              <w:rPr>
                <w:rFonts w:ascii="Arial" w:eastAsia="宋体" w:hAnsi="Arial" w:cs="Arial"/>
                <w:color w:val="000000"/>
                <w:sz w:val="18"/>
                <w:szCs w:val="18"/>
              </w:rPr>
              <w:t>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34E" w14:textId="77777777" w:rsidR="002661BA" w:rsidRDefault="00D972BC">
            <w:pPr>
              <w:jc w:val="right"/>
              <w:textAlignment w:val="bottom"/>
            </w:pPr>
            <w:r>
              <w:rPr>
                <w:rFonts w:ascii="Arial" w:eastAsia="宋体" w:hAnsi="Arial" w:cs="Arial"/>
                <w:color w:val="000000"/>
                <w:sz w:val="18"/>
                <w:szCs w:val="18"/>
              </w:rPr>
              <w:t>(2,727)</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34F" w14:textId="77777777" w:rsidR="002661BA" w:rsidRDefault="002661BA">
            <w:pPr>
              <w:jc w:val="right"/>
              <w:rPr>
                <w:rFonts w:ascii="宋体"/>
              </w:rPr>
            </w:pPr>
          </w:p>
        </w:tc>
      </w:tr>
      <w:tr w:rsidR="002661BA" w14:paraId="22CFD359" w14:textId="77777777">
        <w:tc>
          <w:tcPr>
            <w:tcW w:w="0" w:type="auto"/>
            <w:gridSpan w:val="3"/>
            <w:shd w:val="clear" w:color="auto" w:fill="E2E2E2"/>
            <w:tcMar>
              <w:top w:w="0" w:type="dxa"/>
              <w:left w:w="20" w:type="dxa"/>
              <w:bottom w:w="0" w:type="dxa"/>
              <w:right w:w="20" w:type="dxa"/>
            </w:tcMar>
            <w:vAlign w:val="bottom"/>
          </w:tcPr>
          <w:p w14:paraId="22CFD351"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352"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353" w14:textId="77777777" w:rsidR="002661BA" w:rsidRDefault="00D972BC">
            <w:pPr>
              <w:jc w:val="right"/>
              <w:textAlignment w:val="bottom"/>
            </w:pPr>
            <w:r>
              <w:rPr>
                <w:rFonts w:ascii="Arial" w:eastAsia="宋体" w:hAnsi="Arial" w:cs="Arial"/>
                <w:color w:val="000000"/>
                <w:sz w:val="18"/>
                <w:szCs w:val="18"/>
              </w:rPr>
              <w:t>138 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354"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355"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356"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357" w14:textId="77777777" w:rsidR="002661BA" w:rsidRDefault="00D972BC">
            <w:pPr>
              <w:jc w:val="right"/>
              <w:textAlignment w:val="bottom"/>
            </w:pPr>
            <w:r>
              <w:rPr>
                <w:rFonts w:ascii="Arial" w:eastAsia="宋体" w:hAnsi="Arial" w:cs="Arial"/>
                <w:color w:val="000000"/>
                <w:sz w:val="18"/>
                <w:szCs w:val="18"/>
              </w:rPr>
              <w:t>1,168 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358" w14:textId="77777777" w:rsidR="002661BA" w:rsidRDefault="002661BA">
            <w:pPr>
              <w:jc w:val="right"/>
              <w:rPr>
                <w:rFonts w:ascii="宋体"/>
              </w:rPr>
            </w:pPr>
          </w:p>
        </w:tc>
      </w:tr>
    </w:tbl>
    <w:p w14:paraId="22CFD35A" w14:textId="77777777" w:rsidR="002661BA" w:rsidRDefault="002661BA">
      <w:pPr>
        <w:ind w:firstLine="495"/>
        <w:jc w:val="both"/>
      </w:pPr>
    </w:p>
    <w:p w14:paraId="22CFD35B" w14:textId="77777777" w:rsidR="002661BA" w:rsidRDefault="00D972BC">
      <w:pPr>
        <w:ind w:firstLine="540"/>
        <w:jc w:val="both"/>
      </w:pPr>
      <w:r>
        <w:rPr>
          <w:rFonts w:ascii="Arial" w:eastAsia="宋体" w:hAnsi="Arial" w:cs="Arial"/>
          <w:color w:val="000000"/>
          <w:sz w:val="20"/>
          <w:szCs w:val="20"/>
        </w:rPr>
        <w:t xml:space="preserve">As of December 31, 2021, our federal, state and foreign net operating loss carryforwards for income tax purposes were approximately $13 million, $43 million and $248 million, respectively. The federal and state net operating loss carryforwards are subject </w:t>
      </w:r>
      <w:r>
        <w:rPr>
          <w:rFonts w:ascii="Arial" w:eastAsia="宋体" w:hAnsi="Arial" w:cs="Arial"/>
          <w:color w:val="000000"/>
          <w:sz w:val="20"/>
          <w:szCs w:val="20"/>
        </w:rPr>
        <w:t>to various limitations under Section 382 of the Internal Revenue Code and applicable state tax laws. If not utilized, the federal and state net operating loss carryforwards will begin to expire in 2024 and 2023, respectively. The carryforward periods on ou</w:t>
      </w:r>
      <w:r>
        <w:rPr>
          <w:rFonts w:ascii="Arial" w:eastAsia="宋体" w:hAnsi="Arial" w:cs="Arial"/>
          <w:color w:val="000000"/>
          <w:sz w:val="20"/>
          <w:szCs w:val="20"/>
        </w:rPr>
        <w:t>r foreign net operating loss carryforwards are as follows: $5 million do not expire and $243 million are subject to valuation allowance and begin to expire in 2027. As of December 31, 2021, state tax credit carryforwards for income tax purposes were approx</w:t>
      </w:r>
      <w:r>
        <w:rPr>
          <w:rFonts w:ascii="Arial" w:eastAsia="宋体" w:hAnsi="Arial" w:cs="Arial"/>
          <w:color w:val="000000"/>
          <w:sz w:val="20"/>
          <w:szCs w:val="20"/>
        </w:rPr>
        <w:t xml:space="preserve">imately $175 million. Most of the state tax credits carry forward indefinitely. </w:t>
      </w:r>
    </w:p>
    <w:p w14:paraId="22CFD35C" w14:textId="77777777" w:rsidR="002661BA" w:rsidRDefault="002661BA">
      <w:pPr>
        <w:ind w:firstLine="540"/>
        <w:jc w:val="both"/>
      </w:pPr>
    </w:p>
    <w:p w14:paraId="22CFD35D" w14:textId="77777777" w:rsidR="002661BA" w:rsidRDefault="00D972BC">
      <w:pPr>
        <w:ind w:firstLine="540"/>
        <w:jc w:val="both"/>
      </w:pPr>
      <w:r>
        <w:rPr>
          <w:rFonts w:ascii="Arial" w:eastAsia="宋体" w:hAnsi="Arial" w:cs="Arial"/>
          <w:color w:val="000000"/>
          <w:sz w:val="20"/>
          <w:szCs w:val="20"/>
        </w:rPr>
        <w:t>As of December 31, 2021 and 2020, we maintained a valuation allowance with respect to certain of our deferred tax assets relating primarily to operating losses in certain non</w:t>
      </w:r>
      <w:r>
        <w:rPr>
          <w:rFonts w:ascii="Arial" w:eastAsia="宋体" w:hAnsi="Arial" w:cs="Arial"/>
          <w:color w:val="000000"/>
          <w:sz w:val="20"/>
          <w:szCs w:val="20"/>
        </w:rPr>
        <w:t xml:space="preserve">-U.S. jurisdictions and certain state tax credits that we believe are not likely to be realized. </w:t>
      </w:r>
    </w:p>
    <w:p w14:paraId="22CFD35E" w14:textId="77777777" w:rsidR="002661BA" w:rsidRDefault="002661BA">
      <w:pPr>
        <w:ind w:firstLine="540"/>
        <w:jc w:val="both"/>
      </w:pPr>
    </w:p>
    <w:p w14:paraId="22CFD35F" w14:textId="77777777" w:rsidR="002661BA" w:rsidRDefault="00D972BC">
      <w:pPr>
        <w:ind w:firstLine="540"/>
        <w:jc w:val="both"/>
      </w:pPr>
      <w:r>
        <w:rPr>
          <w:rFonts w:ascii="Arial" w:eastAsia="宋体" w:hAnsi="Arial" w:cs="Arial"/>
          <w:color w:val="000000"/>
          <w:sz w:val="20"/>
          <w:szCs w:val="20"/>
        </w:rPr>
        <w:t>We have recognized the tax consequences of all foreign unremitted earnings and management has no specific plans to indefinitely reinvest the unremitted earni</w:t>
      </w:r>
      <w:r>
        <w:rPr>
          <w:rFonts w:ascii="Arial" w:eastAsia="宋体" w:hAnsi="Arial" w:cs="Arial"/>
          <w:color w:val="000000"/>
          <w:sz w:val="20"/>
          <w:szCs w:val="20"/>
        </w:rPr>
        <w:t xml:space="preserve">ngs of our foreign subsidiaries as of the balance sheet date. Accordingly, as of December 31, 2021 and 2020, $697 million and $791 million, respectively, of our liability for deemed repatriation of foreign earnings was included in other liabilities on our </w:t>
      </w:r>
      <w:r>
        <w:rPr>
          <w:rFonts w:ascii="Arial" w:eastAsia="宋体" w:hAnsi="Arial" w:cs="Arial"/>
          <w:color w:val="000000"/>
          <w:sz w:val="20"/>
          <w:szCs w:val="20"/>
        </w:rPr>
        <w:t>consolidated balance sheet. We have not provided for deferred taxes on outside basis differences in our investments in our foreign subsidiaries that are unrelated to unremitted earnings. These basis differences will be indefinitely reinvested. A determinat</w:t>
      </w:r>
      <w:r>
        <w:rPr>
          <w:rFonts w:ascii="Arial" w:eastAsia="宋体" w:hAnsi="Arial" w:cs="Arial"/>
          <w:color w:val="000000"/>
          <w:sz w:val="20"/>
          <w:szCs w:val="20"/>
        </w:rPr>
        <w:t>ion of the unrecognized deferred taxes related to these other components of our outside basis difference is not practicable.</w:t>
      </w:r>
    </w:p>
    <w:p w14:paraId="22CFD360" w14:textId="77777777" w:rsidR="002661BA" w:rsidRDefault="002661BA">
      <w:pPr>
        <w:ind w:firstLine="540"/>
        <w:jc w:val="both"/>
      </w:pPr>
    </w:p>
    <w:p w14:paraId="22CFD361" w14:textId="77777777" w:rsidR="002661BA" w:rsidRDefault="00D972BC">
      <w:pPr>
        <w:ind w:firstLine="540"/>
        <w:jc w:val="both"/>
      </w:pPr>
      <w:r>
        <w:rPr>
          <w:rFonts w:ascii="Arial" w:eastAsia="宋体" w:hAnsi="Arial" w:cs="Arial"/>
          <w:color w:val="000000"/>
          <w:sz w:val="20"/>
          <w:szCs w:val="20"/>
        </w:rPr>
        <w:t>In connection with the transfer of our Classifieds business on June 24, 2021 we recorded $2.1 billion of income tax expense as par</w:t>
      </w:r>
      <w:r>
        <w:rPr>
          <w:rFonts w:ascii="Arial" w:eastAsia="宋体" w:hAnsi="Arial" w:cs="Arial"/>
          <w:color w:val="000000"/>
          <w:sz w:val="20"/>
          <w:szCs w:val="20"/>
        </w:rPr>
        <w:t>t of income from discontinued operations, of which $1.7 billion was a deferred tax liability for the outside basis difference related to our receipt of Adevinta shares. Through the remainder of 2021, the deferred tax liability has decreased with the change</w:t>
      </w:r>
      <w:r>
        <w:rPr>
          <w:rFonts w:ascii="Arial" w:eastAsia="宋体" w:hAnsi="Arial" w:cs="Arial"/>
          <w:color w:val="000000"/>
          <w:sz w:val="20"/>
          <w:szCs w:val="20"/>
        </w:rPr>
        <w:t xml:space="preserve"> in fair value of the Adevinta investment, which has been recorded in income from continuing operations following the transaction close date through December 31, 2021.</w:t>
      </w:r>
    </w:p>
    <w:p w14:paraId="22CFD362" w14:textId="77777777" w:rsidR="002661BA" w:rsidRDefault="002661BA">
      <w:pPr>
        <w:ind w:firstLine="540"/>
        <w:jc w:val="both"/>
      </w:pPr>
    </w:p>
    <w:p w14:paraId="22CFD363" w14:textId="77777777" w:rsidR="002661BA" w:rsidRDefault="00D972BC">
      <w:pPr>
        <w:jc w:val="center"/>
      </w:pPr>
      <w:r>
        <w:rPr>
          <w:rFonts w:ascii="Arial" w:eastAsia="宋体" w:hAnsi="Arial" w:cs="Arial"/>
          <w:color w:val="000000"/>
          <w:sz w:val="18"/>
          <w:szCs w:val="18"/>
        </w:rPr>
        <w:t>109</w:t>
      </w:r>
    </w:p>
    <w:p w14:paraId="22CFD364" w14:textId="77777777" w:rsidR="002661BA" w:rsidRDefault="00D972BC">
      <w:r>
        <w:pict w14:anchorId="22CFE51E">
          <v:rect id="_x0000_i1133" style="width:415.3pt;height:1.5pt" o:hralign="center" o:hrstd="t" o:hr="t" fillcolor="#a0a0a0" stroked="f"/>
        </w:pict>
      </w:r>
    </w:p>
    <w:p w14:paraId="22CFD365" w14:textId="77777777" w:rsidR="002661BA" w:rsidRDefault="00D972BC">
      <w:hyperlink r:id="rId144" w:anchor="id0d7a71b05ce452ea9fdb54f3cb359c7_7" w:history="1">
        <w:r>
          <w:rPr>
            <w:rStyle w:val="a5"/>
            <w:rFonts w:ascii="Arial" w:eastAsia="宋体" w:hAnsi="Arial" w:cs="Arial"/>
            <w:sz w:val="18"/>
            <w:szCs w:val="18"/>
          </w:rPr>
          <w:t>Table of Contents</w:t>
        </w:r>
      </w:hyperlink>
    </w:p>
    <w:p w14:paraId="22CFD366" w14:textId="77777777" w:rsidR="002661BA" w:rsidRDefault="00D972BC">
      <w:pPr>
        <w:jc w:val="center"/>
      </w:pPr>
      <w:r>
        <w:rPr>
          <w:rFonts w:ascii="Arial" w:eastAsia="宋体" w:hAnsi="Arial" w:cs="Arial"/>
          <w:b/>
          <w:bCs/>
          <w:color w:val="000000"/>
          <w:sz w:val="20"/>
          <w:szCs w:val="20"/>
        </w:rPr>
        <w:t>eBay Inc.</w:t>
      </w:r>
    </w:p>
    <w:p w14:paraId="22CFD367"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D368" w14:textId="77777777" w:rsidR="002661BA" w:rsidRDefault="00D972BC">
      <w:pPr>
        <w:spacing w:after="120"/>
        <w:ind w:firstLine="540"/>
        <w:jc w:val="both"/>
      </w:pPr>
      <w:r>
        <w:rPr>
          <w:rFonts w:ascii="Arial" w:eastAsia="宋体" w:hAnsi="Arial" w:cs="Arial"/>
          <w:color w:val="000000"/>
          <w:sz w:val="20"/>
          <w:szCs w:val="20"/>
        </w:rPr>
        <w:t xml:space="preserve">The following table </w:t>
      </w:r>
      <w:r>
        <w:rPr>
          <w:rFonts w:ascii="Arial" w:eastAsia="宋体" w:hAnsi="Arial" w:cs="Arial"/>
          <w:color w:val="000000"/>
          <w:sz w:val="20"/>
          <w:szCs w:val="20"/>
        </w:rPr>
        <w:t>presents changes in unrecognized tax benefits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875"/>
        <w:gridCol w:w="37"/>
        <w:gridCol w:w="121"/>
        <w:gridCol w:w="899"/>
        <w:gridCol w:w="36"/>
        <w:gridCol w:w="36"/>
        <w:gridCol w:w="36"/>
        <w:gridCol w:w="36"/>
        <w:gridCol w:w="121"/>
        <w:gridCol w:w="899"/>
        <w:gridCol w:w="36"/>
        <w:gridCol w:w="36"/>
        <w:gridCol w:w="36"/>
        <w:gridCol w:w="36"/>
        <w:gridCol w:w="121"/>
        <w:gridCol w:w="901"/>
        <w:gridCol w:w="36"/>
      </w:tblGrid>
      <w:tr w:rsidR="002661BA" w14:paraId="22CFD37B" w14:textId="77777777">
        <w:tc>
          <w:tcPr>
            <w:tcW w:w="50" w:type="pct"/>
            <w:shd w:val="clear" w:color="auto" w:fill="auto"/>
            <w:vAlign w:val="bottom"/>
          </w:tcPr>
          <w:p w14:paraId="22CFD369" w14:textId="77777777" w:rsidR="002661BA" w:rsidRDefault="002661BA">
            <w:pPr>
              <w:rPr>
                <w:rFonts w:ascii="宋体"/>
              </w:rPr>
            </w:pPr>
          </w:p>
        </w:tc>
        <w:tc>
          <w:tcPr>
            <w:tcW w:w="2978" w:type="pct"/>
            <w:shd w:val="clear" w:color="auto" w:fill="auto"/>
            <w:vAlign w:val="bottom"/>
          </w:tcPr>
          <w:p w14:paraId="22CFD36A" w14:textId="77777777" w:rsidR="002661BA" w:rsidRDefault="002661BA">
            <w:pPr>
              <w:rPr>
                <w:rFonts w:ascii="宋体"/>
              </w:rPr>
            </w:pPr>
          </w:p>
        </w:tc>
        <w:tc>
          <w:tcPr>
            <w:tcW w:w="5" w:type="pct"/>
            <w:shd w:val="clear" w:color="auto" w:fill="auto"/>
            <w:vAlign w:val="bottom"/>
          </w:tcPr>
          <w:p w14:paraId="22CFD36B" w14:textId="77777777" w:rsidR="002661BA" w:rsidRDefault="002661BA">
            <w:pPr>
              <w:rPr>
                <w:rFonts w:ascii="宋体"/>
              </w:rPr>
            </w:pPr>
          </w:p>
        </w:tc>
        <w:tc>
          <w:tcPr>
            <w:tcW w:w="50" w:type="pct"/>
            <w:shd w:val="clear" w:color="auto" w:fill="auto"/>
            <w:vAlign w:val="bottom"/>
          </w:tcPr>
          <w:p w14:paraId="22CFD36C" w14:textId="77777777" w:rsidR="002661BA" w:rsidRDefault="002661BA">
            <w:pPr>
              <w:rPr>
                <w:rFonts w:ascii="宋体"/>
              </w:rPr>
            </w:pPr>
          </w:p>
        </w:tc>
        <w:tc>
          <w:tcPr>
            <w:tcW w:w="580" w:type="pct"/>
            <w:shd w:val="clear" w:color="auto" w:fill="auto"/>
            <w:vAlign w:val="bottom"/>
          </w:tcPr>
          <w:p w14:paraId="22CFD36D" w14:textId="77777777" w:rsidR="002661BA" w:rsidRDefault="002661BA">
            <w:pPr>
              <w:rPr>
                <w:rFonts w:ascii="宋体"/>
              </w:rPr>
            </w:pPr>
          </w:p>
        </w:tc>
        <w:tc>
          <w:tcPr>
            <w:tcW w:w="5" w:type="pct"/>
            <w:shd w:val="clear" w:color="auto" w:fill="auto"/>
            <w:vAlign w:val="bottom"/>
          </w:tcPr>
          <w:p w14:paraId="22CFD36E" w14:textId="77777777" w:rsidR="002661BA" w:rsidRDefault="002661BA">
            <w:pPr>
              <w:rPr>
                <w:rFonts w:ascii="宋体"/>
              </w:rPr>
            </w:pPr>
          </w:p>
        </w:tc>
        <w:tc>
          <w:tcPr>
            <w:tcW w:w="5" w:type="pct"/>
            <w:shd w:val="clear" w:color="auto" w:fill="auto"/>
            <w:vAlign w:val="bottom"/>
          </w:tcPr>
          <w:p w14:paraId="22CFD36F" w14:textId="77777777" w:rsidR="002661BA" w:rsidRDefault="002661BA">
            <w:pPr>
              <w:rPr>
                <w:rFonts w:ascii="宋体"/>
              </w:rPr>
            </w:pPr>
          </w:p>
        </w:tc>
        <w:tc>
          <w:tcPr>
            <w:tcW w:w="19" w:type="pct"/>
            <w:shd w:val="clear" w:color="auto" w:fill="auto"/>
            <w:vAlign w:val="bottom"/>
          </w:tcPr>
          <w:p w14:paraId="22CFD370" w14:textId="77777777" w:rsidR="002661BA" w:rsidRDefault="002661BA">
            <w:pPr>
              <w:rPr>
                <w:rFonts w:ascii="宋体"/>
              </w:rPr>
            </w:pPr>
          </w:p>
        </w:tc>
        <w:tc>
          <w:tcPr>
            <w:tcW w:w="5" w:type="pct"/>
            <w:shd w:val="clear" w:color="auto" w:fill="auto"/>
            <w:vAlign w:val="bottom"/>
          </w:tcPr>
          <w:p w14:paraId="22CFD371" w14:textId="77777777" w:rsidR="002661BA" w:rsidRDefault="002661BA">
            <w:pPr>
              <w:rPr>
                <w:rFonts w:ascii="宋体"/>
              </w:rPr>
            </w:pPr>
          </w:p>
        </w:tc>
        <w:tc>
          <w:tcPr>
            <w:tcW w:w="50" w:type="pct"/>
            <w:shd w:val="clear" w:color="auto" w:fill="auto"/>
            <w:vAlign w:val="bottom"/>
          </w:tcPr>
          <w:p w14:paraId="22CFD372" w14:textId="77777777" w:rsidR="002661BA" w:rsidRDefault="002661BA">
            <w:pPr>
              <w:rPr>
                <w:rFonts w:ascii="宋体"/>
              </w:rPr>
            </w:pPr>
          </w:p>
        </w:tc>
        <w:tc>
          <w:tcPr>
            <w:tcW w:w="580" w:type="pct"/>
            <w:shd w:val="clear" w:color="auto" w:fill="auto"/>
            <w:vAlign w:val="bottom"/>
          </w:tcPr>
          <w:p w14:paraId="22CFD373" w14:textId="77777777" w:rsidR="002661BA" w:rsidRDefault="002661BA">
            <w:pPr>
              <w:rPr>
                <w:rFonts w:ascii="宋体"/>
              </w:rPr>
            </w:pPr>
          </w:p>
        </w:tc>
        <w:tc>
          <w:tcPr>
            <w:tcW w:w="5" w:type="pct"/>
            <w:shd w:val="clear" w:color="auto" w:fill="auto"/>
            <w:vAlign w:val="bottom"/>
          </w:tcPr>
          <w:p w14:paraId="22CFD374" w14:textId="77777777" w:rsidR="002661BA" w:rsidRDefault="002661BA">
            <w:pPr>
              <w:rPr>
                <w:rFonts w:ascii="宋体"/>
              </w:rPr>
            </w:pPr>
          </w:p>
        </w:tc>
        <w:tc>
          <w:tcPr>
            <w:tcW w:w="5" w:type="pct"/>
            <w:shd w:val="clear" w:color="auto" w:fill="auto"/>
            <w:vAlign w:val="bottom"/>
          </w:tcPr>
          <w:p w14:paraId="22CFD375" w14:textId="77777777" w:rsidR="002661BA" w:rsidRDefault="002661BA">
            <w:pPr>
              <w:rPr>
                <w:rFonts w:ascii="宋体"/>
              </w:rPr>
            </w:pPr>
          </w:p>
        </w:tc>
        <w:tc>
          <w:tcPr>
            <w:tcW w:w="19" w:type="pct"/>
            <w:shd w:val="clear" w:color="auto" w:fill="auto"/>
            <w:vAlign w:val="bottom"/>
          </w:tcPr>
          <w:p w14:paraId="22CFD376" w14:textId="77777777" w:rsidR="002661BA" w:rsidRDefault="002661BA">
            <w:pPr>
              <w:rPr>
                <w:rFonts w:ascii="宋体"/>
              </w:rPr>
            </w:pPr>
          </w:p>
        </w:tc>
        <w:tc>
          <w:tcPr>
            <w:tcW w:w="5" w:type="pct"/>
            <w:shd w:val="clear" w:color="auto" w:fill="auto"/>
            <w:vAlign w:val="bottom"/>
          </w:tcPr>
          <w:p w14:paraId="22CFD377" w14:textId="77777777" w:rsidR="002661BA" w:rsidRDefault="002661BA">
            <w:pPr>
              <w:rPr>
                <w:rFonts w:ascii="宋体"/>
              </w:rPr>
            </w:pPr>
          </w:p>
        </w:tc>
        <w:tc>
          <w:tcPr>
            <w:tcW w:w="50" w:type="pct"/>
            <w:shd w:val="clear" w:color="auto" w:fill="auto"/>
            <w:vAlign w:val="bottom"/>
          </w:tcPr>
          <w:p w14:paraId="22CFD378" w14:textId="77777777" w:rsidR="002661BA" w:rsidRDefault="002661BA">
            <w:pPr>
              <w:rPr>
                <w:rFonts w:ascii="宋体"/>
              </w:rPr>
            </w:pPr>
          </w:p>
        </w:tc>
        <w:tc>
          <w:tcPr>
            <w:tcW w:w="581" w:type="pct"/>
            <w:shd w:val="clear" w:color="auto" w:fill="auto"/>
            <w:vAlign w:val="bottom"/>
          </w:tcPr>
          <w:p w14:paraId="22CFD379" w14:textId="77777777" w:rsidR="002661BA" w:rsidRDefault="002661BA">
            <w:pPr>
              <w:rPr>
                <w:rFonts w:ascii="宋体"/>
              </w:rPr>
            </w:pPr>
          </w:p>
        </w:tc>
        <w:tc>
          <w:tcPr>
            <w:tcW w:w="5" w:type="pct"/>
            <w:shd w:val="clear" w:color="auto" w:fill="auto"/>
            <w:vAlign w:val="bottom"/>
          </w:tcPr>
          <w:p w14:paraId="22CFD37A" w14:textId="77777777" w:rsidR="002661BA" w:rsidRDefault="002661BA">
            <w:pPr>
              <w:rPr>
                <w:rFonts w:ascii="宋体"/>
              </w:rPr>
            </w:pPr>
          </w:p>
        </w:tc>
      </w:tr>
      <w:tr w:rsidR="002661BA" w14:paraId="22CFD37E" w14:textId="77777777">
        <w:tc>
          <w:tcPr>
            <w:tcW w:w="0" w:type="auto"/>
            <w:gridSpan w:val="3"/>
            <w:shd w:val="clear" w:color="auto" w:fill="auto"/>
            <w:tcMar>
              <w:top w:w="0" w:type="dxa"/>
              <w:left w:w="20" w:type="dxa"/>
              <w:bottom w:w="0" w:type="dxa"/>
              <w:right w:w="20" w:type="dxa"/>
            </w:tcMar>
            <w:vAlign w:val="bottom"/>
          </w:tcPr>
          <w:p w14:paraId="22CFD37C" w14:textId="77777777" w:rsidR="002661BA" w:rsidRDefault="002661BA">
            <w:pPr>
              <w:rPr>
                <w:rFonts w:ascii="宋体"/>
              </w:rPr>
            </w:pPr>
          </w:p>
        </w:tc>
        <w:tc>
          <w:tcPr>
            <w:tcW w:w="0" w:type="auto"/>
            <w:gridSpan w:val="15"/>
            <w:shd w:val="clear" w:color="auto" w:fill="auto"/>
            <w:tcMar>
              <w:top w:w="40" w:type="dxa"/>
              <w:left w:w="20" w:type="dxa"/>
              <w:bottom w:w="40" w:type="dxa"/>
              <w:right w:w="20" w:type="dxa"/>
            </w:tcMar>
            <w:vAlign w:val="bottom"/>
          </w:tcPr>
          <w:p w14:paraId="22CFD37D"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D385" w14:textId="77777777">
        <w:tc>
          <w:tcPr>
            <w:tcW w:w="0" w:type="auto"/>
            <w:gridSpan w:val="3"/>
            <w:shd w:val="clear" w:color="auto" w:fill="auto"/>
            <w:tcMar>
              <w:top w:w="0" w:type="dxa"/>
              <w:left w:w="20" w:type="dxa"/>
              <w:bottom w:w="0" w:type="dxa"/>
              <w:right w:w="20" w:type="dxa"/>
            </w:tcMar>
            <w:vAlign w:val="bottom"/>
          </w:tcPr>
          <w:p w14:paraId="22CFD37F"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380"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D381"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382"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D383"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384"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D392" w14:textId="77777777">
        <w:tc>
          <w:tcPr>
            <w:tcW w:w="0" w:type="auto"/>
            <w:gridSpan w:val="3"/>
            <w:shd w:val="clear" w:color="auto" w:fill="E2E2E2"/>
            <w:tcMar>
              <w:top w:w="40" w:type="dxa"/>
              <w:left w:w="20" w:type="dxa"/>
              <w:bottom w:w="40" w:type="dxa"/>
              <w:right w:w="20" w:type="dxa"/>
            </w:tcMar>
            <w:vAlign w:val="bottom"/>
          </w:tcPr>
          <w:p w14:paraId="22CFD386" w14:textId="77777777" w:rsidR="002661BA" w:rsidRDefault="00D972BC">
            <w:pPr>
              <w:textAlignment w:val="bottom"/>
            </w:pPr>
            <w:r>
              <w:rPr>
                <w:rFonts w:ascii="Arial" w:eastAsia="宋体" w:hAnsi="Arial" w:cs="Arial"/>
                <w:color w:val="000000"/>
                <w:sz w:val="18"/>
                <w:szCs w:val="18"/>
              </w:rPr>
              <w:t>Gross amounts of unrecognized tax benefits as of the beginning of the period</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D38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388" w14:textId="77777777" w:rsidR="002661BA" w:rsidRDefault="00D972BC">
            <w:pPr>
              <w:jc w:val="right"/>
              <w:textAlignment w:val="bottom"/>
            </w:pPr>
            <w:r>
              <w:rPr>
                <w:rFonts w:ascii="Arial" w:eastAsia="宋体" w:hAnsi="Arial" w:cs="Arial"/>
                <w:color w:val="000000"/>
                <w:sz w:val="18"/>
                <w:szCs w:val="18"/>
              </w:rPr>
              <w:t>420 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38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38A"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38B"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38C" w14:textId="77777777" w:rsidR="002661BA" w:rsidRDefault="00D972BC">
            <w:pPr>
              <w:jc w:val="right"/>
              <w:textAlignment w:val="bottom"/>
            </w:pPr>
            <w:r>
              <w:rPr>
                <w:rFonts w:ascii="Arial" w:eastAsia="宋体" w:hAnsi="Arial" w:cs="Arial"/>
                <w:color w:val="000000"/>
                <w:sz w:val="18"/>
                <w:szCs w:val="18"/>
              </w:rPr>
              <w:t>387 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38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38E"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38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390" w14:textId="77777777" w:rsidR="002661BA" w:rsidRDefault="00D972BC">
            <w:pPr>
              <w:jc w:val="right"/>
              <w:textAlignment w:val="bottom"/>
            </w:pPr>
            <w:r>
              <w:rPr>
                <w:rFonts w:ascii="Arial" w:eastAsia="宋体" w:hAnsi="Arial" w:cs="Arial"/>
                <w:color w:val="000000"/>
                <w:sz w:val="18"/>
                <w:szCs w:val="18"/>
              </w:rPr>
              <w:t>544 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391" w14:textId="77777777" w:rsidR="002661BA" w:rsidRDefault="002661BA">
            <w:pPr>
              <w:jc w:val="right"/>
              <w:rPr>
                <w:rFonts w:ascii="宋体"/>
              </w:rPr>
            </w:pPr>
          </w:p>
        </w:tc>
      </w:tr>
      <w:tr w:rsidR="002661BA" w14:paraId="22CFD39C" w14:textId="77777777">
        <w:tc>
          <w:tcPr>
            <w:tcW w:w="0" w:type="auto"/>
            <w:gridSpan w:val="3"/>
            <w:shd w:val="clear" w:color="auto" w:fill="FFFFFF"/>
            <w:tcMar>
              <w:top w:w="40" w:type="dxa"/>
              <w:left w:w="20" w:type="dxa"/>
              <w:bottom w:w="40" w:type="dxa"/>
              <w:right w:w="20" w:type="dxa"/>
            </w:tcMar>
            <w:vAlign w:val="bottom"/>
          </w:tcPr>
          <w:p w14:paraId="22CFD393" w14:textId="77777777" w:rsidR="002661BA" w:rsidRDefault="00D972BC">
            <w:pPr>
              <w:textAlignment w:val="bottom"/>
            </w:pPr>
            <w:r>
              <w:rPr>
                <w:rFonts w:ascii="Arial" w:eastAsia="宋体" w:hAnsi="Arial" w:cs="Arial"/>
                <w:color w:val="000000"/>
                <w:sz w:val="18"/>
                <w:szCs w:val="18"/>
              </w:rPr>
              <w:t>Increases related to prior period tax positions</w:t>
            </w:r>
          </w:p>
        </w:tc>
        <w:tc>
          <w:tcPr>
            <w:tcW w:w="0" w:type="auto"/>
            <w:gridSpan w:val="2"/>
            <w:shd w:val="clear" w:color="auto" w:fill="FFFFFF"/>
            <w:tcMar>
              <w:top w:w="40" w:type="dxa"/>
              <w:left w:w="20" w:type="dxa"/>
              <w:bottom w:w="40" w:type="dxa"/>
              <w:right w:w="0" w:type="dxa"/>
            </w:tcMar>
            <w:vAlign w:val="bottom"/>
          </w:tcPr>
          <w:p w14:paraId="22CFD394" w14:textId="77777777" w:rsidR="002661BA" w:rsidRDefault="00D972BC">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22CFD39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396"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397" w14:textId="77777777" w:rsidR="002661BA" w:rsidRDefault="00D972BC">
            <w:pPr>
              <w:jc w:val="right"/>
              <w:textAlignment w:val="bottom"/>
            </w:pPr>
            <w:r>
              <w:rPr>
                <w:rFonts w:ascii="Arial" w:eastAsia="宋体" w:hAnsi="Arial" w:cs="Arial"/>
                <w:color w:val="000000"/>
                <w:sz w:val="18"/>
                <w:szCs w:val="18"/>
              </w:rPr>
              <w:t>30 </w:t>
            </w:r>
          </w:p>
        </w:tc>
        <w:tc>
          <w:tcPr>
            <w:tcW w:w="0" w:type="auto"/>
            <w:shd w:val="clear" w:color="auto" w:fill="FFFFFF"/>
            <w:tcMar>
              <w:top w:w="40" w:type="dxa"/>
              <w:left w:w="0" w:type="dxa"/>
              <w:bottom w:w="40" w:type="dxa"/>
              <w:right w:w="20" w:type="dxa"/>
            </w:tcMar>
            <w:vAlign w:val="bottom"/>
          </w:tcPr>
          <w:p w14:paraId="22CFD39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399"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39A" w14:textId="77777777" w:rsidR="002661BA" w:rsidRDefault="00D972BC">
            <w:pPr>
              <w:jc w:val="right"/>
              <w:textAlignment w:val="bottom"/>
            </w:pPr>
            <w:r>
              <w:rPr>
                <w:rFonts w:ascii="Arial" w:eastAsia="宋体" w:hAnsi="Arial" w:cs="Arial"/>
                <w:color w:val="000000"/>
                <w:sz w:val="18"/>
                <w:szCs w:val="18"/>
              </w:rPr>
              <w:t>37 </w:t>
            </w:r>
          </w:p>
        </w:tc>
        <w:tc>
          <w:tcPr>
            <w:tcW w:w="0" w:type="auto"/>
            <w:shd w:val="clear" w:color="auto" w:fill="FFFFFF"/>
            <w:tcMar>
              <w:top w:w="40" w:type="dxa"/>
              <w:left w:w="0" w:type="dxa"/>
              <w:bottom w:w="40" w:type="dxa"/>
              <w:right w:w="20" w:type="dxa"/>
            </w:tcMar>
            <w:vAlign w:val="bottom"/>
          </w:tcPr>
          <w:p w14:paraId="22CFD39B" w14:textId="77777777" w:rsidR="002661BA" w:rsidRDefault="002661BA">
            <w:pPr>
              <w:jc w:val="right"/>
              <w:rPr>
                <w:rFonts w:ascii="宋体"/>
              </w:rPr>
            </w:pPr>
          </w:p>
        </w:tc>
      </w:tr>
      <w:tr w:rsidR="002661BA" w14:paraId="22CFD3A6" w14:textId="77777777">
        <w:tc>
          <w:tcPr>
            <w:tcW w:w="0" w:type="auto"/>
            <w:gridSpan w:val="3"/>
            <w:shd w:val="clear" w:color="auto" w:fill="E2E2E2"/>
            <w:tcMar>
              <w:top w:w="40" w:type="dxa"/>
              <w:left w:w="20" w:type="dxa"/>
              <w:bottom w:w="40" w:type="dxa"/>
              <w:right w:w="20" w:type="dxa"/>
            </w:tcMar>
            <w:vAlign w:val="bottom"/>
          </w:tcPr>
          <w:p w14:paraId="22CFD39D" w14:textId="77777777" w:rsidR="002661BA" w:rsidRDefault="00D972BC">
            <w:pPr>
              <w:textAlignment w:val="bottom"/>
            </w:pPr>
            <w:r>
              <w:rPr>
                <w:rFonts w:ascii="Arial" w:eastAsia="宋体" w:hAnsi="Arial" w:cs="Arial"/>
                <w:color w:val="000000"/>
                <w:sz w:val="18"/>
                <w:szCs w:val="18"/>
              </w:rPr>
              <w:t>Decreases related to prior period tax positions</w:t>
            </w:r>
          </w:p>
        </w:tc>
        <w:tc>
          <w:tcPr>
            <w:tcW w:w="0" w:type="auto"/>
            <w:gridSpan w:val="2"/>
            <w:shd w:val="clear" w:color="auto" w:fill="E2E2E2"/>
            <w:tcMar>
              <w:top w:w="40" w:type="dxa"/>
              <w:left w:w="20" w:type="dxa"/>
              <w:bottom w:w="40" w:type="dxa"/>
              <w:right w:w="0" w:type="dxa"/>
            </w:tcMar>
            <w:vAlign w:val="bottom"/>
          </w:tcPr>
          <w:p w14:paraId="22CFD39E" w14:textId="77777777" w:rsidR="002661BA" w:rsidRDefault="00D972BC">
            <w:pPr>
              <w:jc w:val="right"/>
              <w:textAlignment w:val="bottom"/>
            </w:pPr>
            <w:r>
              <w:rPr>
                <w:rFonts w:ascii="Arial" w:eastAsia="宋体" w:hAnsi="Arial" w:cs="Arial"/>
                <w:color w:val="000000"/>
                <w:sz w:val="18"/>
                <w:szCs w:val="18"/>
              </w:rPr>
              <w:t>(5)</w:t>
            </w:r>
          </w:p>
        </w:tc>
        <w:tc>
          <w:tcPr>
            <w:tcW w:w="0" w:type="auto"/>
            <w:shd w:val="clear" w:color="auto" w:fill="E2E2E2"/>
            <w:tcMar>
              <w:top w:w="40" w:type="dxa"/>
              <w:left w:w="0" w:type="dxa"/>
              <w:bottom w:w="40" w:type="dxa"/>
              <w:right w:w="20" w:type="dxa"/>
            </w:tcMar>
            <w:vAlign w:val="bottom"/>
          </w:tcPr>
          <w:p w14:paraId="22CFD39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3A0"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3A1" w14:textId="77777777" w:rsidR="002661BA" w:rsidRDefault="00D972BC">
            <w:pPr>
              <w:jc w:val="right"/>
              <w:textAlignment w:val="bottom"/>
            </w:pPr>
            <w:r>
              <w:rPr>
                <w:rFonts w:ascii="Arial" w:eastAsia="宋体" w:hAnsi="Arial" w:cs="Arial"/>
                <w:color w:val="000000"/>
                <w:sz w:val="18"/>
                <w:szCs w:val="18"/>
              </w:rPr>
              <w:t>(15)</w:t>
            </w:r>
          </w:p>
        </w:tc>
        <w:tc>
          <w:tcPr>
            <w:tcW w:w="0" w:type="auto"/>
            <w:shd w:val="clear" w:color="auto" w:fill="E2E2E2"/>
            <w:tcMar>
              <w:top w:w="40" w:type="dxa"/>
              <w:left w:w="0" w:type="dxa"/>
              <w:bottom w:w="40" w:type="dxa"/>
              <w:right w:w="20" w:type="dxa"/>
            </w:tcMar>
            <w:vAlign w:val="bottom"/>
          </w:tcPr>
          <w:p w14:paraId="22CFD3A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3A3"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3A4" w14:textId="77777777" w:rsidR="002661BA" w:rsidRDefault="00D972BC">
            <w:pPr>
              <w:jc w:val="right"/>
              <w:textAlignment w:val="bottom"/>
            </w:pPr>
            <w:r>
              <w:rPr>
                <w:rFonts w:ascii="Arial" w:eastAsia="宋体" w:hAnsi="Arial" w:cs="Arial"/>
                <w:color w:val="000000"/>
                <w:sz w:val="18"/>
                <w:szCs w:val="18"/>
              </w:rPr>
              <w:t>(114)</w:t>
            </w:r>
          </w:p>
        </w:tc>
        <w:tc>
          <w:tcPr>
            <w:tcW w:w="0" w:type="auto"/>
            <w:shd w:val="clear" w:color="auto" w:fill="E2E2E2"/>
            <w:tcMar>
              <w:top w:w="40" w:type="dxa"/>
              <w:left w:w="0" w:type="dxa"/>
              <w:bottom w:w="40" w:type="dxa"/>
              <w:right w:w="20" w:type="dxa"/>
            </w:tcMar>
            <w:vAlign w:val="bottom"/>
          </w:tcPr>
          <w:p w14:paraId="22CFD3A5" w14:textId="77777777" w:rsidR="002661BA" w:rsidRDefault="002661BA">
            <w:pPr>
              <w:jc w:val="right"/>
              <w:rPr>
                <w:rFonts w:ascii="宋体"/>
              </w:rPr>
            </w:pPr>
          </w:p>
        </w:tc>
      </w:tr>
      <w:tr w:rsidR="002661BA" w14:paraId="22CFD3B0" w14:textId="77777777">
        <w:tc>
          <w:tcPr>
            <w:tcW w:w="0" w:type="auto"/>
            <w:gridSpan w:val="3"/>
            <w:shd w:val="clear" w:color="auto" w:fill="FFFFFF"/>
            <w:tcMar>
              <w:top w:w="40" w:type="dxa"/>
              <w:left w:w="20" w:type="dxa"/>
              <w:bottom w:w="40" w:type="dxa"/>
              <w:right w:w="20" w:type="dxa"/>
            </w:tcMar>
            <w:vAlign w:val="bottom"/>
          </w:tcPr>
          <w:p w14:paraId="22CFD3A7" w14:textId="77777777" w:rsidR="002661BA" w:rsidRDefault="00D972BC">
            <w:pPr>
              <w:textAlignment w:val="bottom"/>
            </w:pPr>
            <w:r>
              <w:rPr>
                <w:rFonts w:ascii="Arial" w:eastAsia="宋体" w:hAnsi="Arial" w:cs="Arial"/>
                <w:color w:val="000000"/>
                <w:sz w:val="18"/>
                <w:szCs w:val="18"/>
              </w:rPr>
              <w:t>Increases related to current period tax positions</w:t>
            </w:r>
          </w:p>
        </w:tc>
        <w:tc>
          <w:tcPr>
            <w:tcW w:w="0" w:type="auto"/>
            <w:gridSpan w:val="2"/>
            <w:shd w:val="clear" w:color="auto" w:fill="FFFFFF"/>
            <w:tcMar>
              <w:top w:w="40" w:type="dxa"/>
              <w:left w:w="20" w:type="dxa"/>
              <w:bottom w:w="40" w:type="dxa"/>
              <w:right w:w="0" w:type="dxa"/>
            </w:tcMar>
            <w:vAlign w:val="bottom"/>
          </w:tcPr>
          <w:p w14:paraId="22CFD3A8" w14:textId="77777777" w:rsidR="002661BA" w:rsidRDefault="00D972BC">
            <w:pPr>
              <w:jc w:val="right"/>
              <w:textAlignment w:val="bottom"/>
            </w:pPr>
            <w:r>
              <w:rPr>
                <w:rFonts w:ascii="Arial" w:eastAsia="宋体" w:hAnsi="Arial" w:cs="Arial"/>
                <w:color w:val="000000"/>
                <w:sz w:val="18"/>
                <w:szCs w:val="18"/>
              </w:rPr>
              <w:t>42 </w:t>
            </w:r>
          </w:p>
        </w:tc>
        <w:tc>
          <w:tcPr>
            <w:tcW w:w="0" w:type="auto"/>
            <w:shd w:val="clear" w:color="auto" w:fill="FFFFFF"/>
            <w:tcMar>
              <w:top w:w="40" w:type="dxa"/>
              <w:left w:w="0" w:type="dxa"/>
              <w:bottom w:w="40" w:type="dxa"/>
              <w:right w:w="20" w:type="dxa"/>
            </w:tcMar>
            <w:vAlign w:val="bottom"/>
          </w:tcPr>
          <w:p w14:paraId="22CFD3A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3A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3AB" w14:textId="77777777" w:rsidR="002661BA" w:rsidRDefault="00D972BC">
            <w:pPr>
              <w:jc w:val="right"/>
              <w:textAlignment w:val="bottom"/>
            </w:pPr>
            <w:r>
              <w:rPr>
                <w:rFonts w:ascii="Arial" w:eastAsia="宋体" w:hAnsi="Arial" w:cs="Arial"/>
                <w:color w:val="000000"/>
                <w:sz w:val="18"/>
                <w:szCs w:val="18"/>
              </w:rPr>
              <w:t>39 </w:t>
            </w:r>
          </w:p>
        </w:tc>
        <w:tc>
          <w:tcPr>
            <w:tcW w:w="0" w:type="auto"/>
            <w:shd w:val="clear" w:color="auto" w:fill="FFFFFF"/>
            <w:tcMar>
              <w:top w:w="40" w:type="dxa"/>
              <w:left w:w="0" w:type="dxa"/>
              <w:bottom w:w="40" w:type="dxa"/>
              <w:right w:w="20" w:type="dxa"/>
            </w:tcMar>
            <w:vAlign w:val="bottom"/>
          </w:tcPr>
          <w:p w14:paraId="22CFD3A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3A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3AE" w14:textId="77777777" w:rsidR="002661BA" w:rsidRDefault="00D972BC">
            <w:pPr>
              <w:jc w:val="right"/>
              <w:textAlignment w:val="bottom"/>
            </w:pPr>
            <w:r>
              <w:rPr>
                <w:rFonts w:ascii="Arial" w:eastAsia="宋体" w:hAnsi="Arial" w:cs="Arial"/>
                <w:color w:val="000000"/>
                <w:sz w:val="18"/>
                <w:szCs w:val="18"/>
              </w:rPr>
              <w:t>28 </w:t>
            </w:r>
          </w:p>
        </w:tc>
        <w:tc>
          <w:tcPr>
            <w:tcW w:w="0" w:type="auto"/>
            <w:shd w:val="clear" w:color="auto" w:fill="FFFFFF"/>
            <w:tcMar>
              <w:top w:w="40" w:type="dxa"/>
              <w:left w:w="0" w:type="dxa"/>
              <w:bottom w:w="40" w:type="dxa"/>
              <w:right w:w="20" w:type="dxa"/>
            </w:tcMar>
            <w:vAlign w:val="bottom"/>
          </w:tcPr>
          <w:p w14:paraId="22CFD3AF" w14:textId="77777777" w:rsidR="002661BA" w:rsidRDefault="002661BA">
            <w:pPr>
              <w:jc w:val="right"/>
              <w:rPr>
                <w:rFonts w:ascii="宋体"/>
              </w:rPr>
            </w:pPr>
          </w:p>
        </w:tc>
      </w:tr>
      <w:tr w:rsidR="002661BA" w14:paraId="22CFD3BA" w14:textId="77777777">
        <w:tc>
          <w:tcPr>
            <w:tcW w:w="0" w:type="auto"/>
            <w:gridSpan w:val="3"/>
            <w:shd w:val="clear" w:color="auto" w:fill="E2E2E2"/>
            <w:tcMar>
              <w:top w:w="40" w:type="dxa"/>
              <w:left w:w="20" w:type="dxa"/>
              <w:bottom w:w="40" w:type="dxa"/>
              <w:right w:w="20" w:type="dxa"/>
            </w:tcMar>
            <w:vAlign w:val="bottom"/>
          </w:tcPr>
          <w:p w14:paraId="22CFD3B1" w14:textId="77777777" w:rsidR="002661BA" w:rsidRDefault="00D972BC">
            <w:pPr>
              <w:textAlignment w:val="bottom"/>
            </w:pPr>
            <w:r>
              <w:rPr>
                <w:rFonts w:ascii="Arial" w:eastAsia="宋体" w:hAnsi="Arial" w:cs="Arial"/>
                <w:color w:val="000000"/>
                <w:sz w:val="18"/>
                <w:szCs w:val="18"/>
              </w:rPr>
              <w:t>Settlements</w:t>
            </w:r>
          </w:p>
        </w:tc>
        <w:tc>
          <w:tcPr>
            <w:tcW w:w="0" w:type="auto"/>
            <w:gridSpan w:val="2"/>
            <w:shd w:val="clear" w:color="auto" w:fill="E2E2E2"/>
            <w:tcMar>
              <w:top w:w="40" w:type="dxa"/>
              <w:left w:w="20" w:type="dxa"/>
              <w:bottom w:w="40" w:type="dxa"/>
              <w:right w:w="0" w:type="dxa"/>
            </w:tcMar>
            <w:vAlign w:val="bottom"/>
          </w:tcPr>
          <w:p w14:paraId="22CFD3B2" w14:textId="77777777" w:rsidR="002661BA" w:rsidRDefault="00D972BC">
            <w:pPr>
              <w:jc w:val="right"/>
              <w:textAlignment w:val="bottom"/>
            </w:pPr>
            <w:r>
              <w:rPr>
                <w:rFonts w:ascii="Arial" w:eastAsia="宋体" w:hAnsi="Arial" w:cs="Arial"/>
                <w:color w:val="000000"/>
                <w:sz w:val="18"/>
                <w:szCs w:val="18"/>
              </w:rPr>
              <w:t>(2)</w:t>
            </w:r>
          </w:p>
        </w:tc>
        <w:tc>
          <w:tcPr>
            <w:tcW w:w="0" w:type="auto"/>
            <w:shd w:val="clear" w:color="auto" w:fill="E2E2E2"/>
            <w:tcMar>
              <w:top w:w="40" w:type="dxa"/>
              <w:left w:w="0" w:type="dxa"/>
              <w:bottom w:w="40" w:type="dxa"/>
              <w:right w:w="20" w:type="dxa"/>
            </w:tcMar>
            <w:vAlign w:val="bottom"/>
          </w:tcPr>
          <w:p w14:paraId="22CFD3B3"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3B4"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3B5" w14:textId="77777777" w:rsidR="002661BA" w:rsidRDefault="00D972BC">
            <w:pPr>
              <w:jc w:val="right"/>
              <w:textAlignment w:val="bottom"/>
            </w:pPr>
            <w:r>
              <w:rPr>
                <w:rFonts w:ascii="Arial" w:eastAsia="宋体" w:hAnsi="Arial" w:cs="Arial"/>
                <w:color w:val="000000"/>
                <w:sz w:val="18"/>
                <w:szCs w:val="18"/>
              </w:rPr>
              <w:t>(21)</w:t>
            </w:r>
          </w:p>
        </w:tc>
        <w:tc>
          <w:tcPr>
            <w:tcW w:w="0" w:type="auto"/>
            <w:shd w:val="clear" w:color="auto" w:fill="E2E2E2"/>
            <w:tcMar>
              <w:top w:w="40" w:type="dxa"/>
              <w:left w:w="0" w:type="dxa"/>
              <w:bottom w:w="40" w:type="dxa"/>
              <w:right w:w="20" w:type="dxa"/>
            </w:tcMar>
            <w:vAlign w:val="bottom"/>
          </w:tcPr>
          <w:p w14:paraId="22CFD3B6"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3B7"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3B8" w14:textId="77777777" w:rsidR="002661BA" w:rsidRDefault="00D972BC">
            <w:pPr>
              <w:jc w:val="right"/>
              <w:textAlignment w:val="bottom"/>
            </w:pPr>
            <w:r>
              <w:rPr>
                <w:rFonts w:ascii="Arial" w:eastAsia="宋体" w:hAnsi="Arial" w:cs="Arial"/>
                <w:color w:val="000000"/>
                <w:sz w:val="18"/>
                <w:szCs w:val="18"/>
              </w:rPr>
              <w:t>(108)</w:t>
            </w:r>
          </w:p>
        </w:tc>
        <w:tc>
          <w:tcPr>
            <w:tcW w:w="0" w:type="auto"/>
            <w:shd w:val="clear" w:color="auto" w:fill="E2E2E2"/>
            <w:tcMar>
              <w:top w:w="40" w:type="dxa"/>
              <w:left w:w="0" w:type="dxa"/>
              <w:bottom w:w="40" w:type="dxa"/>
              <w:right w:w="20" w:type="dxa"/>
            </w:tcMar>
            <w:vAlign w:val="bottom"/>
          </w:tcPr>
          <w:p w14:paraId="22CFD3B9" w14:textId="77777777" w:rsidR="002661BA" w:rsidRDefault="002661BA">
            <w:pPr>
              <w:jc w:val="right"/>
              <w:rPr>
                <w:rFonts w:ascii="宋体"/>
              </w:rPr>
            </w:pPr>
          </w:p>
        </w:tc>
      </w:tr>
      <w:tr w:rsidR="002661BA" w14:paraId="22CFD3C7" w14:textId="77777777">
        <w:tc>
          <w:tcPr>
            <w:tcW w:w="0" w:type="auto"/>
            <w:gridSpan w:val="3"/>
            <w:shd w:val="clear" w:color="auto" w:fill="FFFFFF"/>
            <w:tcMar>
              <w:top w:w="40" w:type="dxa"/>
              <w:left w:w="140" w:type="dxa"/>
              <w:bottom w:w="40" w:type="dxa"/>
              <w:right w:w="20" w:type="dxa"/>
            </w:tcMar>
            <w:vAlign w:val="bottom"/>
          </w:tcPr>
          <w:p w14:paraId="22CFD3BB" w14:textId="77777777" w:rsidR="002661BA" w:rsidRDefault="00D972BC">
            <w:pPr>
              <w:textAlignment w:val="bottom"/>
            </w:pPr>
            <w:r>
              <w:rPr>
                <w:rFonts w:ascii="Arial" w:eastAsia="宋体" w:hAnsi="Arial" w:cs="Arial"/>
                <w:color w:val="000000"/>
                <w:sz w:val="18"/>
                <w:szCs w:val="18"/>
              </w:rPr>
              <w:t>Gross amounts of unrecognized tax benefits as of the end of the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D3B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D3BD" w14:textId="77777777" w:rsidR="002661BA" w:rsidRDefault="00D972BC">
            <w:pPr>
              <w:jc w:val="right"/>
              <w:textAlignment w:val="bottom"/>
            </w:pPr>
            <w:r>
              <w:rPr>
                <w:rFonts w:ascii="Arial" w:eastAsia="宋体" w:hAnsi="Arial" w:cs="Arial"/>
                <w:color w:val="000000"/>
                <w:sz w:val="18"/>
                <w:szCs w:val="18"/>
              </w:rPr>
              <w:t>461 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D3B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3BF"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D3C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D3C1" w14:textId="77777777" w:rsidR="002661BA" w:rsidRDefault="00D972BC">
            <w:pPr>
              <w:jc w:val="right"/>
              <w:textAlignment w:val="bottom"/>
            </w:pPr>
            <w:r>
              <w:rPr>
                <w:rFonts w:ascii="Arial" w:eastAsia="宋体" w:hAnsi="Arial" w:cs="Arial"/>
                <w:color w:val="000000"/>
                <w:sz w:val="18"/>
                <w:szCs w:val="18"/>
              </w:rPr>
              <w:t>420 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D3C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3C3"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D3C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D3C5" w14:textId="77777777" w:rsidR="002661BA" w:rsidRDefault="00D972BC">
            <w:pPr>
              <w:jc w:val="right"/>
              <w:textAlignment w:val="bottom"/>
            </w:pPr>
            <w:r>
              <w:rPr>
                <w:rFonts w:ascii="Arial" w:eastAsia="宋体" w:hAnsi="Arial" w:cs="Arial"/>
                <w:color w:val="000000"/>
                <w:sz w:val="18"/>
                <w:szCs w:val="18"/>
              </w:rPr>
              <w:t>387 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D3C6" w14:textId="77777777" w:rsidR="002661BA" w:rsidRDefault="002661BA">
            <w:pPr>
              <w:jc w:val="right"/>
              <w:rPr>
                <w:rFonts w:ascii="宋体"/>
              </w:rPr>
            </w:pPr>
          </w:p>
        </w:tc>
      </w:tr>
    </w:tbl>
    <w:p w14:paraId="22CFD3C8" w14:textId="77777777" w:rsidR="002661BA" w:rsidRDefault="002661BA">
      <w:pPr>
        <w:jc w:val="both"/>
      </w:pPr>
    </w:p>
    <w:p w14:paraId="22CFD3C9" w14:textId="77777777" w:rsidR="002661BA" w:rsidRDefault="00D972BC">
      <w:pPr>
        <w:ind w:firstLine="540"/>
        <w:jc w:val="both"/>
      </w:pPr>
      <w:r>
        <w:rPr>
          <w:rFonts w:ascii="Arial" w:eastAsia="宋体" w:hAnsi="Arial" w:cs="Arial"/>
          <w:color w:val="000000"/>
          <w:sz w:val="20"/>
          <w:szCs w:val="20"/>
        </w:rPr>
        <w:t xml:space="preserve">As of December 31, 2021, gross amounts of unrecognized tax benefits of $461 million included $50 million of unrecognized tax benefits indemnified by PayPal. As of December 31, 2020, gross amounts </w:t>
      </w:r>
      <w:r>
        <w:rPr>
          <w:rFonts w:ascii="Arial" w:eastAsia="宋体" w:hAnsi="Arial" w:cs="Arial"/>
          <w:color w:val="000000"/>
          <w:sz w:val="20"/>
          <w:szCs w:val="20"/>
        </w:rPr>
        <w:t>of unrecognized tax benefits of $420 million included $50 million of unrecognized tax benefits indemnified by PayPal. If total unrecognized tax benefits were realized in a future period, it would result in a tax benefit of $318 million. Of this amount, app</w:t>
      </w:r>
      <w:r>
        <w:rPr>
          <w:rFonts w:ascii="Arial" w:eastAsia="宋体" w:hAnsi="Arial" w:cs="Arial"/>
          <w:color w:val="000000"/>
          <w:sz w:val="20"/>
          <w:szCs w:val="20"/>
        </w:rPr>
        <w:t>roximately $46 million of unrecognized tax benefit is indemnified by PayPal and a corresponding receivable would be reduced upon a future realization. As of December 31, 2021, our liabilities for unrecognized tax benefits were included in other liabilities</w:t>
      </w:r>
      <w:r>
        <w:rPr>
          <w:rFonts w:ascii="Arial" w:eastAsia="宋体" w:hAnsi="Arial" w:cs="Arial"/>
          <w:color w:val="000000"/>
          <w:sz w:val="20"/>
          <w:szCs w:val="20"/>
        </w:rPr>
        <w:t xml:space="preserve"> on our consolidated balance sheet.</w:t>
      </w:r>
    </w:p>
    <w:p w14:paraId="22CFD3CA" w14:textId="77777777" w:rsidR="002661BA" w:rsidRDefault="002661BA">
      <w:pPr>
        <w:ind w:firstLine="540"/>
        <w:jc w:val="both"/>
      </w:pPr>
    </w:p>
    <w:p w14:paraId="22CFD3CB" w14:textId="77777777" w:rsidR="002661BA" w:rsidRDefault="00D972BC">
      <w:pPr>
        <w:ind w:firstLine="540"/>
        <w:jc w:val="both"/>
      </w:pPr>
      <w:r>
        <w:rPr>
          <w:rFonts w:ascii="Arial" w:eastAsia="宋体" w:hAnsi="Arial" w:cs="Arial"/>
          <w:color w:val="000000"/>
          <w:sz w:val="20"/>
          <w:szCs w:val="20"/>
        </w:rPr>
        <w:t xml:space="preserve">We recognize interest and/or penalties related to uncertain tax positions in income tax expense. In 2021 and 2020, tax benefits of $6 million and $10 million, respectively, were included in tax expense for interest and </w:t>
      </w:r>
      <w:r>
        <w:rPr>
          <w:rFonts w:ascii="Arial" w:eastAsia="宋体" w:hAnsi="Arial" w:cs="Arial"/>
          <w:color w:val="000000"/>
          <w:sz w:val="20"/>
          <w:szCs w:val="20"/>
        </w:rPr>
        <w:t>penalties. The amount of interest and penalties accrued as of December 31, 2021 and 2020 was approximately $46 million</w:t>
      </w:r>
      <w:r>
        <w:rPr>
          <w:rFonts w:ascii="Arial" w:eastAsia="宋体" w:hAnsi="Arial" w:cs="Arial"/>
          <w:color w:val="FF0000"/>
          <w:sz w:val="20"/>
          <w:szCs w:val="20"/>
        </w:rPr>
        <w:t xml:space="preserve"> </w:t>
      </w:r>
      <w:r>
        <w:rPr>
          <w:rFonts w:ascii="Arial" w:eastAsia="宋体" w:hAnsi="Arial" w:cs="Arial"/>
          <w:color w:val="000000"/>
          <w:sz w:val="20"/>
          <w:szCs w:val="20"/>
        </w:rPr>
        <w:t>and $39 million, respectively.</w:t>
      </w:r>
    </w:p>
    <w:p w14:paraId="22CFD3CC" w14:textId="77777777" w:rsidR="002661BA" w:rsidRDefault="00D972BC">
      <w:pPr>
        <w:ind w:firstLine="540"/>
        <w:jc w:val="both"/>
      </w:pPr>
      <w:r>
        <w:rPr>
          <w:rFonts w:ascii="Arial" w:eastAsia="宋体" w:hAnsi="Arial" w:cs="Arial"/>
          <w:color w:val="000000"/>
          <w:sz w:val="20"/>
          <w:szCs w:val="20"/>
        </w:rPr>
        <w:t> </w:t>
      </w:r>
    </w:p>
    <w:p w14:paraId="22CFD3CD" w14:textId="77777777" w:rsidR="002661BA" w:rsidRDefault="00D972BC">
      <w:pPr>
        <w:ind w:firstLine="540"/>
        <w:jc w:val="both"/>
      </w:pPr>
      <w:r>
        <w:rPr>
          <w:rFonts w:ascii="Arial" w:eastAsia="宋体" w:hAnsi="Arial" w:cs="Arial"/>
          <w:color w:val="000000"/>
          <w:sz w:val="20"/>
          <w:szCs w:val="20"/>
        </w:rPr>
        <w:t>We are subject to both direct and indirect taxation in the U.S. and various states and foreign jurisdictions. We are under examination by certain tax authorities for the 2010 to 2020 tax years. We believe that adequate amounts have been reserved for any ad</w:t>
      </w:r>
      <w:r>
        <w:rPr>
          <w:rFonts w:ascii="Arial" w:eastAsia="宋体" w:hAnsi="Arial" w:cs="Arial"/>
          <w:color w:val="000000"/>
          <w:sz w:val="20"/>
          <w:szCs w:val="20"/>
        </w:rPr>
        <w:t>justments that may ultimately result from these or other examinations. The material jurisdictions where we are subject to potential examination by tax authorities for tax years after 2009 include, among others, the U.S. (Federal and California), Germany, I</w:t>
      </w:r>
      <w:r>
        <w:rPr>
          <w:rFonts w:ascii="Arial" w:eastAsia="宋体" w:hAnsi="Arial" w:cs="Arial"/>
          <w:color w:val="000000"/>
          <w:sz w:val="20"/>
          <w:szCs w:val="20"/>
        </w:rPr>
        <w:t xml:space="preserve">srael, Singapore, Switzerland and the United Kingdom. </w:t>
      </w:r>
    </w:p>
    <w:p w14:paraId="22CFD3CE" w14:textId="77777777" w:rsidR="002661BA" w:rsidRDefault="00D972BC">
      <w:pPr>
        <w:ind w:firstLine="540"/>
        <w:jc w:val="both"/>
      </w:pPr>
      <w:r>
        <w:rPr>
          <w:rFonts w:ascii="Arial" w:eastAsia="宋体" w:hAnsi="Arial" w:cs="Arial"/>
          <w:color w:val="000000"/>
          <w:sz w:val="20"/>
          <w:szCs w:val="20"/>
        </w:rPr>
        <w:t> </w:t>
      </w:r>
    </w:p>
    <w:p w14:paraId="22CFD3CF" w14:textId="77777777" w:rsidR="002661BA" w:rsidRDefault="00D972BC">
      <w:pPr>
        <w:ind w:firstLine="540"/>
        <w:jc w:val="both"/>
      </w:pPr>
      <w:r>
        <w:rPr>
          <w:rFonts w:ascii="Arial" w:eastAsia="宋体" w:hAnsi="Arial" w:cs="Arial"/>
          <w:color w:val="000000"/>
          <w:sz w:val="20"/>
          <w:szCs w:val="20"/>
        </w:rPr>
        <w:t>Although the timing of the resolution and/or closure of audits is highly uncertain, it is reasonably possible that the balance of gross unrecognized tax benefits could significantly change in the nex</w:t>
      </w:r>
      <w:r>
        <w:rPr>
          <w:rFonts w:ascii="Arial" w:eastAsia="宋体" w:hAnsi="Arial" w:cs="Arial"/>
          <w:color w:val="000000"/>
          <w:sz w:val="20"/>
          <w:szCs w:val="20"/>
        </w:rPr>
        <w:t>t 12 months. However, given the number of years remaining subject to examination and the number of matters being examined, we are unable to estimate the full range of possible adjustments to the balance of gross unrecognized tax benefits.</w:t>
      </w:r>
    </w:p>
    <w:p w14:paraId="22CFD3D0" w14:textId="77777777" w:rsidR="002661BA" w:rsidRDefault="002661BA">
      <w:pPr>
        <w:ind w:firstLine="540"/>
        <w:jc w:val="both"/>
      </w:pPr>
    </w:p>
    <w:p w14:paraId="22CFD3D1" w14:textId="77777777" w:rsidR="002661BA" w:rsidRDefault="002661BA">
      <w:pPr>
        <w:ind w:firstLine="540"/>
        <w:jc w:val="both"/>
      </w:pPr>
    </w:p>
    <w:p w14:paraId="22CFD3D2" w14:textId="77777777" w:rsidR="002661BA" w:rsidRDefault="00D972BC">
      <w:pPr>
        <w:jc w:val="center"/>
      </w:pPr>
      <w:r>
        <w:rPr>
          <w:rFonts w:ascii="Arial" w:eastAsia="宋体" w:hAnsi="Arial" w:cs="Arial"/>
          <w:color w:val="000000"/>
          <w:sz w:val="18"/>
          <w:szCs w:val="18"/>
        </w:rPr>
        <w:t>110</w:t>
      </w:r>
    </w:p>
    <w:p w14:paraId="22CFD3D3" w14:textId="77777777" w:rsidR="002661BA" w:rsidRDefault="00D972BC">
      <w:r>
        <w:pict w14:anchorId="22CFE51F">
          <v:rect id="_x0000_i1134" style="width:415.3pt;height:1.5pt" o:hralign="center" o:hrstd="t" o:hr="t" fillcolor="#a0a0a0" stroked="f"/>
        </w:pict>
      </w:r>
    </w:p>
    <w:p w14:paraId="22CFD3D4" w14:textId="77777777" w:rsidR="002661BA" w:rsidRDefault="00D972BC">
      <w:hyperlink r:id="rId145" w:anchor="id0d7a71b05ce452ea9fdb54f3cb359c7_7" w:history="1">
        <w:r>
          <w:rPr>
            <w:rStyle w:val="a5"/>
            <w:rFonts w:ascii="Arial" w:eastAsia="宋体" w:hAnsi="Arial" w:cs="Arial"/>
            <w:sz w:val="18"/>
            <w:szCs w:val="18"/>
          </w:rPr>
          <w:t>Table of Contents</w:t>
        </w:r>
      </w:hyperlink>
    </w:p>
    <w:p w14:paraId="22CFD3D5" w14:textId="77777777" w:rsidR="002661BA" w:rsidRDefault="00D972BC">
      <w:pPr>
        <w:jc w:val="center"/>
      </w:pPr>
      <w:r>
        <w:rPr>
          <w:rFonts w:ascii="Arial" w:eastAsia="宋体" w:hAnsi="Arial" w:cs="Arial"/>
          <w:b/>
          <w:bCs/>
          <w:color w:val="000000"/>
          <w:sz w:val="20"/>
          <w:szCs w:val="20"/>
        </w:rPr>
        <w:t>eBay Inc.</w:t>
      </w:r>
    </w:p>
    <w:p w14:paraId="22CFD3D6" w14:textId="77777777" w:rsidR="002661BA" w:rsidRDefault="00D972BC">
      <w:pPr>
        <w:spacing w:before="80"/>
        <w:jc w:val="center"/>
      </w:pPr>
      <w:r>
        <w:rPr>
          <w:rFonts w:ascii="Arial" w:eastAsia="宋体" w:hAnsi="Arial" w:cs="Arial"/>
          <w:b/>
          <w:bCs/>
          <w:color w:val="000000"/>
          <w:sz w:val="20"/>
          <w:szCs w:val="20"/>
        </w:rPr>
        <w:t>NOTES TO CONSOLIDATED FINANCIAL STATEMENTS—(Continued)</w:t>
      </w:r>
    </w:p>
    <w:p w14:paraId="22CFD3D7" w14:textId="77777777" w:rsidR="002661BA" w:rsidRDefault="00D972BC">
      <w:pPr>
        <w:jc w:val="both"/>
      </w:pPr>
      <w:r>
        <w:rPr>
          <w:rFonts w:ascii="Arial" w:eastAsia="宋体" w:hAnsi="Arial" w:cs="Arial"/>
          <w:b/>
          <w:bCs/>
          <w:color w:val="000000"/>
          <w:sz w:val="20"/>
          <w:szCs w:val="20"/>
        </w:rPr>
        <w:t>Note 16 — Gain (Loss</w:t>
      </w:r>
      <w:r>
        <w:rPr>
          <w:rFonts w:ascii="Arial" w:eastAsia="宋体" w:hAnsi="Arial" w:cs="Arial"/>
          <w:b/>
          <w:bCs/>
          <w:color w:val="000000"/>
          <w:sz w:val="20"/>
          <w:szCs w:val="20"/>
        </w:rPr>
        <w:t>) on Equity Investments and Warrant, Net and Interest and Other, Net</w:t>
      </w:r>
    </w:p>
    <w:p w14:paraId="22CFD3D8" w14:textId="77777777" w:rsidR="002661BA" w:rsidRDefault="002661BA">
      <w:pPr>
        <w:jc w:val="both"/>
      </w:pPr>
    </w:p>
    <w:p w14:paraId="22CFD3D9" w14:textId="77777777" w:rsidR="002661BA" w:rsidRDefault="00D972BC">
      <w:pPr>
        <w:spacing w:after="120"/>
        <w:ind w:firstLine="540"/>
      </w:pPr>
      <w:r>
        <w:rPr>
          <w:rFonts w:ascii="Arial" w:eastAsia="宋体" w:hAnsi="Arial" w:cs="Arial"/>
          <w:color w:val="000000"/>
          <w:sz w:val="20"/>
          <w:szCs w:val="20"/>
        </w:rPr>
        <w:t xml:space="preserve">The following table presents components of gain (loss) on equity investments and warrant, net for the 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39"/>
        <w:gridCol w:w="4832"/>
        <w:gridCol w:w="38"/>
        <w:gridCol w:w="121"/>
        <w:gridCol w:w="877"/>
        <w:gridCol w:w="36"/>
        <w:gridCol w:w="37"/>
        <w:gridCol w:w="88"/>
        <w:gridCol w:w="36"/>
        <w:gridCol w:w="121"/>
        <w:gridCol w:w="877"/>
        <w:gridCol w:w="36"/>
        <w:gridCol w:w="37"/>
        <w:gridCol w:w="88"/>
        <w:gridCol w:w="36"/>
        <w:gridCol w:w="121"/>
        <w:gridCol w:w="880"/>
        <w:gridCol w:w="36"/>
      </w:tblGrid>
      <w:tr w:rsidR="002661BA" w14:paraId="22CFD3EC" w14:textId="77777777">
        <w:tc>
          <w:tcPr>
            <w:tcW w:w="50" w:type="pct"/>
            <w:shd w:val="clear" w:color="auto" w:fill="auto"/>
            <w:vAlign w:val="bottom"/>
          </w:tcPr>
          <w:p w14:paraId="22CFD3DA" w14:textId="77777777" w:rsidR="002661BA" w:rsidRDefault="002661BA">
            <w:pPr>
              <w:rPr>
                <w:rFonts w:ascii="宋体"/>
              </w:rPr>
            </w:pPr>
          </w:p>
        </w:tc>
        <w:tc>
          <w:tcPr>
            <w:tcW w:w="2978" w:type="pct"/>
            <w:shd w:val="clear" w:color="auto" w:fill="auto"/>
            <w:vAlign w:val="bottom"/>
          </w:tcPr>
          <w:p w14:paraId="22CFD3DB" w14:textId="77777777" w:rsidR="002661BA" w:rsidRDefault="002661BA">
            <w:pPr>
              <w:rPr>
                <w:rFonts w:ascii="宋体"/>
              </w:rPr>
            </w:pPr>
          </w:p>
        </w:tc>
        <w:tc>
          <w:tcPr>
            <w:tcW w:w="5" w:type="pct"/>
            <w:shd w:val="clear" w:color="auto" w:fill="auto"/>
            <w:vAlign w:val="bottom"/>
          </w:tcPr>
          <w:p w14:paraId="22CFD3DC" w14:textId="77777777" w:rsidR="002661BA" w:rsidRDefault="002661BA">
            <w:pPr>
              <w:rPr>
                <w:rFonts w:ascii="宋体"/>
              </w:rPr>
            </w:pPr>
          </w:p>
        </w:tc>
        <w:tc>
          <w:tcPr>
            <w:tcW w:w="50" w:type="pct"/>
            <w:shd w:val="clear" w:color="auto" w:fill="auto"/>
            <w:vAlign w:val="bottom"/>
          </w:tcPr>
          <w:p w14:paraId="22CFD3DD" w14:textId="77777777" w:rsidR="002661BA" w:rsidRDefault="002661BA">
            <w:pPr>
              <w:rPr>
                <w:rFonts w:ascii="宋体"/>
              </w:rPr>
            </w:pPr>
          </w:p>
        </w:tc>
        <w:tc>
          <w:tcPr>
            <w:tcW w:w="580" w:type="pct"/>
            <w:shd w:val="clear" w:color="auto" w:fill="auto"/>
            <w:vAlign w:val="bottom"/>
          </w:tcPr>
          <w:p w14:paraId="22CFD3DE" w14:textId="77777777" w:rsidR="002661BA" w:rsidRDefault="002661BA">
            <w:pPr>
              <w:rPr>
                <w:rFonts w:ascii="宋体"/>
              </w:rPr>
            </w:pPr>
          </w:p>
        </w:tc>
        <w:tc>
          <w:tcPr>
            <w:tcW w:w="5" w:type="pct"/>
            <w:shd w:val="clear" w:color="auto" w:fill="auto"/>
            <w:vAlign w:val="bottom"/>
          </w:tcPr>
          <w:p w14:paraId="22CFD3DF" w14:textId="77777777" w:rsidR="002661BA" w:rsidRDefault="002661BA">
            <w:pPr>
              <w:rPr>
                <w:rFonts w:ascii="宋体"/>
              </w:rPr>
            </w:pPr>
          </w:p>
        </w:tc>
        <w:tc>
          <w:tcPr>
            <w:tcW w:w="5" w:type="pct"/>
            <w:shd w:val="clear" w:color="auto" w:fill="auto"/>
            <w:vAlign w:val="bottom"/>
          </w:tcPr>
          <w:p w14:paraId="22CFD3E0" w14:textId="77777777" w:rsidR="002661BA" w:rsidRDefault="002661BA">
            <w:pPr>
              <w:rPr>
                <w:rFonts w:ascii="宋体"/>
              </w:rPr>
            </w:pPr>
          </w:p>
        </w:tc>
        <w:tc>
          <w:tcPr>
            <w:tcW w:w="19" w:type="pct"/>
            <w:shd w:val="clear" w:color="auto" w:fill="auto"/>
            <w:vAlign w:val="bottom"/>
          </w:tcPr>
          <w:p w14:paraId="22CFD3E1" w14:textId="77777777" w:rsidR="002661BA" w:rsidRDefault="002661BA">
            <w:pPr>
              <w:rPr>
                <w:rFonts w:ascii="宋体"/>
              </w:rPr>
            </w:pPr>
          </w:p>
        </w:tc>
        <w:tc>
          <w:tcPr>
            <w:tcW w:w="5" w:type="pct"/>
            <w:shd w:val="clear" w:color="auto" w:fill="auto"/>
            <w:vAlign w:val="bottom"/>
          </w:tcPr>
          <w:p w14:paraId="22CFD3E2" w14:textId="77777777" w:rsidR="002661BA" w:rsidRDefault="002661BA">
            <w:pPr>
              <w:rPr>
                <w:rFonts w:ascii="宋体"/>
              </w:rPr>
            </w:pPr>
          </w:p>
        </w:tc>
        <w:tc>
          <w:tcPr>
            <w:tcW w:w="50" w:type="pct"/>
            <w:shd w:val="clear" w:color="auto" w:fill="auto"/>
            <w:vAlign w:val="bottom"/>
          </w:tcPr>
          <w:p w14:paraId="22CFD3E3" w14:textId="77777777" w:rsidR="002661BA" w:rsidRDefault="002661BA">
            <w:pPr>
              <w:rPr>
                <w:rFonts w:ascii="宋体"/>
              </w:rPr>
            </w:pPr>
          </w:p>
        </w:tc>
        <w:tc>
          <w:tcPr>
            <w:tcW w:w="580" w:type="pct"/>
            <w:shd w:val="clear" w:color="auto" w:fill="auto"/>
            <w:vAlign w:val="bottom"/>
          </w:tcPr>
          <w:p w14:paraId="22CFD3E4" w14:textId="77777777" w:rsidR="002661BA" w:rsidRDefault="002661BA">
            <w:pPr>
              <w:rPr>
                <w:rFonts w:ascii="宋体"/>
              </w:rPr>
            </w:pPr>
          </w:p>
        </w:tc>
        <w:tc>
          <w:tcPr>
            <w:tcW w:w="5" w:type="pct"/>
            <w:shd w:val="clear" w:color="auto" w:fill="auto"/>
            <w:vAlign w:val="bottom"/>
          </w:tcPr>
          <w:p w14:paraId="22CFD3E5" w14:textId="77777777" w:rsidR="002661BA" w:rsidRDefault="002661BA">
            <w:pPr>
              <w:rPr>
                <w:rFonts w:ascii="宋体"/>
              </w:rPr>
            </w:pPr>
          </w:p>
        </w:tc>
        <w:tc>
          <w:tcPr>
            <w:tcW w:w="5" w:type="pct"/>
            <w:shd w:val="clear" w:color="auto" w:fill="auto"/>
            <w:vAlign w:val="bottom"/>
          </w:tcPr>
          <w:p w14:paraId="22CFD3E6" w14:textId="77777777" w:rsidR="002661BA" w:rsidRDefault="002661BA">
            <w:pPr>
              <w:rPr>
                <w:rFonts w:ascii="宋体"/>
              </w:rPr>
            </w:pPr>
          </w:p>
        </w:tc>
        <w:tc>
          <w:tcPr>
            <w:tcW w:w="19" w:type="pct"/>
            <w:shd w:val="clear" w:color="auto" w:fill="auto"/>
            <w:vAlign w:val="bottom"/>
          </w:tcPr>
          <w:p w14:paraId="22CFD3E7" w14:textId="77777777" w:rsidR="002661BA" w:rsidRDefault="002661BA">
            <w:pPr>
              <w:rPr>
                <w:rFonts w:ascii="宋体"/>
              </w:rPr>
            </w:pPr>
          </w:p>
        </w:tc>
        <w:tc>
          <w:tcPr>
            <w:tcW w:w="5" w:type="pct"/>
            <w:shd w:val="clear" w:color="auto" w:fill="auto"/>
            <w:vAlign w:val="bottom"/>
          </w:tcPr>
          <w:p w14:paraId="22CFD3E8" w14:textId="77777777" w:rsidR="002661BA" w:rsidRDefault="002661BA">
            <w:pPr>
              <w:rPr>
                <w:rFonts w:ascii="宋体"/>
              </w:rPr>
            </w:pPr>
          </w:p>
        </w:tc>
        <w:tc>
          <w:tcPr>
            <w:tcW w:w="50" w:type="pct"/>
            <w:shd w:val="clear" w:color="auto" w:fill="auto"/>
            <w:vAlign w:val="bottom"/>
          </w:tcPr>
          <w:p w14:paraId="22CFD3E9" w14:textId="77777777" w:rsidR="002661BA" w:rsidRDefault="002661BA">
            <w:pPr>
              <w:rPr>
                <w:rFonts w:ascii="宋体"/>
              </w:rPr>
            </w:pPr>
          </w:p>
        </w:tc>
        <w:tc>
          <w:tcPr>
            <w:tcW w:w="581" w:type="pct"/>
            <w:shd w:val="clear" w:color="auto" w:fill="auto"/>
            <w:vAlign w:val="bottom"/>
          </w:tcPr>
          <w:p w14:paraId="22CFD3EA" w14:textId="77777777" w:rsidR="002661BA" w:rsidRDefault="002661BA">
            <w:pPr>
              <w:rPr>
                <w:rFonts w:ascii="宋体"/>
              </w:rPr>
            </w:pPr>
          </w:p>
        </w:tc>
        <w:tc>
          <w:tcPr>
            <w:tcW w:w="5" w:type="pct"/>
            <w:shd w:val="clear" w:color="auto" w:fill="auto"/>
            <w:vAlign w:val="bottom"/>
          </w:tcPr>
          <w:p w14:paraId="22CFD3EB" w14:textId="77777777" w:rsidR="002661BA" w:rsidRDefault="002661BA">
            <w:pPr>
              <w:rPr>
                <w:rFonts w:ascii="宋体"/>
              </w:rPr>
            </w:pPr>
          </w:p>
        </w:tc>
      </w:tr>
      <w:tr w:rsidR="002661BA" w14:paraId="22CFD3EF" w14:textId="77777777">
        <w:tc>
          <w:tcPr>
            <w:tcW w:w="0" w:type="auto"/>
            <w:gridSpan w:val="3"/>
            <w:shd w:val="clear" w:color="auto" w:fill="auto"/>
            <w:tcMar>
              <w:top w:w="40" w:type="dxa"/>
              <w:left w:w="20" w:type="dxa"/>
              <w:bottom w:w="40" w:type="dxa"/>
              <w:right w:w="20" w:type="dxa"/>
            </w:tcMar>
            <w:vAlign w:val="bottom"/>
          </w:tcPr>
          <w:p w14:paraId="22CFD3ED" w14:textId="77777777" w:rsidR="002661BA" w:rsidRDefault="00D972BC">
            <w:pPr>
              <w:textAlignment w:val="bottom"/>
            </w:pPr>
            <w:r>
              <w:rPr>
                <w:rFonts w:ascii="Arial" w:eastAsia="宋体" w:hAnsi="Arial" w:cs="Arial"/>
                <w:color w:val="000000"/>
                <w:sz w:val="14"/>
                <w:szCs w:val="14"/>
              </w:rPr>
              <w:t> </w:t>
            </w:r>
          </w:p>
        </w:tc>
        <w:tc>
          <w:tcPr>
            <w:tcW w:w="0" w:type="auto"/>
            <w:gridSpan w:val="15"/>
            <w:shd w:val="clear" w:color="auto" w:fill="auto"/>
            <w:tcMar>
              <w:top w:w="40" w:type="dxa"/>
              <w:left w:w="20" w:type="dxa"/>
              <w:bottom w:w="40" w:type="dxa"/>
              <w:right w:w="20" w:type="dxa"/>
            </w:tcMar>
            <w:vAlign w:val="bottom"/>
          </w:tcPr>
          <w:p w14:paraId="22CFD3EE"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D3F6" w14:textId="77777777">
        <w:tc>
          <w:tcPr>
            <w:tcW w:w="0" w:type="auto"/>
            <w:gridSpan w:val="3"/>
            <w:shd w:val="clear" w:color="auto" w:fill="auto"/>
            <w:tcMar>
              <w:top w:w="40" w:type="dxa"/>
              <w:left w:w="20" w:type="dxa"/>
              <w:bottom w:w="40" w:type="dxa"/>
              <w:right w:w="20" w:type="dxa"/>
            </w:tcMar>
            <w:vAlign w:val="bottom"/>
          </w:tcPr>
          <w:p w14:paraId="22CFD3F0" w14:textId="77777777" w:rsidR="002661BA" w:rsidRDefault="00D972BC">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3F1"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3F2"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3F3"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3F4" w14:textId="77777777" w:rsidR="002661BA" w:rsidRDefault="00D972BC">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3F5"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D403" w14:textId="77777777">
        <w:tc>
          <w:tcPr>
            <w:tcW w:w="0" w:type="auto"/>
            <w:gridSpan w:val="3"/>
            <w:shd w:val="clear" w:color="auto" w:fill="E2E2E2"/>
            <w:tcMar>
              <w:top w:w="40" w:type="dxa"/>
              <w:left w:w="20" w:type="dxa"/>
              <w:bottom w:w="40" w:type="dxa"/>
              <w:right w:w="20" w:type="dxa"/>
            </w:tcMar>
            <w:vAlign w:val="bottom"/>
          </w:tcPr>
          <w:p w14:paraId="22CFD3F7" w14:textId="77777777" w:rsidR="002661BA" w:rsidRDefault="00D972BC">
            <w:pPr>
              <w:textAlignment w:val="bottom"/>
            </w:pPr>
            <w:r>
              <w:rPr>
                <w:rFonts w:ascii="Arial" w:eastAsia="宋体" w:hAnsi="Arial" w:cs="Arial"/>
                <w:color w:val="000000"/>
                <w:sz w:val="18"/>
                <w:szCs w:val="18"/>
              </w:rPr>
              <w:t>Change in fair value of equity investment in Adevinta</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D3F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3F9" w14:textId="77777777" w:rsidR="002661BA" w:rsidRDefault="00D972BC">
            <w:pPr>
              <w:jc w:val="right"/>
              <w:textAlignment w:val="bottom"/>
            </w:pPr>
            <w:r>
              <w:rPr>
                <w:rFonts w:ascii="Arial" w:eastAsia="宋体" w:hAnsi="Arial" w:cs="Arial"/>
                <w:color w:val="000000"/>
                <w:sz w:val="18"/>
                <w:szCs w:val="18"/>
              </w:rPr>
              <w:t>(3,070)</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3F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3FB"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3F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3FD"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3F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3FF"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40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401"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402" w14:textId="77777777" w:rsidR="002661BA" w:rsidRDefault="002661BA">
            <w:pPr>
              <w:jc w:val="right"/>
              <w:rPr>
                <w:rFonts w:ascii="宋体"/>
              </w:rPr>
            </w:pPr>
          </w:p>
        </w:tc>
      </w:tr>
      <w:tr w:rsidR="002661BA" w14:paraId="22CFD40D" w14:textId="77777777">
        <w:tc>
          <w:tcPr>
            <w:tcW w:w="0" w:type="auto"/>
            <w:gridSpan w:val="3"/>
            <w:shd w:val="clear" w:color="auto" w:fill="FFFFFF"/>
            <w:tcMar>
              <w:top w:w="40" w:type="dxa"/>
              <w:left w:w="20" w:type="dxa"/>
              <w:bottom w:w="40" w:type="dxa"/>
              <w:right w:w="20" w:type="dxa"/>
            </w:tcMar>
            <w:vAlign w:val="bottom"/>
          </w:tcPr>
          <w:p w14:paraId="22CFD404" w14:textId="77777777" w:rsidR="002661BA" w:rsidRDefault="00D972BC">
            <w:pPr>
              <w:textAlignment w:val="bottom"/>
            </w:pPr>
            <w:r>
              <w:rPr>
                <w:rFonts w:ascii="Arial" w:eastAsia="宋体" w:hAnsi="Arial" w:cs="Arial"/>
                <w:color w:val="000000"/>
                <w:sz w:val="18"/>
                <w:szCs w:val="18"/>
              </w:rPr>
              <w:t xml:space="preserve">Gain (loss) on sale of shares in Adevinta </w:t>
            </w:r>
            <w:r>
              <w:rPr>
                <w:rFonts w:ascii="Arial" w:eastAsia="宋体" w:hAnsi="Arial" w:cs="Arial"/>
                <w:color w:val="000000"/>
                <w:sz w:val="11"/>
                <w:szCs w:val="11"/>
              </w:rPr>
              <w:t>(1)</w:t>
            </w:r>
          </w:p>
        </w:tc>
        <w:tc>
          <w:tcPr>
            <w:tcW w:w="0" w:type="auto"/>
            <w:gridSpan w:val="2"/>
            <w:shd w:val="clear" w:color="auto" w:fill="FFFFFF"/>
            <w:tcMar>
              <w:top w:w="40" w:type="dxa"/>
              <w:left w:w="20" w:type="dxa"/>
              <w:bottom w:w="40" w:type="dxa"/>
              <w:right w:w="0" w:type="dxa"/>
            </w:tcMar>
            <w:vAlign w:val="bottom"/>
          </w:tcPr>
          <w:p w14:paraId="22CFD405" w14:textId="77777777" w:rsidR="002661BA" w:rsidRDefault="00D972BC">
            <w:pPr>
              <w:jc w:val="right"/>
              <w:textAlignment w:val="bottom"/>
            </w:pPr>
            <w:r>
              <w:rPr>
                <w:rFonts w:ascii="Arial" w:eastAsia="宋体" w:hAnsi="Arial" w:cs="Arial"/>
                <w:color w:val="000000"/>
                <w:sz w:val="18"/>
                <w:szCs w:val="18"/>
              </w:rPr>
              <w:t>9 </w:t>
            </w:r>
          </w:p>
        </w:tc>
        <w:tc>
          <w:tcPr>
            <w:tcW w:w="0" w:type="auto"/>
            <w:shd w:val="clear" w:color="auto" w:fill="FFFFFF"/>
            <w:tcMar>
              <w:top w:w="40" w:type="dxa"/>
              <w:left w:w="0" w:type="dxa"/>
              <w:bottom w:w="40" w:type="dxa"/>
              <w:right w:w="20" w:type="dxa"/>
            </w:tcMar>
            <w:vAlign w:val="bottom"/>
          </w:tcPr>
          <w:p w14:paraId="22CFD40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407"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408"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40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40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40B"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40C" w14:textId="77777777" w:rsidR="002661BA" w:rsidRDefault="002661BA">
            <w:pPr>
              <w:jc w:val="right"/>
              <w:rPr>
                <w:rFonts w:ascii="宋体"/>
              </w:rPr>
            </w:pPr>
          </w:p>
        </w:tc>
      </w:tr>
      <w:tr w:rsidR="002661BA" w14:paraId="22CFD417" w14:textId="77777777">
        <w:tc>
          <w:tcPr>
            <w:tcW w:w="0" w:type="auto"/>
            <w:gridSpan w:val="3"/>
            <w:shd w:val="clear" w:color="auto" w:fill="E2E2E2"/>
            <w:tcMar>
              <w:top w:w="40" w:type="dxa"/>
              <w:left w:w="20" w:type="dxa"/>
              <w:bottom w:w="40" w:type="dxa"/>
              <w:right w:w="20" w:type="dxa"/>
            </w:tcMar>
            <w:vAlign w:val="bottom"/>
          </w:tcPr>
          <w:p w14:paraId="22CFD40E" w14:textId="77777777" w:rsidR="002661BA" w:rsidRDefault="00D972BC">
            <w:pPr>
              <w:textAlignment w:val="bottom"/>
            </w:pPr>
            <w:r>
              <w:rPr>
                <w:rFonts w:ascii="Arial" w:eastAsia="宋体" w:hAnsi="Arial" w:cs="Arial"/>
                <w:color w:val="000000"/>
                <w:sz w:val="18"/>
                <w:szCs w:val="18"/>
              </w:rPr>
              <w:t>Change in fair value of warrant</w:t>
            </w:r>
          </w:p>
        </w:tc>
        <w:tc>
          <w:tcPr>
            <w:tcW w:w="0" w:type="auto"/>
            <w:gridSpan w:val="2"/>
            <w:shd w:val="clear" w:color="auto" w:fill="E2E2E2"/>
            <w:tcMar>
              <w:top w:w="40" w:type="dxa"/>
              <w:left w:w="20" w:type="dxa"/>
              <w:bottom w:w="40" w:type="dxa"/>
              <w:right w:w="0" w:type="dxa"/>
            </w:tcMar>
            <w:vAlign w:val="bottom"/>
          </w:tcPr>
          <w:p w14:paraId="22CFD40F" w14:textId="77777777" w:rsidR="002661BA" w:rsidRDefault="00D972BC">
            <w:pPr>
              <w:jc w:val="right"/>
              <w:textAlignment w:val="bottom"/>
            </w:pPr>
            <w:r>
              <w:rPr>
                <w:rFonts w:ascii="Arial" w:eastAsia="宋体" w:hAnsi="Arial" w:cs="Arial"/>
                <w:color w:val="000000"/>
                <w:sz w:val="18"/>
                <w:szCs w:val="18"/>
              </w:rPr>
              <w:t>354 </w:t>
            </w:r>
          </w:p>
        </w:tc>
        <w:tc>
          <w:tcPr>
            <w:tcW w:w="0" w:type="auto"/>
            <w:shd w:val="clear" w:color="auto" w:fill="E2E2E2"/>
            <w:tcMar>
              <w:top w:w="40" w:type="dxa"/>
              <w:left w:w="0" w:type="dxa"/>
              <w:bottom w:w="40" w:type="dxa"/>
              <w:right w:w="20" w:type="dxa"/>
            </w:tcMar>
            <w:vAlign w:val="bottom"/>
          </w:tcPr>
          <w:p w14:paraId="22CFD410"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411"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412" w14:textId="77777777" w:rsidR="002661BA" w:rsidRDefault="00D972BC">
            <w:pPr>
              <w:jc w:val="right"/>
              <w:textAlignment w:val="bottom"/>
            </w:pPr>
            <w:r>
              <w:rPr>
                <w:rFonts w:ascii="Arial" w:eastAsia="宋体" w:hAnsi="Arial" w:cs="Arial"/>
                <w:color w:val="000000"/>
                <w:sz w:val="18"/>
                <w:szCs w:val="18"/>
              </w:rPr>
              <w:t>770 </w:t>
            </w:r>
          </w:p>
        </w:tc>
        <w:tc>
          <w:tcPr>
            <w:tcW w:w="0" w:type="auto"/>
            <w:shd w:val="clear" w:color="auto" w:fill="E2E2E2"/>
            <w:tcMar>
              <w:top w:w="40" w:type="dxa"/>
              <w:left w:w="0" w:type="dxa"/>
              <w:bottom w:w="40" w:type="dxa"/>
              <w:right w:w="20" w:type="dxa"/>
            </w:tcMar>
            <w:vAlign w:val="bottom"/>
          </w:tcPr>
          <w:p w14:paraId="22CFD413"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414"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415" w14:textId="77777777" w:rsidR="002661BA" w:rsidRDefault="00D972BC">
            <w:pPr>
              <w:jc w:val="right"/>
              <w:textAlignment w:val="bottom"/>
            </w:pPr>
            <w:r>
              <w:rPr>
                <w:rFonts w:ascii="Arial" w:eastAsia="宋体" w:hAnsi="Arial" w:cs="Arial"/>
                <w:color w:val="000000"/>
                <w:sz w:val="18"/>
                <w:szCs w:val="18"/>
              </w:rPr>
              <w:t>133 </w:t>
            </w:r>
          </w:p>
        </w:tc>
        <w:tc>
          <w:tcPr>
            <w:tcW w:w="0" w:type="auto"/>
            <w:shd w:val="clear" w:color="auto" w:fill="E2E2E2"/>
            <w:tcMar>
              <w:top w:w="40" w:type="dxa"/>
              <w:left w:w="0" w:type="dxa"/>
              <w:bottom w:w="40" w:type="dxa"/>
              <w:right w:w="20" w:type="dxa"/>
            </w:tcMar>
            <w:vAlign w:val="bottom"/>
          </w:tcPr>
          <w:p w14:paraId="22CFD416" w14:textId="77777777" w:rsidR="002661BA" w:rsidRDefault="002661BA">
            <w:pPr>
              <w:jc w:val="right"/>
              <w:rPr>
                <w:rFonts w:ascii="宋体"/>
              </w:rPr>
            </w:pPr>
          </w:p>
        </w:tc>
      </w:tr>
      <w:tr w:rsidR="002661BA" w14:paraId="22CFD421" w14:textId="77777777">
        <w:tc>
          <w:tcPr>
            <w:tcW w:w="0" w:type="auto"/>
            <w:gridSpan w:val="3"/>
            <w:shd w:val="clear" w:color="auto" w:fill="FFFFFF"/>
            <w:tcMar>
              <w:top w:w="40" w:type="dxa"/>
              <w:left w:w="20" w:type="dxa"/>
              <w:bottom w:w="40" w:type="dxa"/>
              <w:right w:w="20" w:type="dxa"/>
            </w:tcMar>
            <w:vAlign w:val="bottom"/>
          </w:tcPr>
          <w:p w14:paraId="22CFD418" w14:textId="77777777" w:rsidR="002661BA" w:rsidRDefault="00D972BC">
            <w:pPr>
              <w:textAlignment w:val="bottom"/>
            </w:pPr>
            <w:r>
              <w:rPr>
                <w:rFonts w:ascii="Arial" w:eastAsia="宋体" w:hAnsi="Arial" w:cs="Arial"/>
                <w:color w:val="000000"/>
                <w:sz w:val="18"/>
                <w:szCs w:val="18"/>
              </w:rPr>
              <w:t>Change in fair value of equity investment in Adyen</w:t>
            </w:r>
          </w:p>
        </w:tc>
        <w:tc>
          <w:tcPr>
            <w:tcW w:w="0" w:type="auto"/>
            <w:gridSpan w:val="2"/>
            <w:shd w:val="clear" w:color="auto" w:fill="FFFFFF"/>
            <w:tcMar>
              <w:top w:w="40" w:type="dxa"/>
              <w:left w:w="20" w:type="dxa"/>
              <w:bottom w:w="40" w:type="dxa"/>
              <w:right w:w="0" w:type="dxa"/>
            </w:tcMar>
            <w:vAlign w:val="bottom"/>
          </w:tcPr>
          <w:p w14:paraId="22CFD419" w14:textId="77777777" w:rsidR="002661BA" w:rsidRDefault="00D972BC">
            <w:pPr>
              <w:jc w:val="right"/>
              <w:textAlignment w:val="bottom"/>
            </w:pPr>
            <w:r>
              <w:rPr>
                <w:rFonts w:ascii="Arial" w:eastAsia="宋体" w:hAnsi="Arial" w:cs="Arial"/>
                <w:color w:val="000000"/>
                <w:sz w:val="18"/>
                <w:szCs w:val="18"/>
              </w:rPr>
              <w:t>(10)</w:t>
            </w:r>
          </w:p>
        </w:tc>
        <w:tc>
          <w:tcPr>
            <w:tcW w:w="0" w:type="auto"/>
            <w:shd w:val="clear" w:color="auto" w:fill="FFFFFF"/>
            <w:tcMar>
              <w:top w:w="40" w:type="dxa"/>
              <w:left w:w="0" w:type="dxa"/>
              <w:bottom w:w="40" w:type="dxa"/>
              <w:right w:w="20" w:type="dxa"/>
            </w:tcMar>
            <w:vAlign w:val="bottom"/>
          </w:tcPr>
          <w:p w14:paraId="22CFD41A"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41B"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41C"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41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41E"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41F"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420" w14:textId="77777777" w:rsidR="002661BA" w:rsidRDefault="002661BA">
            <w:pPr>
              <w:jc w:val="right"/>
              <w:rPr>
                <w:rFonts w:ascii="宋体"/>
              </w:rPr>
            </w:pPr>
          </w:p>
        </w:tc>
      </w:tr>
      <w:tr w:rsidR="002661BA" w14:paraId="22CFD42B" w14:textId="77777777">
        <w:tc>
          <w:tcPr>
            <w:tcW w:w="0" w:type="auto"/>
            <w:gridSpan w:val="3"/>
            <w:shd w:val="clear" w:color="auto" w:fill="E2E2E2"/>
            <w:tcMar>
              <w:top w:w="40" w:type="dxa"/>
              <w:left w:w="20" w:type="dxa"/>
              <w:bottom w:w="40" w:type="dxa"/>
              <w:right w:w="20" w:type="dxa"/>
            </w:tcMar>
            <w:vAlign w:val="bottom"/>
          </w:tcPr>
          <w:p w14:paraId="22CFD422" w14:textId="77777777" w:rsidR="002661BA" w:rsidRDefault="00D972BC">
            <w:pPr>
              <w:textAlignment w:val="bottom"/>
            </w:pPr>
            <w:r>
              <w:rPr>
                <w:rFonts w:ascii="Arial" w:eastAsia="宋体" w:hAnsi="Arial" w:cs="Arial"/>
                <w:color w:val="000000"/>
                <w:sz w:val="18"/>
                <w:szCs w:val="18"/>
              </w:rPr>
              <w:t xml:space="preserve">Change in fair value of equity </w:t>
            </w:r>
            <w:r>
              <w:rPr>
                <w:rFonts w:ascii="Arial" w:eastAsia="宋体" w:hAnsi="Arial" w:cs="Arial"/>
                <w:color w:val="000000"/>
                <w:sz w:val="18"/>
                <w:szCs w:val="18"/>
              </w:rPr>
              <w:t>investment in KakaoBank</w:t>
            </w:r>
          </w:p>
        </w:tc>
        <w:tc>
          <w:tcPr>
            <w:tcW w:w="0" w:type="auto"/>
            <w:gridSpan w:val="2"/>
            <w:shd w:val="clear" w:color="auto" w:fill="E2E2E2"/>
            <w:tcMar>
              <w:top w:w="40" w:type="dxa"/>
              <w:left w:w="20" w:type="dxa"/>
              <w:bottom w:w="40" w:type="dxa"/>
              <w:right w:w="0" w:type="dxa"/>
            </w:tcMar>
            <w:vAlign w:val="bottom"/>
          </w:tcPr>
          <w:p w14:paraId="22CFD423" w14:textId="77777777" w:rsidR="002661BA" w:rsidRDefault="00D972BC">
            <w:pPr>
              <w:jc w:val="right"/>
              <w:textAlignment w:val="bottom"/>
            </w:pPr>
            <w:r>
              <w:rPr>
                <w:rFonts w:ascii="Arial" w:eastAsia="宋体" w:hAnsi="Arial" w:cs="Arial"/>
                <w:color w:val="000000"/>
                <w:sz w:val="18"/>
                <w:szCs w:val="18"/>
              </w:rPr>
              <w:t>403 </w:t>
            </w:r>
          </w:p>
        </w:tc>
        <w:tc>
          <w:tcPr>
            <w:tcW w:w="0" w:type="auto"/>
            <w:shd w:val="clear" w:color="auto" w:fill="E2E2E2"/>
            <w:tcMar>
              <w:top w:w="40" w:type="dxa"/>
              <w:left w:w="0" w:type="dxa"/>
              <w:bottom w:w="40" w:type="dxa"/>
              <w:right w:w="20" w:type="dxa"/>
            </w:tcMar>
            <w:vAlign w:val="bottom"/>
          </w:tcPr>
          <w:p w14:paraId="22CFD424"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425"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426" w14:textId="77777777" w:rsidR="002661BA" w:rsidRDefault="00D972BC">
            <w:pPr>
              <w:jc w:val="right"/>
              <w:textAlignment w:val="bottom"/>
            </w:pPr>
            <w:r>
              <w:rPr>
                <w:rFonts w:ascii="Arial" w:eastAsia="宋体" w:hAnsi="Arial" w:cs="Arial"/>
                <w:color w:val="000000"/>
                <w:sz w:val="18"/>
                <w:szCs w:val="18"/>
              </w:rPr>
              <w:t>239 </w:t>
            </w:r>
          </w:p>
        </w:tc>
        <w:tc>
          <w:tcPr>
            <w:tcW w:w="0" w:type="auto"/>
            <w:shd w:val="clear" w:color="auto" w:fill="E2E2E2"/>
            <w:tcMar>
              <w:top w:w="40" w:type="dxa"/>
              <w:left w:w="0" w:type="dxa"/>
              <w:bottom w:w="40" w:type="dxa"/>
              <w:right w:w="20" w:type="dxa"/>
            </w:tcMar>
            <w:vAlign w:val="bottom"/>
          </w:tcPr>
          <w:p w14:paraId="22CFD427"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428"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429"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D42A" w14:textId="77777777" w:rsidR="002661BA" w:rsidRDefault="002661BA">
            <w:pPr>
              <w:jc w:val="right"/>
              <w:rPr>
                <w:rFonts w:ascii="宋体"/>
              </w:rPr>
            </w:pPr>
          </w:p>
        </w:tc>
      </w:tr>
      <w:tr w:rsidR="002661BA" w14:paraId="22CFD435" w14:textId="77777777">
        <w:tc>
          <w:tcPr>
            <w:tcW w:w="0" w:type="auto"/>
            <w:gridSpan w:val="3"/>
            <w:shd w:val="clear" w:color="auto" w:fill="FFFFFF"/>
            <w:tcMar>
              <w:top w:w="40" w:type="dxa"/>
              <w:left w:w="20" w:type="dxa"/>
              <w:bottom w:w="40" w:type="dxa"/>
              <w:right w:w="20" w:type="dxa"/>
            </w:tcMar>
            <w:vAlign w:val="bottom"/>
          </w:tcPr>
          <w:p w14:paraId="22CFD42C" w14:textId="77777777" w:rsidR="002661BA" w:rsidRDefault="00D972BC">
            <w:pPr>
              <w:textAlignment w:val="bottom"/>
            </w:pPr>
            <w:r>
              <w:rPr>
                <w:rFonts w:ascii="Arial" w:eastAsia="宋体" w:hAnsi="Arial" w:cs="Arial"/>
                <w:color w:val="000000"/>
                <w:sz w:val="18"/>
                <w:szCs w:val="18"/>
              </w:rPr>
              <w:t>Gain (loss) on sale of shares in KakaoBank</w:t>
            </w:r>
          </w:p>
        </w:tc>
        <w:tc>
          <w:tcPr>
            <w:tcW w:w="0" w:type="auto"/>
            <w:gridSpan w:val="2"/>
            <w:shd w:val="clear" w:color="auto" w:fill="FFFFFF"/>
            <w:tcMar>
              <w:top w:w="40" w:type="dxa"/>
              <w:left w:w="20" w:type="dxa"/>
              <w:bottom w:w="40" w:type="dxa"/>
              <w:right w:w="0" w:type="dxa"/>
            </w:tcMar>
            <w:vAlign w:val="bottom"/>
          </w:tcPr>
          <w:p w14:paraId="22CFD42D" w14:textId="77777777" w:rsidR="002661BA" w:rsidRDefault="00D972BC">
            <w:pPr>
              <w:jc w:val="right"/>
              <w:textAlignment w:val="bottom"/>
            </w:pPr>
            <w:r>
              <w:rPr>
                <w:rFonts w:ascii="Arial" w:eastAsia="宋体" w:hAnsi="Arial" w:cs="Arial"/>
                <w:color w:val="000000"/>
                <w:sz w:val="18"/>
                <w:szCs w:val="18"/>
              </w:rPr>
              <w:t>83 </w:t>
            </w:r>
          </w:p>
        </w:tc>
        <w:tc>
          <w:tcPr>
            <w:tcW w:w="0" w:type="auto"/>
            <w:shd w:val="clear" w:color="auto" w:fill="FFFFFF"/>
            <w:tcMar>
              <w:top w:w="40" w:type="dxa"/>
              <w:left w:w="0" w:type="dxa"/>
              <w:bottom w:w="40" w:type="dxa"/>
              <w:right w:w="20" w:type="dxa"/>
            </w:tcMar>
            <w:vAlign w:val="bottom"/>
          </w:tcPr>
          <w:p w14:paraId="22CFD42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42F"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430"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43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432"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433"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434" w14:textId="77777777" w:rsidR="002661BA" w:rsidRDefault="002661BA">
            <w:pPr>
              <w:jc w:val="right"/>
              <w:rPr>
                <w:rFonts w:ascii="宋体"/>
              </w:rPr>
            </w:pPr>
          </w:p>
        </w:tc>
      </w:tr>
      <w:tr w:rsidR="002661BA" w14:paraId="22CFD43F" w14:textId="77777777">
        <w:tc>
          <w:tcPr>
            <w:tcW w:w="0" w:type="auto"/>
            <w:gridSpan w:val="3"/>
            <w:shd w:val="clear" w:color="auto" w:fill="E2E2E2"/>
            <w:tcMar>
              <w:top w:w="40" w:type="dxa"/>
              <w:left w:w="20" w:type="dxa"/>
              <w:bottom w:w="40" w:type="dxa"/>
              <w:right w:w="20" w:type="dxa"/>
            </w:tcMar>
            <w:vAlign w:val="bottom"/>
          </w:tcPr>
          <w:p w14:paraId="22CFD436" w14:textId="77777777" w:rsidR="002661BA" w:rsidRDefault="00D972BC">
            <w:pPr>
              <w:textAlignment w:val="bottom"/>
            </w:pPr>
            <w:r>
              <w:rPr>
                <w:rFonts w:ascii="Arial" w:eastAsia="宋体" w:hAnsi="Arial" w:cs="Arial"/>
                <w:color w:val="000000"/>
                <w:sz w:val="18"/>
                <w:szCs w:val="18"/>
              </w:rPr>
              <w:t>Impairment of equity investment in Paytm Mall</w:t>
            </w:r>
          </w:p>
        </w:tc>
        <w:tc>
          <w:tcPr>
            <w:tcW w:w="0" w:type="auto"/>
            <w:gridSpan w:val="2"/>
            <w:shd w:val="clear" w:color="auto" w:fill="E2E2E2"/>
            <w:tcMar>
              <w:top w:w="40" w:type="dxa"/>
              <w:left w:w="20" w:type="dxa"/>
              <w:bottom w:w="40" w:type="dxa"/>
              <w:right w:w="0" w:type="dxa"/>
            </w:tcMar>
            <w:vAlign w:val="bottom"/>
          </w:tcPr>
          <w:p w14:paraId="22CFD437" w14:textId="77777777" w:rsidR="002661BA" w:rsidRDefault="00D972BC">
            <w:pPr>
              <w:jc w:val="right"/>
              <w:textAlignment w:val="bottom"/>
            </w:pPr>
            <w:r>
              <w:rPr>
                <w:rFonts w:ascii="Arial" w:eastAsia="宋体" w:hAnsi="Arial" w:cs="Arial"/>
                <w:color w:val="000000"/>
                <w:sz w:val="18"/>
                <w:szCs w:val="18"/>
              </w:rPr>
              <w:t>(160)</w:t>
            </w:r>
          </w:p>
        </w:tc>
        <w:tc>
          <w:tcPr>
            <w:tcW w:w="0" w:type="auto"/>
            <w:shd w:val="clear" w:color="auto" w:fill="E2E2E2"/>
            <w:tcMar>
              <w:top w:w="40" w:type="dxa"/>
              <w:left w:w="0" w:type="dxa"/>
              <w:bottom w:w="40" w:type="dxa"/>
              <w:right w:w="20" w:type="dxa"/>
            </w:tcMar>
            <w:vAlign w:val="bottom"/>
          </w:tcPr>
          <w:p w14:paraId="22CFD438"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439"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43A"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D43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43C"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43D"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D43E" w14:textId="77777777" w:rsidR="002661BA" w:rsidRDefault="002661BA">
            <w:pPr>
              <w:jc w:val="right"/>
              <w:rPr>
                <w:rFonts w:ascii="宋体"/>
              </w:rPr>
            </w:pPr>
          </w:p>
        </w:tc>
      </w:tr>
      <w:tr w:rsidR="002661BA" w14:paraId="22CFD446" w14:textId="77777777">
        <w:trPr>
          <w:hidden/>
        </w:trPr>
        <w:tc>
          <w:tcPr>
            <w:tcW w:w="0" w:type="auto"/>
            <w:gridSpan w:val="3"/>
            <w:shd w:val="clear" w:color="auto" w:fill="auto"/>
            <w:vAlign w:val="bottom"/>
          </w:tcPr>
          <w:p w14:paraId="22CFD440" w14:textId="77777777" w:rsidR="002661BA" w:rsidRDefault="002661BA">
            <w:pPr>
              <w:rPr>
                <w:rFonts w:ascii="宋体"/>
                <w:vanish/>
              </w:rPr>
            </w:pPr>
          </w:p>
        </w:tc>
        <w:tc>
          <w:tcPr>
            <w:tcW w:w="0" w:type="auto"/>
            <w:gridSpan w:val="3"/>
            <w:shd w:val="clear" w:color="auto" w:fill="auto"/>
            <w:vAlign w:val="bottom"/>
          </w:tcPr>
          <w:p w14:paraId="22CFD441" w14:textId="77777777" w:rsidR="002661BA" w:rsidRDefault="002661BA">
            <w:pPr>
              <w:rPr>
                <w:rFonts w:ascii="宋体"/>
                <w:vanish/>
              </w:rPr>
            </w:pPr>
          </w:p>
        </w:tc>
        <w:tc>
          <w:tcPr>
            <w:tcW w:w="0" w:type="auto"/>
            <w:gridSpan w:val="3"/>
            <w:shd w:val="clear" w:color="auto" w:fill="auto"/>
            <w:vAlign w:val="bottom"/>
          </w:tcPr>
          <w:p w14:paraId="22CFD442" w14:textId="77777777" w:rsidR="002661BA" w:rsidRDefault="002661BA">
            <w:pPr>
              <w:rPr>
                <w:rFonts w:ascii="宋体"/>
                <w:vanish/>
              </w:rPr>
            </w:pPr>
          </w:p>
        </w:tc>
        <w:tc>
          <w:tcPr>
            <w:tcW w:w="0" w:type="auto"/>
            <w:gridSpan w:val="3"/>
            <w:shd w:val="clear" w:color="auto" w:fill="auto"/>
            <w:vAlign w:val="bottom"/>
          </w:tcPr>
          <w:p w14:paraId="22CFD443" w14:textId="77777777" w:rsidR="002661BA" w:rsidRDefault="002661BA">
            <w:pPr>
              <w:rPr>
                <w:rFonts w:ascii="宋体"/>
                <w:vanish/>
              </w:rPr>
            </w:pPr>
          </w:p>
        </w:tc>
        <w:tc>
          <w:tcPr>
            <w:tcW w:w="0" w:type="auto"/>
            <w:gridSpan w:val="3"/>
            <w:shd w:val="clear" w:color="auto" w:fill="auto"/>
            <w:vAlign w:val="bottom"/>
          </w:tcPr>
          <w:p w14:paraId="22CFD444" w14:textId="77777777" w:rsidR="002661BA" w:rsidRDefault="002661BA">
            <w:pPr>
              <w:rPr>
                <w:rFonts w:ascii="宋体"/>
                <w:vanish/>
              </w:rPr>
            </w:pPr>
          </w:p>
        </w:tc>
        <w:tc>
          <w:tcPr>
            <w:tcW w:w="0" w:type="auto"/>
            <w:gridSpan w:val="3"/>
            <w:shd w:val="clear" w:color="auto" w:fill="auto"/>
            <w:vAlign w:val="bottom"/>
          </w:tcPr>
          <w:p w14:paraId="22CFD445" w14:textId="77777777" w:rsidR="002661BA" w:rsidRDefault="002661BA">
            <w:pPr>
              <w:rPr>
                <w:rFonts w:ascii="宋体"/>
                <w:vanish/>
              </w:rPr>
            </w:pPr>
          </w:p>
        </w:tc>
      </w:tr>
      <w:tr w:rsidR="002661BA" w14:paraId="22CFD450" w14:textId="77777777">
        <w:tc>
          <w:tcPr>
            <w:tcW w:w="0" w:type="auto"/>
            <w:gridSpan w:val="3"/>
            <w:shd w:val="clear" w:color="auto" w:fill="FFFFFF"/>
            <w:tcMar>
              <w:top w:w="40" w:type="dxa"/>
              <w:left w:w="20" w:type="dxa"/>
              <w:bottom w:w="40" w:type="dxa"/>
              <w:right w:w="20" w:type="dxa"/>
            </w:tcMar>
            <w:vAlign w:val="bottom"/>
          </w:tcPr>
          <w:p w14:paraId="22CFD447" w14:textId="77777777" w:rsidR="002661BA" w:rsidRDefault="00D972BC">
            <w:pPr>
              <w:textAlignment w:val="bottom"/>
            </w:pPr>
            <w:r>
              <w:rPr>
                <w:rFonts w:ascii="Arial" w:eastAsia="宋体" w:hAnsi="Arial" w:cs="Arial"/>
                <w:color w:val="000000"/>
                <w:sz w:val="18"/>
                <w:szCs w:val="18"/>
              </w:rPr>
              <w:t xml:space="preserve">Gain (loss) on other investments </w:t>
            </w:r>
            <w:r>
              <w:rPr>
                <w:rFonts w:ascii="Arial" w:eastAsia="宋体" w:hAnsi="Arial" w:cs="Arial"/>
                <w:color w:val="000000"/>
                <w:sz w:val="11"/>
                <w:szCs w:val="11"/>
              </w:rPr>
              <w:t>(2)</w:t>
            </w:r>
          </w:p>
        </w:tc>
        <w:tc>
          <w:tcPr>
            <w:tcW w:w="0" w:type="auto"/>
            <w:gridSpan w:val="2"/>
            <w:shd w:val="clear" w:color="auto" w:fill="FFFFFF"/>
            <w:tcMar>
              <w:top w:w="40" w:type="dxa"/>
              <w:left w:w="20" w:type="dxa"/>
              <w:bottom w:w="40" w:type="dxa"/>
              <w:right w:w="0" w:type="dxa"/>
            </w:tcMar>
            <w:vAlign w:val="bottom"/>
          </w:tcPr>
          <w:p w14:paraId="22CFD448" w14:textId="77777777" w:rsidR="002661BA" w:rsidRDefault="00D972BC">
            <w:pPr>
              <w:jc w:val="right"/>
              <w:textAlignment w:val="bottom"/>
            </w:pPr>
            <w:r>
              <w:rPr>
                <w:rFonts w:ascii="Arial" w:eastAsia="宋体" w:hAnsi="Arial" w:cs="Arial"/>
                <w:color w:val="000000"/>
                <w:sz w:val="18"/>
                <w:szCs w:val="18"/>
              </w:rPr>
              <w:t>26 </w:t>
            </w:r>
          </w:p>
        </w:tc>
        <w:tc>
          <w:tcPr>
            <w:tcW w:w="0" w:type="auto"/>
            <w:shd w:val="clear" w:color="auto" w:fill="FFFFFF"/>
            <w:tcMar>
              <w:top w:w="40" w:type="dxa"/>
              <w:left w:w="0" w:type="dxa"/>
              <w:bottom w:w="40" w:type="dxa"/>
              <w:right w:w="20" w:type="dxa"/>
            </w:tcMar>
            <w:vAlign w:val="bottom"/>
          </w:tcPr>
          <w:p w14:paraId="22CFD44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44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44B" w14:textId="77777777" w:rsidR="002661BA" w:rsidRDefault="00D972BC">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22CFD44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44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44E"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44F" w14:textId="77777777" w:rsidR="002661BA" w:rsidRDefault="002661BA">
            <w:pPr>
              <w:jc w:val="right"/>
              <w:rPr>
                <w:rFonts w:ascii="宋体"/>
              </w:rPr>
            </w:pPr>
          </w:p>
        </w:tc>
      </w:tr>
      <w:tr w:rsidR="002661BA" w14:paraId="22CFD45D" w14:textId="77777777">
        <w:tc>
          <w:tcPr>
            <w:tcW w:w="0" w:type="auto"/>
            <w:gridSpan w:val="3"/>
            <w:shd w:val="clear" w:color="auto" w:fill="E2E2E2"/>
            <w:tcMar>
              <w:top w:w="40" w:type="dxa"/>
              <w:left w:w="245" w:type="dxa"/>
              <w:bottom w:w="40" w:type="dxa"/>
              <w:right w:w="20" w:type="dxa"/>
            </w:tcMar>
            <w:vAlign w:val="bottom"/>
          </w:tcPr>
          <w:p w14:paraId="22CFD451" w14:textId="77777777" w:rsidR="002661BA" w:rsidRDefault="00D972BC">
            <w:pPr>
              <w:textAlignment w:val="bottom"/>
            </w:pPr>
            <w:r>
              <w:rPr>
                <w:rFonts w:ascii="Arial" w:eastAsia="宋体" w:hAnsi="Arial" w:cs="Arial"/>
                <w:color w:val="000000"/>
                <w:sz w:val="18"/>
                <w:szCs w:val="18"/>
              </w:rPr>
              <w:t xml:space="preserve">Total gain (loss) on </w:t>
            </w:r>
            <w:r>
              <w:rPr>
                <w:rFonts w:ascii="Arial" w:eastAsia="宋体" w:hAnsi="Arial" w:cs="Arial"/>
                <w:color w:val="000000"/>
                <w:sz w:val="18"/>
                <w:szCs w:val="18"/>
              </w:rPr>
              <w:t>equity investments and warrant, net</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452"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453" w14:textId="77777777" w:rsidR="002661BA" w:rsidRDefault="00D972BC">
            <w:pPr>
              <w:jc w:val="right"/>
              <w:textAlignment w:val="bottom"/>
            </w:pPr>
            <w:r>
              <w:rPr>
                <w:rFonts w:ascii="Arial" w:eastAsia="宋体" w:hAnsi="Arial" w:cs="Arial"/>
                <w:color w:val="000000"/>
                <w:sz w:val="18"/>
                <w:szCs w:val="18"/>
              </w:rPr>
              <w:t>(2,365)</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454"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455"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456"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457" w14:textId="77777777" w:rsidR="002661BA" w:rsidRDefault="00D972BC">
            <w:pPr>
              <w:jc w:val="right"/>
              <w:textAlignment w:val="bottom"/>
            </w:pPr>
            <w:r>
              <w:rPr>
                <w:rFonts w:ascii="Arial" w:eastAsia="宋体" w:hAnsi="Arial" w:cs="Arial"/>
                <w:color w:val="000000"/>
                <w:sz w:val="18"/>
                <w:szCs w:val="18"/>
              </w:rPr>
              <w:t>1,007 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458" w14:textId="77777777" w:rsidR="002661BA" w:rsidRDefault="002661B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22CFD459" w14:textId="77777777" w:rsidR="002661BA" w:rsidRDefault="00D972BC">
            <w:pPr>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45A"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45B" w14:textId="77777777" w:rsidR="002661BA" w:rsidRDefault="00D972BC">
            <w:pPr>
              <w:jc w:val="right"/>
              <w:textAlignment w:val="bottom"/>
            </w:pPr>
            <w:r>
              <w:rPr>
                <w:rFonts w:ascii="Arial" w:eastAsia="宋体" w:hAnsi="Arial" w:cs="Arial"/>
                <w:color w:val="000000"/>
                <w:sz w:val="18"/>
                <w:szCs w:val="18"/>
              </w:rPr>
              <w:t>133 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45C" w14:textId="77777777" w:rsidR="002661BA" w:rsidRDefault="002661BA">
            <w:pPr>
              <w:jc w:val="right"/>
              <w:rPr>
                <w:rFonts w:ascii="宋体"/>
              </w:rPr>
            </w:pPr>
          </w:p>
        </w:tc>
      </w:tr>
    </w:tbl>
    <w:p w14:paraId="22CFD45E" w14:textId="77777777" w:rsidR="002661BA" w:rsidRDefault="00D972BC">
      <w:pPr>
        <w:ind w:hanging="360"/>
        <w:jc w:val="both"/>
      </w:pPr>
      <w:r>
        <w:rPr>
          <w:rFonts w:ascii="Arial" w:eastAsia="宋体" w:hAnsi="Arial" w:cs="Arial"/>
          <w:color w:val="000000"/>
          <w:sz w:val="16"/>
          <w:szCs w:val="16"/>
        </w:rPr>
        <w:t xml:space="preserve">(1)Gain (loss) on sale of shares in Adevinta included an $88 million gain recognized on the sale of the shares offset by a $79 million loss from the change in fair value of the shares sold through </w:t>
      </w:r>
      <w:r>
        <w:rPr>
          <w:rFonts w:ascii="Arial" w:eastAsia="宋体" w:hAnsi="Arial" w:cs="Arial"/>
          <w:color w:val="000000"/>
          <w:sz w:val="16"/>
          <w:szCs w:val="16"/>
        </w:rPr>
        <w:t>the date of sale.</w:t>
      </w:r>
    </w:p>
    <w:p w14:paraId="22CFD45F" w14:textId="77777777" w:rsidR="002661BA" w:rsidRDefault="00D972BC">
      <w:pPr>
        <w:ind w:hanging="360"/>
        <w:jc w:val="both"/>
      </w:pPr>
      <w:r>
        <w:rPr>
          <w:rFonts w:ascii="Arial" w:eastAsia="宋体" w:hAnsi="Arial" w:cs="Arial"/>
          <w:color w:val="000000"/>
          <w:sz w:val="16"/>
          <w:szCs w:val="16"/>
        </w:rPr>
        <w:t>(2)Gain (loss) on other investments primarily included: (i) in 2021, primarily a $41 million upward adjustment and a $10 million impairment recorded on equity investments without readily determinable fair values; (ii) in 2020, primarily a</w:t>
      </w:r>
      <w:r>
        <w:rPr>
          <w:rFonts w:ascii="Arial" w:eastAsia="宋体" w:hAnsi="Arial" w:cs="Arial"/>
          <w:color w:val="000000"/>
          <w:sz w:val="16"/>
          <w:szCs w:val="16"/>
        </w:rPr>
        <w:t xml:space="preserve"> $40 million impairment recorded on an investment and a $37 million gain for the receipt of proceeds that were held in escrow related to a long-term investment that was sold in 2018.</w:t>
      </w:r>
    </w:p>
    <w:p w14:paraId="22CFD460" w14:textId="77777777" w:rsidR="002661BA" w:rsidRDefault="002661BA">
      <w:pPr>
        <w:spacing w:before="60"/>
        <w:jc w:val="both"/>
      </w:pPr>
    </w:p>
    <w:p w14:paraId="22CFD461" w14:textId="77777777" w:rsidR="002661BA" w:rsidRDefault="00D972BC">
      <w:pPr>
        <w:spacing w:after="120"/>
        <w:jc w:val="both"/>
      </w:pPr>
      <w:r>
        <w:rPr>
          <w:rFonts w:ascii="Arial" w:eastAsia="宋体" w:hAnsi="Arial" w:cs="Arial"/>
          <w:color w:val="000000"/>
          <w:sz w:val="20"/>
          <w:szCs w:val="20"/>
        </w:rPr>
        <w:t>The following table presents components of interest and other, net for t</w:t>
      </w:r>
      <w:r>
        <w:rPr>
          <w:rFonts w:ascii="Arial" w:eastAsia="宋体" w:hAnsi="Arial" w:cs="Arial"/>
          <w:color w:val="000000"/>
          <w:sz w:val="20"/>
          <w:szCs w:val="20"/>
        </w:rPr>
        <w: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874"/>
        <w:gridCol w:w="38"/>
        <w:gridCol w:w="121"/>
        <w:gridCol w:w="898"/>
        <w:gridCol w:w="36"/>
        <w:gridCol w:w="36"/>
        <w:gridCol w:w="36"/>
        <w:gridCol w:w="36"/>
        <w:gridCol w:w="121"/>
        <w:gridCol w:w="899"/>
        <w:gridCol w:w="36"/>
        <w:gridCol w:w="36"/>
        <w:gridCol w:w="36"/>
        <w:gridCol w:w="36"/>
        <w:gridCol w:w="121"/>
        <w:gridCol w:w="901"/>
        <w:gridCol w:w="36"/>
      </w:tblGrid>
      <w:tr w:rsidR="002661BA" w14:paraId="22CFD474" w14:textId="77777777">
        <w:tc>
          <w:tcPr>
            <w:tcW w:w="50" w:type="pct"/>
            <w:shd w:val="clear" w:color="auto" w:fill="auto"/>
            <w:vAlign w:val="bottom"/>
          </w:tcPr>
          <w:p w14:paraId="22CFD462" w14:textId="77777777" w:rsidR="002661BA" w:rsidRDefault="002661BA">
            <w:pPr>
              <w:rPr>
                <w:rFonts w:ascii="宋体"/>
              </w:rPr>
            </w:pPr>
          </w:p>
        </w:tc>
        <w:tc>
          <w:tcPr>
            <w:tcW w:w="2978" w:type="pct"/>
            <w:shd w:val="clear" w:color="auto" w:fill="auto"/>
            <w:vAlign w:val="bottom"/>
          </w:tcPr>
          <w:p w14:paraId="22CFD463" w14:textId="77777777" w:rsidR="002661BA" w:rsidRDefault="002661BA">
            <w:pPr>
              <w:rPr>
                <w:rFonts w:ascii="宋体"/>
              </w:rPr>
            </w:pPr>
          </w:p>
        </w:tc>
        <w:tc>
          <w:tcPr>
            <w:tcW w:w="5" w:type="pct"/>
            <w:shd w:val="clear" w:color="auto" w:fill="auto"/>
            <w:vAlign w:val="bottom"/>
          </w:tcPr>
          <w:p w14:paraId="22CFD464" w14:textId="77777777" w:rsidR="002661BA" w:rsidRDefault="002661BA">
            <w:pPr>
              <w:rPr>
                <w:rFonts w:ascii="宋体"/>
              </w:rPr>
            </w:pPr>
          </w:p>
        </w:tc>
        <w:tc>
          <w:tcPr>
            <w:tcW w:w="50" w:type="pct"/>
            <w:shd w:val="clear" w:color="auto" w:fill="auto"/>
            <w:vAlign w:val="bottom"/>
          </w:tcPr>
          <w:p w14:paraId="22CFD465" w14:textId="77777777" w:rsidR="002661BA" w:rsidRDefault="002661BA">
            <w:pPr>
              <w:rPr>
                <w:rFonts w:ascii="宋体"/>
              </w:rPr>
            </w:pPr>
          </w:p>
        </w:tc>
        <w:tc>
          <w:tcPr>
            <w:tcW w:w="580" w:type="pct"/>
            <w:shd w:val="clear" w:color="auto" w:fill="auto"/>
            <w:vAlign w:val="bottom"/>
          </w:tcPr>
          <w:p w14:paraId="22CFD466" w14:textId="77777777" w:rsidR="002661BA" w:rsidRDefault="002661BA">
            <w:pPr>
              <w:rPr>
                <w:rFonts w:ascii="宋体"/>
              </w:rPr>
            </w:pPr>
          </w:p>
        </w:tc>
        <w:tc>
          <w:tcPr>
            <w:tcW w:w="5" w:type="pct"/>
            <w:shd w:val="clear" w:color="auto" w:fill="auto"/>
            <w:vAlign w:val="bottom"/>
          </w:tcPr>
          <w:p w14:paraId="22CFD467" w14:textId="77777777" w:rsidR="002661BA" w:rsidRDefault="002661BA">
            <w:pPr>
              <w:rPr>
                <w:rFonts w:ascii="宋体"/>
              </w:rPr>
            </w:pPr>
          </w:p>
        </w:tc>
        <w:tc>
          <w:tcPr>
            <w:tcW w:w="5" w:type="pct"/>
            <w:shd w:val="clear" w:color="auto" w:fill="auto"/>
            <w:vAlign w:val="bottom"/>
          </w:tcPr>
          <w:p w14:paraId="22CFD468" w14:textId="77777777" w:rsidR="002661BA" w:rsidRDefault="002661BA">
            <w:pPr>
              <w:rPr>
                <w:rFonts w:ascii="宋体"/>
              </w:rPr>
            </w:pPr>
          </w:p>
        </w:tc>
        <w:tc>
          <w:tcPr>
            <w:tcW w:w="19" w:type="pct"/>
            <w:shd w:val="clear" w:color="auto" w:fill="auto"/>
            <w:vAlign w:val="bottom"/>
          </w:tcPr>
          <w:p w14:paraId="22CFD469" w14:textId="77777777" w:rsidR="002661BA" w:rsidRDefault="002661BA">
            <w:pPr>
              <w:rPr>
                <w:rFonts w:ascii="宋体"/>
              </w:rPr>
            </w:pPr>
          </w:p>
        </w:tc>
        <w:tc>
          <w:tcPr>
            <w:tcW w:w="5" w:type="pct"/>
            <w:shd w:val="clear" w:color="auto" w:fill="auto"/>
            <w:vAlign w:val="bottom"/>
          </w:tcPr>
          <w:p w14:paraId="22CFD46A" w14:textId="77777777" w:rsidR="002661BA" w:rsidRDefault="002661BA">
            <w:pPr>
              <w:rPr>
                <w:rFonts w:ascii="宋体"/>
              </w:rPr>
            </w:pPr>
          </w:p>
        </w:tc>
        <w:tc>
          <w:tcPr>
            <w:tcW w:w="50" w:type="pct"/>
            <w:shd w:val="clear" w:color="auto" w:fill="auto"/>
            <w:vAlign w:val="bottom"/>
          </w:tcPr>
          <w:p w14:paraId="22CFD46B" w14:textId="77777777" w:rsidR="002661BA" w:rsidRDefault="002661BA">
            <w:pPr>
              <w:rPr>
                <w:rFonts w:ascii="宋体"/>
              </w:rPr>
            </w:pPr>
          </w:p>
        </w:tc>
        <w:tc>
          <w:tcPr>
            <w:tcW w:w="580" w:type="pct"/>
            <w:shd w:val="clear" w:color="auto" w:fill="auto"/>
            <w:vAlign w:val="bottom"/>
          </w:tcPr>
          <w:p w14:paraId="22CFD46C" w14:textId="77777777" w:rsidR="002661BA" w:rsidRDefault="002661BA">
            <w:pPr>
              <w:rPr>
                <w:rFonts w:ascii="宋体"/>
              </w:rPr>
            </w:pPr>
          </w:p>
        </w:tc>
        <w:tc>
          <w:tcPr>
            <w:tcW w:w="5" w:type="pct"/>
            <w:shd w:val="clear" w:color="auto" w:fill="auto"/>
            <w:vAlign w:val="bottom"/>
          </w:tcPr>
          <w:p w14:paraId="22CFD46D" w14:textId="77777777" w:rsidR="002661BA" w:rsidRDefault="002661BA">
            <w:pPr>
              <w:rPr>
                <w:rFonts w:ascii="宋体"/>
              </w:rPr>
            </w:pPr>
          </w:p>
        </w:tc>
        <w:tc>
          <w:tcPr>
            <w:tcW w:w="5" w:type="pct"/>
            <w:shd w:val="clear" w:color="auto" w:fill="auto"/>
            <w:vAlign w:val="bottom"/>
          </w:tcPr>
          <w:p w14:paraId="22CFD46E" w14:textId="77777777" w:rsidR="002661BA" w:rsidRDefault="002661BA">
            <w:pPr>
              <w:rPr>
                <w:rFonts w:ascii="宋体"/>
              </w:rPr>
            </w:pPr>
          </w:p>
        </w:tc>
        <w:tc>
          <w:tcPr>
            <w:tcW w:w="19" w:type="pct"/>
            <w:shd w:val="clear" w:color="auto" w:fill="auto"/>
            <w:vAlign w:val="bottom"/>
          </w:tcPr>
          <w:p w14:paraId="22CFD46F" w14:textId="77777777" w:rsidR="002661BA" w:rsidRDefault="002661BA">
            <w:pPr>
              <w:rPr>
                <w:rFonts w:ascii="宋体"/>
              </w:rPr>
            </w:pPr>
          </w:p>
        </w:tc>
        <w:tc>
          <w:tcPr>
            <w:tcW w:w="5" w:type="pct"/>
            <w:shd w:val="clear" w:color="auto" w:fill="auto"/>
            <w:vAlign w:val="bottom"/>
          </w:tcPr>
          <w:p w14:paraId="22CFD470" w14:textId="77777777" w:rsidR="002661BA" w:rsidRDefault="002661BA">
            <w:pPr>
              <w:rPr>
                <w:rFonts w:ascii="宋体"/>
              </w:rPr>
            </w:pPr>
          </w:p>
        </w:tc>
        <w:tc>
          <w:tcPr>
            <w:tcW w:w="50" w:type="pct"/>
            <w:shd w:val="clear" w:color="auto" w:fill="auto"/>
            <w:vAlign w:val="bottom"/>
          </w:tcPr>
          <w:p w14:paraId="22CFD471" w14:textId="77777777" w:rsidR="002661BA" w:rsidRDefault="002661BA">
            <w:pPr>
              <w:rPr>
                <w:rFonts w:ascii="宋体"/>
              </w:rPr>
            </w:pPr>
          </w:p>
        </w:tc>
        <w:tc>
          <w:tcPr>
            <w:tcW w:w="581" w:type="pct"/>
            <w:shd w:val="clear" w:color="auto" w:fill="auto"/>
            <w:vAlign w:val="bottom"/>
          </w:tcPr>
          <w:p w14:paraId="22CFD472" w14:textId="77777777" w:rsidR="002661BA" w:rsidRDefault="002661BA">
            <w:pPr>
              <w:rPr>
                <w:rFonts w:ascii="宋体"/>
              </w:rPr>
            </w:pPr>
          </w:p>
        </w:tc>
        <w:tc>
          <w:tcPr>
            <w:tcW w:w="5" w:type="pct"/>
            <w:shd w:val="clear" w:color="auto" w:fill="auto"/>
            <w:vAlign w:val="bottom"/>
          </w:tcPr>
          <w:p w14:paraId="22CFD473" w14:textId="77777777" w:rsidR="002661BA" w:rsidRDefault="002661BA">
            <w:pPr>
              <w:rPr>
                <w:rFonts w:ascii="宋体"/>
              </w:rPr>
            </w:pPr>
          </w:p>
        </w:tc>
      </w:tr>
      <w:tr w:rsidR="002661BA" w14:paraId="22CFD477" w14:textId="77777777">
        <w:tc>
          <w:tcPr>
            <w:tcW w:w="0" w:type="auto"/>
            <w:gridSpan w:val="3"/>
            <w:shd w:val="clear" w:color="auto" w:fill="auto"/>
            <w:tcMar>
              <w:top w:w="40" w:type="dxa"/>
              <w:left w:w="20" w:type="dxa"/>
              <w:bottom w:w="40" w:type="dxa"/>
              <w:right w:w="20" w:type="dxa"/>
            </w:tcMar>
            <w:vAlign w:val="bottom"/>
          </w:tcPr>
          <w:p w14:paraId="22CFD475" w14:textId="77777777" w:rsidR="002661BA" w:rsidRDefault="00D972BC">
            <w:pPr>
              <w:textAlignment w:val="bottom"/>
            </w:pPr>
            <w:r>
              <w:rPr>
                <w:rFonts w:ascii="Arial" w:eastAsia="宋体" w:hAnsi="Arial" w:cs="Arial"/>
                <w:color w:val="000000"/>
                <w:sz w:val="14"/>
                <w:szCs w:val="14"/>
              </w:rPr>
              <w:t> </w:t>
            </w:r>
          </w:p>
        </w:tc>
        <w:tc>
          <w:tcPr>
            <w:tcW w:w="0" w:type="auto"/>
            <w:gridSpan w:val="15"/>
            <w:shd w:val="clear" w:color="auto" w:fill="auto"/>
            <w:tcMar>
              <w:top w:w="40" w:type="dxa"/>
              <w:left w:w="20" w:type="dxa"/>
              <w:bottom w:w="40" w:type="dxa"/>
              <w:right w:w="20" w:type="dxa"/>
            </w:tcMar>
            <w:vAlign w:val="bottom"/>
          </w:tcPr>
          <w:p w14:paraId="22CFD476" w14:textId="77777777" w:rsidR="002661BA" w:rsidRDefault="00D972BC">
            <w:pPr>
              <w:jc w:val="center"/>
              <w:textAlignment w:val="bottom"/>
            </w:pPr>
            <w:r>
              <w:rPr>
                <w:rFonts w:ascii="Arial" w:eastAsia="宋体" w:hAnsi="Arial" w:cs="Arial"/>
                <w:b/>
                <w:bCs/>
                <w:color w:val="000000"/>
                <w:sz w:val="17"/>
                <w:szCs w:val="17"/>
              </w:rPr>
              <w:t>Year Ended December 31,</w:t>
            </w:r>
          </w:p>
        </w:tc>
      </w:tr>
      <w:tr w:rsidR="002661BA" w14:paraId="22CFD47E" w14:textId="77777777">
        <w:tc>
          <w:tcPr>
            <w:tcW w:w="0" w:type="auto"/>
            <w:gridSpan w:val="3"/>
            <w:shd w:val="clear" w:color="auto" w:fill="auto"/>
            <w:tcMar>
              <w:top w:w="40" w:type="dxa"/>
              <w:left w:w="20" w:type="dxa"/>
              <w:bottom w:w="40" w:type="dxa"/>
              <w:right w:w="20" w:type="dxa"/>
            </w:tcMar>
            <w:vAlign w:val="bottom"/>
          </w:tcPr>
          <w:p w14:paraId="22CFD478" w14:textId="77777777" w:rsidR="002661BA" w:rsidRDefault="00D972BC">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479"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D47A"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47B" w14:textId="77777777" w:rsidR="002661BA" w:rsidRDefault="00D972BC">
            <w:pPr>
              <w:jc w:val="center"/>
              <w:textAlignment w:val="bottom"/>
            </w:pPr>
            <w:r>
              <w:rPr>
                <w:rFonts w:ascii="Arial" w:eastAsia="宋体" w:hAnsi="Arial" w:cs="Arial"/>
                <w:b/>
                <w:bCs/>
                <w:color w:val="000000"/>
                <w:sz w:val="17"/>
                <w:szCs w:val="17"/>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D47C"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47D" w14:textId="77777777" w:rsidR="002661BA" w:rsidRDefault="00D972BC">
            <w:pPr>
              <w:jc w:val="center"/>
              <w:textAlignment w:val="bottom"/>
            </w:pPr>
            <w:r>
              <w:rPr>
                <w:rFonts w:ascii="Arial" w:eastAsia="宋体" w:hAnsi="Arial" w:cs="Arial"/>
                <w:b/>
                <w:bCs/>
                <w:color w:val="000000"/>
                <w:sz w:val="17"/>
                <w:szCs w:val="17"/>
              </w:rPr>
              <w:t>2019</w:t>
            </w:r>
          </w:p>
        </w:tc>
      </w:tr>
      <w:tr w:rsidR="002661BA" w14:paraId="22CFD48B" w14:textId="77777777">
        <w:tc>
          <w:tcPr>
            <w:tcW w:w="0" w:type="auto"/>
            <w:gridSpan w:val="3"/>
            <w:shd w:val="clear" w:color="auto" w:fill="E2E2E2"/>
            <w:tcMar>
              <w:top w:w="40" w:type="dxa"/>
              <w:left w:w="20" w:type="dxa"/>
              <w:bottom w:w="40" w:type="dxa"/>
              <w:right w:w="20" w:type="dxa"/>
            </w:tcMar>
            <w:vAlign w:val="bottom"/>
          </w:tcPr>
          <w:p w14:paraId="22CFD47F" w14:textId="77777777" w:rsidR="002661BA" w:rsidRDefault="00D972BC">
            <w:pPr>
              <w:textAlignment w:val="bottom"/>
            </w:pPr>
            <w:r>
              <w:rPr>
                <w:rFonts w:ascii="Arial" w:eastAsia="宋体" w:hAnsi="Arial" w:cs="Arial"/>
                <w:color w:val="000000"/>
                <w:sz w:val="18"/>
                <w:szCs w:val="18"/>
              </w:rPr>
              <w:t>Interest income</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D48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481" w14:textId="77777777" w:rsidR="002661BA" w:rsidRDefault="00D972BC">
            <w:pPr>
              <w:jc w:val="right"/>
              <w:textAlignment w:val="bottom"/>
            </w:pPr>
            <w:r>
              <w:rPr>
                <w:rFonts w:ascii="Arial" w:eastAsia="宋体" w:hAnsi="Arial" w:cs="Arial"/>
                <w:color w:val="000000"/>
                <w:sz w:val="18"/>
                <w:szCs w:val="18"/>
              </w:rPr>
              <w:t>19 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48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483"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48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485" w14:textId="77777777" w:rsidR="002661BA" w:rsidRDefault="00D972BC">
            <w:pPr>
              <w:jc w:val="right"/>
              <w:textAlignment w:val="bottom"/>
            </w:pPr>
            <w:r>
              <w:rPr>
                <w:rFonts w:ascii="Arial" w:eastAsia="宋体" w:hAnsi="Arial" w:cs="Arial"/>
                <w:color w:val="000000"/>
                <w:sz w:val="18"/>
                <w:szCs w:val="18"/>
              </w:rPr>
              <w:t>38 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486"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487"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48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489" w14:textId="77777777" w:rsidR="002661BA" w:rsidRDefault="00D972BC">
            <w:pPr>
              <w:jc w:val="right"/>
              <w:textAlignment w:val="bottom"/>
            </w:pPr>
            <w:r>
              <w:rPr>
                <w:rFonts w:ascii="Arial" w:eastAsia="宋体" w:hAnsi="Arial" w:cs="Arial"/>
                <w:color w:val="000000"/>
                <w:sz w:val="18"/>
                <w:szCs w:val="18"/>
              </w:rPr>
              <w:t>112 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48A" w14:textId="77777777" w:rsidR="002661BA" w:rsidRDefault="002661BA">
            <w:pPr>
              <w:jc w:val="right"/>
              <w:rPr>
                <w:rFonts w:ascii="宋体"/>
              </w:rPr>
            </w:pPr>
          </w:p>
        </w:tc>
      </w:tr>
      <w:tr w:rsidR="002661BA" w14:paraId="22CFD495" w14:textId="77777777">
        <w:tc>
          <w:tcPr>
            <w:tcW w:w="0" w:type="auto"/>
            <w:gridSpan w:val="3"/>
            <w:shd w:val="clear" w:color="auto" w:fill="FFFFFF"/>
            <w:tcMar>
              <w:top w:w="40" w:type="dxa"/>
              <w:left w:w="20" w:type="dxa"/>
              <w:bottom w:w="40" w:type="dxa"/>
              <w:right w:w="20" w:type="dxa"/>
            </w:tcMar>
            <w:vAlign w:val="bottom"/>
          </w:tcPr>
          <w:p w14:paraId="22CFD48C" w14:textId="77777777" w:rsidR="002661BA" w:rsidRDefault="00D972BC">
            <w:pPr>
              <w:textAlignment w:val="bottom"/>
            </w:pPr>
            <w:r>
              <w:rPr>
                <w:rFonts w:ascii="Arial" w:eastAsia="宋体" w:hAnsi="Arial" w:cs="Arial"/>
                <w:color w:val="000000"/>
                <w:sz w:val="18"/>
                <w:szCs w:val="18"/>
              </w:rPr>
              <w:t>Interest expense</w:t>
            </w:r>
          </w:p>
        </w:tc>
        <w:tc>
          <w:tcPr>
            <w:tcW w:w="0" w:type="auto"/>
            <w:gridSpan w:val="2"/>
            <w:shd w:val="clear" w:color="auto" w:fill="FFFFFF"/>
            <w:tcMar>
              <w:top w:w="40" w:type="dxa"/>
              <w:left w:w="20" w:type="dxa"/>
              <w:bottom w:w="40" w:type="dxa"/>
              <w:right w:w="0" w:type="dxa"/>
            </w:tcMar>
            <w:vAlign w:val="bottom"/>
          </w:tcPr>
          <w:p w14:paraId="22CFD48D" w14:textId="77777777" w:rsidR="002661BA" w:rsidRDefault="00D972BC">
            <w:pPr>
              <w:jc w:val="right"/>
              <w:textAlignment w:val="bottom"/>
            </w:pPr>
            <w:r>
              <w:rPr>
                <w:rFonts w:ascii="Arial" w:eastAsia="宋体" w:hAnsi="Arial" w:cs="Arial"/>
                <w:color w:val="000000"/>
                <w:sz w:val="18"/>
                <w:szCs w:val="18"/>
              </w:rPr>
              <w:t>(269)</w:t>
            </w:r>
          </w:p>
        </w:tc>
        <w:tc>
          <w:tcPr>
            <w:tcW w:w="0" w:type="auto"/>
            <w:shd w:val="clear" w:color="auto" w:fill="FFFFFF"/>
            <w:tcMar>
              <w:top w:w="40" w:type="dxa"/>
              <w:left w:w="0" w:type="dxa"/>
              <w:bottom w:w="40" w:type="dxa"/>
              <w:right w:w="20" w:type="dxa"/>
            </w:tcMar>
            <w:vAlign w:val="bottom"/>
          </w:tcPr>
          <w:p w14:paraId="22CFD48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48F"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490" w14:textId="77777777" w:rsidR="002661BA" w:rsidRDefault="00D972BC">
            <w:pPr>
              <w:jc w:val="right"/>
              <w:textAlignment w:val="bottom"/>
            </w:pPr>
            <w:r>
              <w:rPr>
                <w:rFonts w:ascii="Arial" w:eastAsia="宋体" w:hAnsi="Arial" w:cs="Arial"/>
                <w:color w:val="000000"/>
                <w:sz w:val="18"/>
                <w:szCs w:val="18"/>
              </w:rPr>
              <w:t>(304)</w:t>
            </w:r>
          </w:p>
        </w:tc>
        <w:tc>
          <w:tcPr>
            <w:tcW w:w="0" w:type="auto"/>
            <w:shd w:val="clear" w:color="auto" w:fill="FFFFFF"/>
            <w:tcMar>
              <w:top w:w="40" w:type="dxa"/>
              <w:left w:w="0" w:type="dxa"/>
              <w:bottom w:w="40" w:type="dxa"/>
              <w:right w:w="20" w:type="dxa"/>
            </w:tcMar>
            <w:vAlign w:val="bottom"/>
          </w:tcPr>
          <w:p w14:paraId="22CFD49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492"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493" w14:textId="77777777" w:rsidR="002661BA" w:rsidRDefault="00D972BC">
            <w:pPr>
              <w:jc w:val="right"/>
              <w:textAlignment w:val="bottom"/>
            </w:pPr>
            <w:r>
              <w:rPr>
                <w:rFonts w:ascii="Arial" w:eastAsia="宋体" w:hAnsi="Arial" w:cs="Arial"/>
                <w:color w:val="000000"/>
                <w:sz w:val="18"/>
                <w:szCs w:val="18"/>
              </w:rPr>
              <w:t>(311)</w:t>
            </w:r>
          </w:p>
        </w:tc>
        <w:tc>
          <w:tcPr>
            <w:tcW w:w="0" w:type="auto"/>
            <w:shd w:val="clear" w:color="auto" w:fill="FFFFFF"/>
            <w:tcMar>
              <w:top w:w="40" w:type="dxa"/>
              <w:left w:w="0" w:type="dxa"/>
              <w:bottom w:w="40" w:type="dxa"/>
              <w:right w:w="20" w:type="dxa"/>
            </w:tcMar>
            <w:vAlign w:val="bottom"/>
          </w:tcPr>
          <w:p w14:paraId="22CFD494" w14:textId="77777777" w:rsidR="002661BA" w:rsidRDefault="002661BA">
            <w:pPr>
              <w:jc w:val="right"/>
              <w:rPr>
                <w:rFonts w:ascii="宋体"/>
              </w:rPr>
            </w:pPr>
          </w:p>
        </w:tc>
      </w:tr>
      <w:tr w:rsidR="002661BA" w14:paraId="22CFD49F" w14:textId="77777777">
        <w:tc>
          <w:tcPr>
            <w:tcW w:w="0" w:type="auto"/>
            <w:gridSpan w:val="3"/>
            <w:shd w:val="clear" w:color="auto" w:fill="E2E2E2"/>
            <w:tcMar>
              <w:top w:w="40" w:type="dxa"/>
              <w:left w:w="20" w:type="dxa"/>
              <w:bottom w:w="40" w:type="dxa"/>
              <w:right w:w="20" w:type="dxa"/>
            </w:tcMar>
            <w:vAlign w:val="bottom"/>
          </w:tcPr>
          <w:p w14:paraId="22CFD496" w14:textId="77777777" w:rsidR="002661BA" w:rsidRDefault="00D972BC">
            <w:pPr>
              <w:textAlignment w:val="bottom"/>
            </w:pPr>
            <w:r>
              <w:rPr>
                <w:rFonts w:ascii="Arial" w:eastAsia="宋体" w:hAnsi="Arial" w:cs="Arial"/>
                <w:color w:val="000000"/>
                <w:sz w:val="18"/>
                <w:szCs w:val="18"/>
              </w:rPr>
              <w:t>Foreign exchange and other</w:t>
            </w:r>
          </w:p>
        </w:tc>
        <w:tc>
          <w:tcPr>
            <w:tcW w:w="0" w:type="auto"/>
            <w:gridSpan w:val="2"/>
            <w:shd w:val="clear" w:color="auto" w:fill="E2E2E2"/>
            <w:tcMar>
              <w:top w:w="40" w:type="dxa"/>
              <w:left w:w="20" w:type="dxa"/>
              <w:bottom w:w="40" w:type="dxa"/>
              <w:right w:w="0" w:type="dxa"/>
            </w:tcMar>
            <w:vAlign w:val="bottom"/>
          </w:tcPr>
          <w:p w14:paraId="22CFD497" w14:textId="77777777" w:rsidR="002661BA" w:rsidRDefault="00D972BC">
            <w:pPr>
              <w:jc w:val="right"/>
              <w:textAlignment w:val="bottom"/>
            </w:pPr>
            <w:r>
              <w:rPr>
                <w:rFonts w:ascii="Arial" w:eastAsia="宋体" w:hAnsi="Arial" w:cs="Arial"/>
                <w:color w:val="000000"/>
                <w:sz w:val="18"/>
                <w:szCs w:val="18"/>
              </w:rPr>
              <w:t>90 </w:t>
            </w:r>
          </w:p>
        </w:tc>
        <w:tc>
          <w:tcPr>
            <w:tcW w:w="0" w:type="auto"/>
            <w:shd w:val="clear" w:color="auto" w:fill="E2E2E2"/>
            <w:tcMar>
              <w:top w:w="40" w:type="dxa"/>
              <w:left w:w="0" w:type="dxa"/>
              <w:bottom w:w="40" w:type="dxa"/>
              <w:right w:w="20" w:type="dxa"/>
            </w:tcMar>
            <w:vAlign w:val="bottom"/>
          </w:tcPr>
          <w:p w14:paraId="22CFD498"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499"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49A" w14:textId="77777777" w:rsidR="002661BA" w:rsidRDefault="00D972BC">
            <w:pPr>
              <w:jc w:val="right"/>
              <w:textAlignment w:val="bottom"/>
            </w:pPr>
            <w:r>
              <w:rPr>
                <w:rFonts w:ascii="Arial" w:eastAsia="宋体" w:hAnsi="Arial" w:cs="Arial"/>
                <w:color w:val="000000"/>
                <w:sz w:val="18"/>
                <w:szCs w:val="18"/>
              </w:rPr>
              <w:t>(32)</w:t>
            </w:r>
          </w:p>
        </w:tc>
        <w:tc>
          <w:tcPr>
            <w:tcW w:w="0" w:type="auto"/>
            <w:shd w:val="clear" w:color="auto" w:fill="E2E2E2"/>
            <w:tcMar>
              <w:top w:w="40" w:type="dxa"/>
              <w:left w:w="0" w:type="dxa"/>
              <w:bottom w:w="40" w:type="dxa"/>
              <w:right w:w="20" w:type="dxa"/>
            </w:tcMar>
            <w:vAlign w:val="bottom"/>
          </w:tcPr>
          <w:p w14:paraId="22CFD49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49C"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49D" w14:textId="77777777" w:rsidR="002661BA" w:rsidRDefault="00D972BC">
            <w:pPr>
              <w:jc w:val="right"/>
              <w:textAlignment w:val="bottom"/>
            </w:pPr>
            <w:r>
              <w:rPr>
                <w:rFonts w:ascii="Arial" w:eastAsia="宋体" w:hAnsi="Arial" w:cs="Arial"/>
                <w:color w:val="000000"/>
                <w:sz w:val="18"/>
                <w:szCs w:val="18"/>
              </w:rPr>
              <w:t>(52)</w:t>
            </w:r>
          </w:p>
        </w:tc>
        <w:tc>
          <w:tcPr>
            <w:tcW w:w="0" w:type="auto"/>
            <w:shd w:val="clear" w:color="auto" w:fill="E2E2E2"/>
            <w:tcMar>
              <w:top w:w="40" w:type="dxa"/>
              <w:left w:w="0" w:type="dxa"/>
              <w:bottom w:w="40" w:type="dxa"/>
              <w:right w:w="20" w:type="dxa"/>
            </w:tcMar>
            <w:vAlign w:val="bottom"/>
          </w:tcPr>
          <w:p w14:paraId="22CFD49E" w14:textId="77777777" w:rsidR="002661BA" w:rsidRDefault="002661BA">
            <w:pPr>
              <w:jc w:val="right"/>
              <w:rPr>
                <w:rFonts w:ascii="宋体"/>
              </w:rPr>
            </w:pPr>
          </w:p>
        </w:tc>
      </w:tr>
      <w:tr w:rsidR="002661BA" w14:paraId="22CFD4AC" w14:textId="77777777">
        <w:tc>
          <w:tcPr>
            <w:tcW w:w="0" w:type="auto"/>
            <w:gridSpan w:val="3"/>
            <w:shd w:val="clear" w:color="auto" w:fill="FFFFFF"/>
            <w:tcMar>
              <w:top w:w="40" w:type="dxa"/>
              <w:left w:w="245" w:type="dxa"/>
              <w:bottom w:w="40" w:type="dxa"/>
              <w:right w:w="20" w:type="dxa"/>
            </w:tcMar>
            <w:vAlign w:val="bottom"/>
          </w:tcPr>
          <w:p w14:paraId="22CFD4A0" w14:textId="77777777" w:rsidR="002661BA" w:rsidRDefault="00D972BC">
            <w:pPr>
              <w:textAlignment w:val="bottom"/>
            </w:pPr>
            <w:r>
              <w:rPr>
                <w:rFonts w:ascii="Arial" w:eastAsia="宋体" w:hAnsi="Arial" w:cs="Arial"/>
                <w:color w:val="000000"/>
                <w:sz w:val="18"/>
                <w:szCs w:val="18"/>
              </w:rPr>
              <w:t>Total interest and other,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D4A1"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D4A2" w14:textId="77777777" w:rsidR="002661BA" w:rsidRDefault="00D972BC">
            <w:pPr>
              <w:jc w:val="right"/>
              <w:textAlignment w:val="bottom"/>
            </w:pPr>
            <w:r>
              <w:rPr>
                <w:rFonts w:ascii="Arial" w:eastAsia="宋体" w:hAnsi="Arial" w:cs="Arial"/>
                <w:color w:val="000000"/>
                <w:sz w:val="18"/>
                <w:szCs w:val="18"/>
              </w:rPr>
              <w:t>(160)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D4A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4A4"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D4A5"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D4A6" w14:textId="77777777" w:rsidR="002661BA" w:rsidRDefault="00D972BC">
            <w:pPr>
              <w:jc w:val="right"/>
              <w:textAlignment w:val="bottom"/>
            </w:pPr>
            <w:r>
              <w:rPr>
                <w:rFonts w:ascii="Arial" w:eastAsia="宋体" w:hAnsi="Arial" w:cs="Arial"/>
                <w:color w:val="000000"/>
                <w:sz w:val="18"/>
                <w:szCs w:val="18"/>
              </w:rPr>
              <w:t>(298)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D4A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4A8"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D4A9"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D4AA" w14:textId="77777777" w:rsidR="002661BA" w:rsidRDefault="00D972BC">
            <w:pPr>
              <w:jc w:val="right"/>
              <w:textAlignment w:val="bottom"/>
            </w:pPr>
            <w:r>
              <w:rPr>
                <w:rFonts w:ascii="Arial" w:eastAsia="宋体" w:hAnsi="Arial" w:cs="Arial"/>
                <w:color w:val="000000"/>
                <w:sz w:val="18"/>
                <w:szCs w:val="18"/>
              </w:rPr>
              <w:t>(251)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D4AB" w14:textId="77777777" w:rsidR="002661BA" w:rsidRDefault="002661BA">
            <w:pPr>
              <w:jc w:val="right"/>
              <w:rPr>
                <w:rFonts w:ascii="宋体"/>
              </w:rPr>
            </w:pPr>
          </w:p>
        </w:tc>
      </w:tr>
    </w:tbl>
    <w:p w14:paraId="22CFD4AD" w14:textId="77777777" w:rsidR="002661BA" w:rsidRDefault="002661BA">
      <w:pPr>
        <w:jc w:val="both"/>
      </w:pPr>
    </w:p>
    <w:p w14:paraId="22CFD4AE" w14:textId="77777777" w:rsidR="002661BA" w:rsidRDefault="002661BA">
      <w:pPr>
        <w:jc w:val="both"/>
      </w:pPr>
    </w:p>
    <w:p w14:paraId="22CFD4AF" w14:textId="77777777" w:rsidR="002661BA" w:rsidRDefault="002661BA">
      <w:pPr>
        <w:jc w:val="both"/>
      </w:pPr>
    </w:p>
    <w:p w14:paraId="22CFD4B0" w14:textId="77777777" w:rsidR="002661BA" w:rsidRDefault="00D972BC">
      <w:pPr>
        <w:jc w:val="center"/>
      </w:pPr>
      <w:r>
        <w:rPr>
          <w:rFonts w:ascii="Arial" w:eastAsia="宋体" w:hAnsi="Arial" w:cs="Arial"/>
          <w:color w:val="000000"/>
          <w:sz w:val="18"/>
          <w:szCs w:val="18"/>
        </w:rPr>
        <w:t>111</w:t>
      </w:r>
    </w:p>
    <w:p w14:paraId="22CFD4B1" w14:textId="77777777" w:rsidR="002661BA" w:rsidRDefault="00D972BC">
      <w:r>
        <w:pict w14:anchorId="22CFE520">
          <v:rect id="_x0000_i1135" style="width:415.3pt;height:1.5pt" o:hralign="center" o:hrstd="t" o:hr="t" fillcolor="#a0a0a0" stroked="f"/>
        </w:pict>
      </w:r>
    </w:p>
    <w:p w14:paraId="22CFD4B2" w14:textId="77777777" w:rsidR="002661BA" w:rsidRDefault="00D972BC">
      <w:hyperlink r:id="rId146" w:anchor="id0d7a71b05ce452ea9fdb54f3cb359c7_7" w:history="1">
        <w:r>
          <w:rPr>
            <w:rStyle w:val="a5"/>
            <w:rFonts w:ascii="Arial" w:eastAsia="宋体" w:hAnsi="Arial" w:cs="Arial"/>
            <w:sz w:val="18"/>
            <w:szCs w:val="18"/>
          </w:rPr>
          <w:t>Table of Contents</w:t>
        </w:r>
      </w:hyperlink>
    </w:p>
    <w:p w14:paraId="22CFD4B3" w14:textId="77777777" w:rsidR="002661BA" w:rsidRDefault="00D972BC">
      <w:pPr>
        <w:jc w:val="center"/>
      </w:pPr>
      <w:r>
        <w:rPr>
          <w:rFonts w:ascii="Arial" w:eastAsia="宋体" w:hAnsi="Arial" w:cs="Arial"/>
          <w:b/>
          <w:bCs/>
          <w:color w:val="000000"/>
          <w:sz w:val="20"/>
          <w:szCs w:val="20"/>
        </w:rPr>
        <w:t>eBay Inc.</w:t>
      </w:r>
    </w:p>
    <w:p w14:paraId="22CFD4B4" w14:textId="77777777" w:rsidR="002661BA" w:rsidRDefault="00D972BC">
      <w:pPr>
        <w:spacing w:before="80"/>
        <w:jc w:val="center"/>
      </w:pPr>
      <w:r>
        <w:rPr>
          <w:rFonts w:ascii="Arial" w:eastAsia="宋体" w:hAnsi="Arial" w:cs="Arial"/>
          <w:b/>
          <w:bCs/>
          <w:color w:val="000000"/>
          <w:sz w:val="20"/>
          <w:szCs w:val="20"/>
        </w:rPr>
        <w:t>NOTES T</w:t>
      </w:r>
      <w:r>
        <w:rPr>
          <w:rFonts w:ascii="Arial" w:eastAsia="宋体" w:hAnsi="Arial" w:cs="Arial"/>
          <w:b/>
          <w:bCs/>
          <w:color w:val="000000"/>
          <w:sz w:val="20"/>
          <w:szCs w:val="20"/>
        </w:rPr>
        <w:t>O CONSOLIDATED FINANCIAL STATEMENTS—(Continued)</w:t>
      </w:r>
    </w:p>
    <w:p w14:paraId="22CFD4B5" w14:textId="77777777" w:rsidR="002661BA" w:rsidRDefault="00D972BC">
      <w:pPr>
        <w:jc w:val="both"/>
      </w:pPr>
      <w:r>
        <w:rPr>
          <w:rFonts w:ascii="Arial" w:eastAsia="宋体" w:hAnsi="Arial" w:cs="Arial"/>
          <w:b/>
          <w:bCs/>
          <w:color w:val="000000"/>
          <w:sz w:val="20"/>
          <w:szCs w:val="20"/>
        </w:rPr>
        <w:t>Note 17 — Accumulated Other Comprehensive Income</w:t>
      </w:r>
    </w:p>
    <w:p w14:paraId="22CFD4B6" w14:textId="77777777" w:rsidR="002661BA" w:rsidRDefault="002661BA">
      <w:pPr>
        <w:ind w:firstLine="540"/>
        <w:jc w:val="both"/>
      </w:pPr>
    </w:p>
    <w:p w14:paraId="22CFD4B7" w14:textId="77777777" w:rsidR="002661BA" w:rsidRDefault="00D972BC">
      <w:pPr>
        <w:spacing w:after="120"/>
        <w:ind w:firstLine="540"/>
        <w:jc w:val="both"/>
      </w:pPr>
      <w:r>
        <w:rPr>
          <w:rFonts w:ascii="Arial" w:eastAsia="宋体" w:hAnsi="Arial" w:cs="Arial"/>
          <w:color w:val="000000"/>
          <w:sz w:val="20"/>
          <w:szCs w:val="20"/>
        </w:rPr>
        <w:t>The following tables summarize the changes in AOCI for the periods indicated (in millions):</w:t>
      </w:r>
    </w:p>
    <w:tbl>
      <w:tblPr>
        <w:tblW w:w="4993" w:type="pct"/>
        <w:tblCellMar>
          <w:top w:w="15" w:type="dxa"/>
          <w:left w:w="15" w:type="dxa"/>
          <w:bottom w:w="15" w:type="dxa"/>
          <w:right w:w="15" w:type="dxa"/>
        </w:tblCellMar>
        <w:tblLook w:val="04A0" w:firstRow="1" w:lastRow="0" w:firstColumn="1" w:lastColumn="0" w:noHBand="0" w:noVBand="1"/>
      </w:tblPr>
      <w:tblGrid>
        <w:gridCol w:w="44"/>
        <w:gridCol w:w="2668"/>
        <w:gridCol w:w="37"/>
        <w:gridCol w:w="122"/>
        <w:gridCol w:w="929"/>
        <w:gridCol w:w="36"/>
        <w:gridCol w:w="36"/>
        <w:gridCol w:w="36"/>
        <w:gridCol w:w="36"/>
        <w:gridCol w:w="122"/>
        <w:gridCol w:w="951"/>
        <w:gridCol w:w="36"/>
        <w:gridCol w:w="36"/>
        <w:gridCol w:w="36"/>
        <w:gridCol w:w="36"/>
        <w:gridCol w:w="122"/>
        <w:gridCol w:w="864"/>
        <w:gridCol w:w="36"/>
        <w:gridCol w:w="36"/>
        <w:gridCol w:w="36"/>
        <w:gridCol w:w="36"/>
        <w:gridCol w:w="122"/>
        <w:gridCol w:w="866"/>
        <w:gridCol w:w="36"/>
        <w:gridCol w:w="36"/>
        <w:gridCol w:w="36"/>
        <w:gridCol w:w="36"/>
        <w:gridCol w:w="121"/>
        <w:gridCol w:w="744"/>
        <w:gridCol w:w="36"/>
      </w:tblGrid>
      <w:tr w:rsidR="002661BA" w14:paraId="22CFD4D6" w14:textId="77777777">
        <w:tc>
          <w:tcPr>
            <w:tcW w:w="50" w:type="pct"/>
            <w:shd w:val="clear" w:color="auto" w:fill="auto"/>
            <w:vAlign w:val="bottom"/>
          </w:tcPr>
          <w:p w14:paraId="22CFD4B8" w14:textId="77777777" w:rsidR="002661BA" w:rsidRDefault="002661BA">
            <w:pPr>
              <w:rPr>
                <w:rFonts w:ascii="宋体"/>
              </w:rPr>
            </w:pPr>
          </w:p>
        </w:tc>
        <w:tc>
          <w:tcPr>
            <w:tcW w:w="1701" w:type="pct"/>
            <w:shd w:val="clear" w:color="auto" w:fill="auto"/>
            <w:vAlign w:val="bottom"/>
          </w:tcPr>
          <w:p w14:paraId="22CFD4B9" w14:textId="77777777" w:rsidR="002661BA" w:rsidRDefault="002661BA">
            <w:pPr>
              <w:rPr>
                <w:rFonts w:ascii="宋体"/>
              </w:rPr>
            </w:pPr>
          </w:p>
        </w:tc>
        <w:tc>
          <w:tcPr>
            <w:tcW w:w="5" w:type="pct"/>
            <w:shd w:val="clear" w:color="auto" w:fill="auto"/>
            <w:vAlign w:val="bottom"/>
          </w:tcPr>
          <w:p w14:paraId="22CFD4BA" w14:textId="77777777" w:rsidR="002661BA" w:rsidRDefault="002661BA">
            <w:pPr>
              <w:rPr>
                <w:rFonts w:ascii="宋体"/>
              </w:rPr>
            </w:pPr>
          </w:p>
        </w:tc>
        <w:tc>
          <w:tcPr>
            <w:tcW w:w="50" w:type="pct"/>
            <w:shd w:val="clear" w:color="auto" w:fill="auto"/>
            <w:vAlign w:val="bottom"/>
          </w:tcPr>
          <w:p w14:paraId="22CFD4BB" w14:textId="77777777" w:rsidR="002661BA" w:rsidRDefault="002661BA">
            <w:pPr>
              <w:rPr>
                <w:rFonts w:ascii="宋体"/>
              </w:rPr>
            </w:pPr>
          </w:p>
        </w:tc>
        <w:tc>
          <w:tcPr>
            <w:tcW w:w="611" w:type="pct"/>
            <w:shd w:val="clear" w:color="auto" w:fill="auto"/>
            <w:vAlign w:val="bottom"/>
          </w:tcPr>
          <w:p w14:paraId="22CFD4BC" w14:textId="77777777" w:rsidR="002661BA" w:rsidRDefault="002661BA">
            <w:pPr>
              <w:rPr>
                <w:rFonts w:ascii="宋体"/>
              </w:rPr>
            </w:pPr>
          </w:p>
        </w:tc>
        <w:tc>
          <w:tcPr>
            <w:tcW w:w="5" w:type="pct"/>
            <w:shd w:val="clear" w:color="auto" w:fill="auto"/>
            <w:vAlign w:val="bottom"/>
          </w:tcPr>
          <w:p w14:paraId="22CFD4BD" w14:textId="77777777" w:rsidR="002661BA" w:rsidRDefault="002661BA">
            <w:pPr>
              <w:rPr>
                <w:rFonts w:ascii="宋体"/>
              </w:rPr>
            </w:pPr>
          </w:p>
        </w:tc>
        <w:tc>
          <w:tcPr>
            <w:tcW w:w="5" w:type="pct"/>
            <w:shd w:val="clear" w:color="auto" w:fill="auto"/>
            <w:vAlign w:val="bottom"/>
          </w:tcPr>
          <w:p w14:paraId="22CFD4BE" w14:textId="77777777" w:rsidR="002661BA" w:rsidRDefault="002661BA">
            <w:pPr>
              <w:rPr>
                <w:rFonts w:ascii="宋体"/>
              </w:rPr>
            </w:pPr>
          </w:p>
        </w:tc>
        <w:tc>
          <w:tcPr>
            <w:tcW w:w="19" w:type="pct"/>
            <w:shd w:val="clear" w:color="auto" w:fill="auto"/>
            <w:vAlign w:val="bottom"/>
          </w:tcPr>
          <w:p w14:paraId="22CFD4BF" w14:textId="77777777" w:rsidR="002661BA" w:rsidRDefault="002661BA">
            <w:pPr>
              <w:rPr>
                <w:rFonts w:ascii="宋体"/>
              </w:rPr>
            </w:pPr>
          </w:p>
        </w:tc>
        <w:tc>
          <w:tcPr>
            <w:tcW w:w="5" w:type="pct"/>
            <w:shd w:val="clear" w:color="auto" w:fill="auto"/>
            <w:vAlign w:val="bottom"/>
          </w:tcPr>
          <w:p w14:paraId="22CFD4C0" w14:textId="77777777" w:rsidR="002661BA" w:rsidRDefault="002661BA">
            <w:pPr>
              <w:rPr>
                <w:rFonts w:ascii="宋体"/>
              </w:rPr>
            </w:pPr>
          </w:p>
        </w:tc>
        <w:tc>
          <w:tcPr>
            <w:tcW w:w="50" w:type="pct"/>
            <w:shd w:val="clear" w:color="auto" w:fill="auto"/>
            <w:vAlign w:val="bottom"/>
          </w:tcPr>
          <w:p w14:paraId="22CFD4C1" w14:textId="77777777" w:rsidR="002661BA" w:rsidRDefault="002661BA">
            <w:pPr>
              <w:rPr>
                <w:rFonts w:ascii="宋体"/>
              </w:rPr>
            </w:pPr>
          </w:p>
        </w:tc>
        <w:tc>
          <w:tcPr>
            <w:tcW w:w="640" w:type="pct"/>
            <w:shd w:val="clear" w:color="auto" w:fill="auto"/>
            <w:vAlign w:val="bottom"/>
          </w:tcPr>
          <w:p w14:paraId="22CFD4C2" w14:textId="77777777" w:rsidR="002661BA" w:rsidRDefault="002661BA">
            <w:pPr>
              <w:rPr>
                <w:rFonts w:ascii="宋体"/>
              </w:rPr>
            </w:pPr>
          </w:p>
        </w:tc>
        <w:tc>
          <w:tcPr>
            <w:tcW w:w="5" w:type="pct"/>
            <w:shd w:val="clear" w:color="auto" w:fill="auto"/>
            <w:vAlign w:val="bottom"/>
          </w:tcPr>
          <w:p w14:paraId="22CFD4C3" w14:textId="77777777" w:rsidR="002661BA" w:rsidRDefault="002661BA">
            <w:pPr>
              <w:rPr>
                <w:rFonts w:ascii="宋体"/>
              </w:rPr>
            </w:pPr>
          </w:p>
        </w:tc>
        <w:tc>
          <w:tcPr>
            <w:tcW w:w="5" w:type="pct"/>
            <w:shd w:val="clear" w:color="auto" w:fill="auto"/>
            <w:vAlign w:val="bottom"/>
          </w:tcPr>
          <w:p w14:paraId="22CFD4C4" w14:textId="77777777" w:rsidR="002661BA" w:rsidRDefault="002661BA">
            <w:pPr>
              <w:rPr>
                <w:rFonts w:ascii="宋体"/>
              </w:rPr>
            </w:pPr>
          </w:p>
        </w:tc>
        <w:tc>
          <w:tcPr>
            <w:tcW w:w="19" w:type="pct"/>
            <w:shd w:val="clear" w:color="auto" w:fill="auto"/>
            <w:vAlign w:val="bottom"/>
          </w:tcPr>
          <w:p w14:paraId="22CFD4C5" w14:textId="77777777" w:rsidR="002661BA" w:rsidRDefault="002661BA">
            <w:pPr>
              <w:rPr>
                <w:rFonts w:ascii="宋体"/>
              </w:rPr>
            </w:pPr>
          </w:p>
        </w:tc>
        <w:tc>
          <w:tcPr>
            <w:tcW w:w="5" w:type="pct"/>
            <w:shd w:val="clear" w:color="auto" w:fill="auto"/>
            <w:vAlign w:val="bottom"/>
          </w:tcPr>
          <w:p w14:paraId="22CFD4C6" w14:textId="77777777" w:rsidR="002661BA" w:rsidRDefault="002661BA">
            <w:pPr>
              <w:rPr>
                <w:rFonts w:ascii="宋体"/>
              </w:rPr>
            </w:pPr>
          </w:p>
        </w:tc>
        <w:tc>
          <w:tcPr>
            <w:tcW w:w="50" w:type="pct"/>
            <w:shd w:val="clear" w:color="auto" w:fill="auto"/>
            <w:vAlign w:val="bottom"/>
          </w:tcPr>
          <w:p w14:paraId="22CFD4C7" w14:textId="77777777" w:rsidR="002661BA" w:rsidRDefault="002661BA">
            <w:pPr>
              <w:rPr>
                <w:rFonts w:ascii="宋体"/>
              </w:rPr>
            </w:pPr>
          </w:p>
        </w:tc>
        <w:tc>
          <w:tcPr>
            <w:tcW w:w="508" w:type="pct"/>
            <w:shd w:val="clear" w:color="auto" w:fill="auto"/>
            <w:vAlign w:val="bottom"/>
          </w:tcPr>
          <w:p w14:paraId="22CFD4C8" w14:textId="77777777" w:rsidR="002661BA" w:rsidRDefault="002661BA">
            <w:pPr>
              <w:rPr>
                <w:rFonts w:ascii="宋体"/>
              </w:rPr>
            </w:pPr>
          </w:p>
        </w:tc>
        <w:tc>
          <w:tcPr>
            <w:tcW w:w="5" w:type="pct"/>
            <w:shd w:val="clear" w:color="auto" w:fill="auto"/>
            <w:vAlign w:val="bottom"/>
          </w:tcPr>
          <w:p w14:paraId="22CFD4C9" w14:textId="77777777" w:rsidR="002661BA" w:rsidRDefault="002661BA">
            <w:pPr>
              <w:rPr>
                <w:rFonts w:ascii="宋体"/>
              </w:rPr>
            </w:pPr>
          </w:p>
        </w:tc>
        <w:tc>
          <w:tcPr>
            <w:tcW w:w="5" w:type="pct"/>
            <w:shd w:val="clear" w:color="auto" w:fill="auto"/>
            <w:vAlign w:val="bottom"/>
          </w:tcPr>
          <w:p w14:paraId="22CFD4CA" w14:textId="77777777" w:rsidR="002661BA" w:rsidRDefault="002661BA">
            <w:pPr>
              <w:rPr>
                <w:rFonts w:ascii="宋体"/>
              </w:rPr>
            </w:pPr>
          </w:p>
        </w:tc>
        <w:tc>
          <w:tcPr>
            <w:tcW w:w="19" w:type="pct"/>
            <w:shd w:val="clear" w:color="auto" w:fill="auto"/>
            <w:vAlign w:val="bottom"/>
          </w:tcPr>
          <w:p w14:paraId="22CFD4CB" w14:textId="77777777" w:rsidR="002661BA" w:rsidRDefault="002661BA">
            <w:pPr>
              <w:rPr>
                <w:rFonts w:ascii="宋体"/>
              </w:rPr>
            </w:pPr>
          </w:p>
        </w:tc>
        <w:tc>
          <w:tcPr>
            <w:tcW w:w="5" w:type="pct"/>
            <w:shd w:val="clear" w:color="auto" w:fill="auto"/>
            <w:vAlign w:val="bottom"/>
          </w:tcPr>
          <w:p w14:paraId="22CFD4CC" w14:textId="77777777" w:rsidR="002661BA" w:rsidRDefault="002661BA">
            <w:pPr>
              <w:rPr>
                <w:rFonts w:ascii="宋体"/>
              </w:rPr>
            </w:pPr>
          </w:p>
        </w:tc>
        <w:tc>
          <w:tcPr>
            <w:tcW w:w="50" w:type="pct"/>
            <w:shd w:val="clear" w:color="auto" w:fill="auto"/>
            <w:vAlign w:val="bottom"/>
          </w:tcPr>
          <w:p w14:paraId="22CFD4CD" w14:textId="77777777" w:rsidR="002661BA" w:rsidRDefault="002661BA">
            <w:pPr>
              <w:rPr>
                <w:rFonts w:ascii="宋体"/>
              </w:rPr>
            </w:pPr>
          </w:p>
        </w:tc>
        <w:tc>
          <w:tcPr>
            <w:tcW w:w="581" w:type="pct"/>
            <w:shd w:val="clear" w:color="auto" w:fill="auto"/>
            <w:vAlign w:val="bottom"/>
          </w:tcPr>
          <w:p w14:paraId="22CFD4CE" w14:textId="77777777" w:rsidR="002661BA" w:rsidRDefault="002661BA">
            <w:pPr>
              <w:rPr>
                <w:rFonts w:ascii="宋体"/>
              </w:rPr>
            </w:pPr>
          </w:p>
        </w:tc>
        <w:tc>
          <w:tcPr>
            <w:tcW w:w="5" w:type="pct"/>
            <w:shd w:val="clear" w:color="auto" w:fill="auto"/>
            <w:vAlign w:val="bottom"/>
          </w:tcPr>
          <w:p w14:paraId="22CFD4CF" w14:textId="77777777" w:rsidR="002661BA" w:rsidRDefault="002661BA">
            <w:pPr>
              <w:rPr>
                <w:rFonts w:ascii="宋体"/>
              </w:rPr>
            </w:pPr>
          </w:p>
        </w:tc>
        <w:tc>
          <w:tcPr>
            <w:tcW w:w="5" w:type="pct"/>
            <w:shd w:val="clear" w:color="auto" w:fill="auto"/>
            <w:vAlign w:val="bottom"/>
          </w:tcPr>
          <w:p w14:paraId="22CFD4D0" w14:textId="77777777" w:rsidR="002661BA" w:rsidRDefault="002661BA">
            <w:pPr>
              <w:rPr>
                <w:rFonts w:ascii="宋体"/>
              </w:rPr>
            </w:pPr>
          </w:p>
        </w:tc>
        <w:tc>
          <w:tcPr>
            <w:tcW w:w="19" w:type="pct"/>
            <w:shd w:val="clear" w:color="auto" w:fill="auto"/>
            <w:vAlign w:val="bottom"/>
          </w:tcPr>
          <w:p w14:paraId="22CFD4D1" w14:textId="77777777" w:rsidR="002661BA" w:rsidRDefault="002661BA">
            <w:pPr>
              <w:rPr>
                <w:rFonts w:ascii="宋体"/>
              </w:rPr>
            </w:pPr>
          </w:p>
        </w:tc>
        <w:tc>
          <w:tcPr>
            <w:tcW w:w="5" w:type="pct"/>
            <w:shd w:val="clear" w:color="auto" w:fill="auto"/>
            <w:vAlign w:val="bottom"/>
          </w:tcPr>
          <w:p w14:paraId="22CFD4D2" w14:textId="77777777" w:rsidR="002661BA" w:rsidRDefault="002661BA">
            <w:pPr>
              <w:rPr>
                <w:rFonts w:ascii="宋体"/>
              </w:rPr>
            </w:pPr>
          </w:p>
        </w:tc>
        <w:tc>
          <w:tcPr>
            <w:tcW w:w="50" w:type="pct"/>
            <w:shd w:val="clear" w:color="auto" w:fill="auto"/>
            <w:vAlign w:val="bottom"/>
          </w:tcPr>
          <w:p w14:paraId="22CFD4D3" w14:textId="77777777" w:rsidR="002661BA" w:rsidRDefault="002661BA">
            <w:pPr>
              <w:rPr>
                <w:rFonts w:ascii="宋体"/>
              </w:rPr>
            </w:pPr>
          </w:p>
        </w:tc>
        <w:tc>
          <w:tcPr>
            <w:tcW w:w="508" w:type="pct"/>
            <w:shd w:val="clear" w:color="auto" w:fill="auto"/>
            <w:vAlign w:val="bottom"/>
          </w:tcPr>
          <w:p w14:paraId="22CFD4D4" w14:textId="77777777" w:rsidR="002661BA" w:rsidRDefault="002661BA">
            <w:pPr>
              <w:rPr>
                <w:rFonts w:ascii="宋体"/>
              </w:rPr>
            </w:pPr>
          </w:p>
        </w:tc>
        <w:tc>
          <w:tcPr>
            <w:tcW w:w="5" w:type="pct"/>
            <w:shd w:val="clear" w:color="auto" w:fill="auto"/>
            <w:vAlign w:val="bottom"/>
          </w:tcPr>
          <w:p w14:paraId="22CFD4D5" w14:textId="77777777" w:rsidR="002661BA" w:rsidRDefault="002661BA">
            <w:pPr>
              <w:rPr>
                <w:rFonts w:ascii="宋体"/>
              </w:rPr>
            </w:pPr>
          </w:p>
        </w:tc>
      </w:tr>
      <w:tr w:rsidR="002661BA" w14:paraId="22CFD4E1" w14:textId="77777777">
        <w:tc>
          <w:tcPr>
            <w:tcW w:w="0" w:type="auto"/>
            <w:gridSpan w:val="3"/>
            <w:shd w:val="clear" w:color="auto" w:fill="auto"/>
            <w:tcMar>
              <w:top w:w="0" w:type="dxa"/>
              <w:left w:w="20" w:type="dxa"/>
              <w:bottom w:w="0" w:type="dxa"/>
              <w:right w:w="20" w:type="dxa"/>
            </w:tcMar>
            <w:vAlign w:val="bottom"/>
          </w:tcPr>
          <w:p w14:paraId="22CFD4D7"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4D8" w14:textId="77777777" w:rsidR="002661BA" w:rsidRDefault="00D972BC">
            <w:pPr>
              <w:jc w:val="center"/>
              <w:textAlignment w:val="bottom"/>
            </w:pPr>
            <w:r>
              <w:rPr>
                <w:rFonts w:ascii="Arial" w:eastAsia="宋体" w:hAnsi="Arial" w:cs="Arial"/>
                <w:b/>
                <w:bCs/>
                <w:color w:val="000000"/>
                <w:sz w:val="17"/>
                <w:szCs w:val="17"/>
              </w:rPr>
              <w:t>Unrealized Gains (Losses) on Derivative Instruments</w:t>
            </w:r>
          </w:p>
        </w:tc>
        <w:tc>
          <w:tcPr>
            <w:tcW w:w="0" w:type="auto"/>
            <w:gridSpan w:val="3"/>
            <w:shd w:val="clear" w:color="auto" w:fill="auto"/>
            <w:tcMar>
              <w:top w:w="0" w:type="dxa"/>
              <w:left w:w="20" w:type="dxa"/>
              <w:bottom w:w="0" w:type="dxa"/>
              <w:right w:w="20" w:type="dxa"/>
            </w:tcMar>
            <w:vAlign w:val="bottom"/>
          </w:tcPr>
          <w:p w14:paraId="22CFD4D9"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4DA" w14:textId="77777777" w:rsidR="002661BA" w:rsidRDefault="00D972BC">
            <w:pPr>
              <w:jc w:val="center"/>
              <w:textAlignment w:val="bottom"/>
            </w:pPr>
            <w:r>
              <w:rPr>
                <w:rFonts w:ascii="Arial" w:eastAsia="宋体" w:hAnsi="Arial" w:cs="Arial"/>
                <w:b/>
                <w:bCs/>
                <w:color w:val="000000"/>
                <w:sz w:val="17"/>
                <w:szCs w:val="17"/>
              </w:rPr>
              <w:t>Unrealized</w:t>
            </w:r>
            <w:r>
              <w:rPr>
                <w:rFonts w:ascii="Arial" w:eastAsia="宋体" w:hAnsi="Arial" w:cs="Arial"/>
                <w:b/>
                <w:bCs/>
                <w:color w:val="000000"/>
                <w:sz w:val="17"/>
                <w:szCs w:val="17"/>
              </w:rPr>
              <w:br/>
              <w:t xml:space="preserve">Gains (Losses) </w:t>
            </w:r>
            <w:r>
              <w:rPr>
                <w:rFonts w:ascii="Arial" w:eastAsia="宋体" w:hAnsi="Arial" w:cs="Arial"/>
                <w:b/>
                <w:bCs/>
                <w:color w:val="000000"/>
                <w:sz w:val="17"/>
                <w:szCs w:val="17"/>
              </w:rPr>
              <w:br/>
              <w:t>on Investments</w:t>
            </w:r>
          </w:p>
        </w:tc>
        <w:tc>
          <w:tcPr>
            <w:tcW w:w="0" w:type="auto"/>
            <w:gridSpan w:val="3"/>
            <w:shd w:val="clear" w:color="auto" w:fill="auto"/>
            <w:tcMar>
              <w:top w:w="0" w:type="dxa"/>
              <w:left w:w="20" w:type="dxa"/>
              <w:bottom w:w="0" w:type="dxa"/>
              <w:right w:w="20" w:type="dxa"/>
            </w:tcMar>
            <w:vAlign w:val="bottom"/>
          </w:tcPr>
          <w:p w14:paraId="22CFD4D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4DC" w14:textId="77777777" w:rsidR="002661BA" w:rsidRDefault="00D972BC">
            <w:pPr>
              <w:jc w:val="center"/>
              <w:textAlignment w:val="bottom"/>
            </w:pPr>
            <w:r>
              <w:rPr>
                <w:rFonts w:ascii="Arial" w:eastAsia="宋体" w:hAnsi="Arial" w:cs="Arial"/>
                <w:b/>
                <w:bCs/>
                <w:color w:val="000000"/>
                <w:sz w:val="17"/>
                <w:szCs w:val="17"/>
              </w:rPr>
              <w:t>Foreign</w:t>
            </w:r>
            <w:r>
              <w:rPr>
                <w:rFonts w:ascii="Arial" w:eastAsia="宋体" w:hAnsi="Arial" w:cs="Arial"/>
                <w:b/>
                <w:bCs/>
                <w:color w:val="000000"/>
                <w:sz w:val="17"/>
                <w:szCs w:val="17"/>
              </w:rPr>
              <w:br/>
              <w:t>Currency</w:t>
            </w:r>
            <w:r>
              <w:rPr>
                <w:rFonts w:ascii="Arial" w:eastAsia="宋体" w:hAnsi="Arial" w:cs="Arial"/>
                <w:b/>
                <w:bCs/>
                <w:color w:val="000000"/>
                <w:sz w:val="17"/>
                <w:szCs w:val="17"/>
              </w:rPr>
              <w:br/>
              <w:t>Translation</w:t>
            </w:r>
          </w:p>
        </w:tc>
        <w:tc>
          <w:tcPr>
            <w:tcW w:w="0" w:type="auto"/>
            <w:gridSpan w:val="3"/>
            <w:shd w:val="clear" w:color="auto" w:fill="auto"/>
            <w:tcMar>
              <w:top w:w="0" w:type="dxa"/>
              <w:left w:w="20" w:type="dxa"/>
              <w:bottom w:w="0" w:type="dxa"/>
              <w:right w:w="20" w:type="dxa"/>
            </w:tcMar>
            <w:vAlign w:val="bottom"/>
          </w:tcPr>
          <w:p w14:paraId="22CFD4DD"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4DE" w14:textId="77777777" w:rsidR="002661BA" w:rsidRDefault="00D972BC">
            <w:pPr>
              <w:jc w:val="center"/>
              <w:textAlignment w:val="bottom"/>
            </w:pPr>
            <w:r>
              <w:rPr>
                <w:rFonts w:ascii="Arial" w:eastAsia="宋体" w:hAnsi="Arial" w:cs="Arial"/>
                <w:b/>
                <w:bCs/>
                <w:color w:val="000000"/>
                <w:sz w:val="17"/>
                <w:szCs w:val="17"/>
              </w:rPr>
              <w:t>Estimated Tax (Expense) Benefit</w:t>
            </w:r>
          </w:p>
        </w:tc>
        <w:tc>
          <w:tcPr>
            <w:tcW w:w="0" w:type="auto"/>
            <w:gridSpan w:val="3"/>
            <w:shd w:val="clear" w:color="auto" w:fill="auto"/>
            <w:tcMar>
              <w:top w:w="0" w:type="dxa"/>
              <w:left w:w="20" w:type="dxa"/>
              <w:bottom w:w="0" w:type="dxa"/>
              <w:right w:w="20" w:type="dxa"/>
            </w:tcMar>
            <w:vAlign w:val="bottom"/>
          </w:tcPr>
          <w:p w14:paraId="22CFD4D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4E0" w14:textId="77777777" w:rsidR="002661BA" w:rsidRDefault="00D972BC">
            <w:pPr>
              <w:jc w:val="center"/>
              <w:textAlignment w:val="bottom"/>
            </w:pPr>
            <w:r>
              <w:rPr>
                <w:rFonts w:ascii="Arial" w:eastAsia="宋体" w:hAnsi="Arial" w:cs="Arial"/>
                <w:b/>
                <w:bCs/>
                <w:color w:val="000000"/>
                <w:sz w:val="17"/>
                <w:szCs w:val="17"/>
              </w:rPr>
              <w:t>Total</w:t>
            </w:r>
          </w:p>
        </w:tc>
      </w:tr>
      <w:tr w:rsidR="002661BA" w14:paraId="22CFD4F6" w14:textId="77777777">
        <w:tc>
          <w:tcPr>
            <w:tcW w:w="0" w:type="auto"/>
            <w:gridSpan w:val="3"/>
            <w:shd w:val="clear" w:color="auto" w:fill="E2E2E2"/>
            <w:tcMar>
              <w:top w:w="40" w:type="dxa"/>
              <w:left w:w="20" w:type="dxa"/>
              <w:bottom w:w="40" w:type="dxa"/>
              <w:right w:w="20" w:type="dxa"/>
            </w:tcMar>
            <w:vAlign w:val="bottom"/>
          </w:tcPr>
          <w:p w14:paraId="22CFD4E2" w14:textId="77777777" w:rsidR="002661BA" w:rsidRDefault="00D972BC">
            <w:pPr>
              <w:textAlignment w:val="bottom"/>
            </w:pPr>
            <w:r>
              <w:rPr>
                <w:rFonts w:ascii="Arial" w:eastAsia="宋体" w:hAnsi="Arial" w:cs="Arial"/>
                <w:color w:val="000000"/>
                <w:sz w:val="18"/>
                <w:szCs w:val="18"/>
              </w:rPr>
              <w:t>Balance as of December 31, 2020</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D4E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4E4" w14:textId="77777777" w:rsidR="002661BA" w:rsidRDefault="00D972BC">
            <w:pPr>
              <w:jc w:val="right"/>
              <w:textAlignment w:val="bottom"/>
            </w:pPr>
            <w:r>
              <w:rPr>
                <w:rFonts w:ascii="Arial" w:eastAsia="宋体" w:hAnsi="Arial" w:cs="Arial"/>
                <w:color w:val="000000"/>
                <w:sz w:val="18"/>
                <w:szCs w:val="18"/>
              </w:rPr>
              <w:t>(85)</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4E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4E6"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4E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4E8" w14:textId="77777777" w:rsidR="002661BA" w:rsidRDefault="00D972BC">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4E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4EA"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4EB"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4EC" w14:textId="77777777" w:rsidR="002661BA" w:rsidRDefault="00D972BC">
            <w:pPr>
              <w:jc w:val="right"/>
              <w:textAlignment w:val="bottom"/>
            </w:pPr>
            <w:r>
              <w:rPr>
                <w:rFonts w:ascii="Arial" w:eastAsia="宋体" w:hAnsi="Arial" w:cs="Arial"/>
                <w:color w:val="000000"/>
                <w:sz w:val="18"/>
                <w:szCs w:val="18"/>
              </w:rPr>
              <w:t>654 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4E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4EE"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4E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4F0" w14:textId="77777777" w:rsidR="002661BA" w:rsidRDefault="00D972BC">
            <w:pPr>
              <w:jc w:val="right"/>
              <w:textAlignment w:val="bottom"/>
            </w:pPr>
            <w:r>
              <w:rPr>
                <w:rFonts w:ascii="Arial" w:eastAsia="宋体" w:hAnsi="Arial" w:cs="Arial"/>
                <w:color w:val="000000"/>
                <w:sz w:val="18"/>
                <w:szCs w:val="18"/>
              </w:rPr>
              <w:t>42 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4F1"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4F2"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4F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4F4" w14:textId="77777777" w:rsidR="002661BA" w:rsidRDefault="00D972BC">
            <w:pPr>
              <w:jc w:val="right"/>
              <w:textAlignment w:val="bottom"/>
            </w:pPr>
            <w:r>
              <w:rPr>
                <w:rFonts w:ascii="Arial" w:eastAsia="宋体" w:hAnsi="Arial" w:cs="Arial"/>
                <w:color w:val="000000"/>
                <w:sz w:val="18"/>
                <w:szCs w:val="18"/>
              </w:rPr>
              <w:t>616 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4F5" w14:textId="77777777" w:rsidR="002661BA" w:rsidRDefault="002661BA">
            <w:pPr>
              <w:jc w:val="right"/>
              <w:rPr>
                <w:rFonts w:ascii="宋体"/>
              </w:rPr>
            </w:pPr>
          </w:p>
        </w:tc>
      </w:tr>
      <w:tr w:rsidR="002661BA" w14:paraId="22CFD506" w14:textId="77777777">
        <w:tc>
          <w:tcPr>
            <w:tcW w:w="0" w:type="auto"/>
            <w:gridSpan w:val="3"/>
            <w:shd w:val="clear" w:color="auto" w:fill="FFFFFF"/>
            <w:tcMar>
              <w:top w:w="40" w:type="dxa"/>
              <w:left w:w="245" w:type="dxa"/>
              <w:bottom w:w="40" w:type="dxa"/>
              <w:right w:w="20" w:type="dxa"/>
            </w:tcMar>
            <w:vAlign w:val="bottom"/>
          </w:tcPr>
          <w:p w14:paraId="22CFD4F7" w14:textId="77777777" w:rsidR="002661BA" w:rsidRDefault="00D972BC">
            <w:pPr>
              <w:textAlignment w:val="bottom"/>
            </w:pPr>
            <w:r>
              <w:rPr>
                <w:rFonts w:ascii="Arial" w:eastAsia="宋体" w:hAnsi="Arial" w:cs="Arial"/>
                <w:color w:val="000000"/>
                <w:sz w:val="18"/>
                <w:szCs w:val="18"/>
              </w:rPr>
              <w:t>Other comprehensive income (loss) before reclassificati</w:t>
            </w:r>
            <w:r>
              <w:rPr>
                <w:rFonts w:ascii="Arial" w:eastAsia="宋体" w:hAnsi="Arial" w:cs="Arial"/>
                <w:color w:val="000000"/>
                <w:sz w:val="18"/>
                <w:szCs w:val="18"/>
              </w:rPr>
              <w:t>ons</w:t>
            </w:r>
          </w:p>
        </w:tc>
        <w:tc>
          <w:tcPr>
            <w:tcW w:w="0" w:type="auto"/>
            <w:gridSpan w:val="2"/>
            <w:shd w:val="clear" w:color="auto" w:fill="FFFFFF"/>
            <w:tcMar>
              <w:top w:w="40" w:type="dxa"/>
              <w:left w:w="20" w:type="dxa"/>
              <w:bottom w:w="40" w:type="dxa"/>
              <w:right w:w="0" w:type="dxa"/>
            </w:tcMar>
            <w:vAlign w:val="bottom"/>
          </w:tcPr>
          <w:p w14:paraId="22CFD4F8" w14:textId="77777777" w:rsidR="002661BA" w:rsidRDefault="00D972BC">
            <w:pPr>
              <w:jc w:val="right"/>
              <w:textAlignment w:val="bottom"/>
            </w:pPr>
            <w:r>
              <w:rPr>
                <w:rFonts w:ascii="Arial" w:eastAsia="宋体" w:hAnsi="Arial" w:cs="Arial"/>
                <w:color w:val="000000"/>
                <w:sz w:val="18"/>
                <w:szCs w:val="18"/>
              </w:rPr>
              <w:t>91 </w:t>
            </w:r>
          </w:p>
        </w:tc>
        <w:tc>
          <w:tcPr>
            <w:tcW w:w="0" w:type="auto"/>
            <w:shd w:val="clear" w:color="auto" w:fill="FFFFFF"/>
            <w:tcMar>
              <w:top w:w="40" w:type="dxa"/>
              <w:left w:w="0" w:type="dxa"/>
              <w:bottom w:w="40" w:type="dxa"/>
              <w:right w:w="20" w:type="dxa"/>
            </w:tcMar>
            <w:vAlign w:val="bottom"/>
          </w:tcPr>
          <w:p w14:paraId="22CFD4F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4F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4FB" w14:textId="77777777" w:rsidR="002661BA" w:rsidRDefault="00D972BC">
            <w:pPr>
              <w:jc w:val="right"/>
              <w:textAlignment w:val="bottom"/>
            </w:pPr>
            <w:r>
              <w:rPr>
                <w:rFonts w:ascii="Arial" w:eastAsia="宋体" w:hAnsi="Arial" w:cs="Arial"/>
                <w:color w:val="000000"/>
                <w:sz w:val="18"/>
                <w:szCs w:val="18"/>
              </w:rPr>
              <w:t>(11)</w:t>
            </w:r>
          </w:p>
        </w:tc>
        <w:tc>
          <w:tcPr>
            <w:tcW w:w="0" w:type="auto"/>
            <w:shd w:val="clear" w:color="auto" w:fill="FFFFFF"/>
            <w:tcMar>
              <w:top w:w="40" w:type="dxa"/>
              <w:left w:w="0" w:type="dxa"/>
              <w:bottom w:w="40" w:type="dxa"/>
              <w:right w:w="20" w:type="dxa"/>
            </w:tcMar>
            <w:vAlign w:val="bottom"/>
          </w:tcPr>
          <w:p w14:paraId="22CFD4F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4F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4FE" w14:textId="77777777" w:rsidR="002661BA" w:rsidRDefault="00D972BC">
            <w:pPr>
              <w:jc w:val="right"/>
              <w:textAlignment w:val="bottom"/>
            </w:pPr>
            <w:r>
              <w:rPr>
                <w:rFonts w:ascii="Arial" w:eastAsia="宋体" w:hAnsi="Arial" w:cs="Arial"/>
                <w:color w:val="000000"/>
                <w:sz w:val="18"/>
                <w:szCs w:val="18"/>
              </w:rPr>
              <w:t>(201)</w:t>
            </w:r>
          </w:p>
        </w:tc>
        <w:tc>
          <w:tcPr>
            <w:tcW w:w="0" w:type="auto"/>
            <w:shd w:val="clear" w:color="auto" w:fill="FFFFFF"/>
            <w:tcMar>
              <w:top w:w="40" w:type="dxa"/>
              <w:left w:w="0" w:type="dxa"/>
              <w:bottom w:w="40" w:type="dxa"/>
              <w:right w:w="20" w:type="dxa"/>
            </w:tcMar>
            <w:vAlign w:val="bottom"/>
          </w:tcPr>
          <w:p w14:paraId="22CFD4F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50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501" w14:textId="77777777" w:rsidR="002661BA" w:rsidRDefault="00D972BC">
            <w:pPr>
              <w:jc w:val="right"/>
              <w:textAlignment w:val="bottom"/>
            </w:pPr>
            <w:r>
              <w:rPr>
                <w:rFonts w:ascii="Arial" w:eastAsia="宋体" w:hAnsi="Arial" w:cs="Arial"/>
                <w:color w:val="000000"/>
                <w:sz w:val="18"/>
                <w:szCs w:val="18"/>
              </w:rPr>
              <w:t>(17)</w:t>
            </w:r>
          </w:p>
        </w:tc>
        <w:tc>
          <w:tcPr>
            <w:tcW w:w="0" w:type="auto"/>
            <w:shd w:val="clear" w:color="auto" w:fill="FFFFFF"/>
            <w:tcMar>
              <w:top w:w="40" w:type="dxa"/>
              <w:left w:w="0" w:type="dxa"/>
              <w:bottom w:w="40" w:type="dxa"/>
              <w:right w:w="20" w:type="dxa"/>
            </w:tcMar>
            <w:vAlign w:val="bottom"/>
          </w:tcPr>
          <w:p w14:paraId="22CFD50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503"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504" w14:textId="77777777" w:rsidR="002661BA" w:rsidRDefault="00D972BC">
            <w:pPr>
              <w:jc w:val="right"/>
              <w:textAlignment w:val="bottom"/>
            </w:pPr>
            <w:r>
              <w:rPr>
                <w:rFonts w:ascii="Arial" w:eastAsia="宋体" w:hAnsi="Arial" w:cs="Arial"/>
                <w:color w:val="000000"/>
                <w:sz w:val="18"/>
                <w:szCs w:val="18"/>
              </w:rPr>
              <w:t>(138)</w:t>
            </w:r>
          </w:p>
        </w:tc>
        <w:tc>
          <w:tcPr>
            <w:tcW w:w="0" w:type="auto"/>
            <w:shd w:val="clear" w:color="auto" w:fill="FFFFFF"/>
            <w:tcMar>
              <w:top w:w="40" w:type="dxa"/>
              <w:left w:w="0" w:type="dxa"/>
              <w:bottom w:w="40" w:type="dxa"/>
              <w:right w:w="20" w:type="dxa"/>
            </w:tcMar>
            <w:vAlign w:val="bottom"/>
          </w:tcPr>
          <w:p w14:paraId="22CFD505" w14:textId="77777777" w:rsidR="002661BA" w:rsidRDefault="002661BA">
            <w:pPr>
              <w:jc w:val="right"/>
              <w:rPr>
                <w:rFonts w:ascii="宋体"/>
              </w:rPr>
            </w:pPr>
          </w:p>
        </w:tc>
      </w:tr>
      <w:tr w:rsidR="002661BA" w14:paraId="22CFD516" w14:textId="77777777">
        <w:tc>
          <w:tcPr>
            <w:tcW w:w="0" w:type="auto"/>
            <w:gridSpan w:val="3"/>
            <w:shd w:val="clear" w:color="auto" w:fill="E2E2E2"/>
            <w:tcMar>
              <w:top w:w="40" w:type="dxa"/>
              <w:left w:w="245" w:type="dxa"/>
              <w:bottom w:w="40" w:type="dxa"/>
              <w:right w:w="20" w:type="dxa"/>
            </w:tcMar>
            <w:vAlign w:val="bottom"/>
          </w:tcPr>
          <w:p w14:paraId="22CFD507" w14:textId="77777777" w:rsidR="002661BA" w:rsidRDefault="00D972BC">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22CFD508" w14:textId="77777777" w:rsidR="002661BA" w:rsidRDefault="00D972BC">
            <w:pPr>
              <w:jc w:val="right"/>
              <w:textAlignment w:val="bottom"/>
            </w:pPr>
            <w:r>
              <w:rPr>
                <w:rFonts w:ascii="Arial" w:eastAsia="宋体" w:hAnsi="Arial" w:cs="Arial"/>
                <w:color w:val="000000"/>
                <w:sz w:val="18"/>
                <w:szCs w:val="18"/>
              </w:rPr>
              <w:t>(59)</w:t>
            </w:r>
          </w:p>
        </w:tc>
        <w:tc>
          <w:tcPr>
            <w:tcW w:w="0" w:type="auto"/>
            <w:shd w:val="clear" w:color="auto" w:fill="E2E2E2"/>
            <w:tcMar>
              <w:top w:w="40" w:type="dxa"/>
              <w:left w:w="0" w:type="dxa"/>
              <w:bottom w:w="40" w:type="dxa"/>
              <w:right w:w="20" w:type="dxa"/>
            </w:tcMar>
            <w:vAlign w:val="bottom"/>
          </w:tcPr>
          <w:p w14:paraId="22CFD50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50A"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50B" w14:textId="77777777" w:rsidR="002661BA" w:rsidRDefault="00D972BC">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22CFD50C"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50D"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50E" w14:textId="77777777" w:rsidR="002661BA" w:rsidRDefault="00D972BC">
            <w:pPr>
              <w:jc w:val="right"/>
              <w:textAlignment w:val="bottom"/>
            </w:pPr>
            <w:r>
              <w:rPr>
                <w:rFonts w:ascii="Arial" w:eastAsia="宋体" w:hAnsi="Arial" w:cs="Arial"/>
                <w:color w:val="000000"/>
                <w:sz w:val="18"/>
                <w:szCs w:val="18"/>
              </w:rPr>
              <w:t>125 </w:t>
            </w:r>
          </w:p>
        </w:tc>
        <w:tc>
          <w:tcPr>
            <w:tcW w:w="0" w:type="auto"/>
            <w:shd w:val="clear" w:color="auto" w:fill="E2E2E2"/>
            <w:tcMar>
              <w:top w:w="40" w:type="dxa"/>
              <w:left w:w="0" w:type="dxa"/>
              <w:bottom w:w="40" w:type="dxa"/>
              <w:right w:w="20" w:type="dxa"/>
            </w:tcMar>
            <w:vAlign w:val="bottom"/>
          </w:tcPr>
          <w:p w14:paraId="22CFD50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510"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511" w14:textId="77777777" w:rsidR="002661BA" w:rsidRDefault="00D972BC">
            <w:pPr>
              <w:jc w:val="right"/>
              <w:textAlignment w:val="bottom"/>
            </w:pPr>
            <w:r>
              <w:rPr>
                <w:rFonts w:ascii="Arial" w:eastAsia="宋体" w:hAnsi="Arial" w:cs="Arial"/>
                <w:color w:val="000000"/>
                <w:sz w:val="18"/>
                <w:szCs w:val="18"/>
              </w:rPr>
              <w:t>13 </w:t>
            </w:r>
          </w:p>
        </w:tc>
        <w:tc>
          <w:tcPr>
            <w:tcW w:w="0" w:type="auto"/>
            <w:shd w:val="clear" w:color="auto" w:fill="E2E2E2"/>
            <w:tcMar>
              <w:top w:w="40" w:type="dxa"/>
              <w:left w:w="0" w:type="dxa"/>
              <w:bottom w:w="40" w:type="dxa"/>
              <w:right w:w="20" w:type="dxa"/>
            </w:tcMar>
            <w:vAlign w:val="bottom"/>
          </w:tcPr>
          <w:p w14:paraId="22CFD51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513"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514" w14:textId="77777777" w:rsidR="002661BA" w:rsidRDefault="00D972BC">
            <w:pPr>
              <w:jc w:val="right"/>
              <w:textAlignment w:val="bottom"/>
            </w:pPr>
            <w:r>
              <w:rPr>
                <w:rFonts w:ascii="Arial" w:eastAsia="宋体" w:hAnsi="Arial" w:cs="Arial"/>
                <w:color w:val="000000"/>
                <w:sz w:val="18"/>
                <w:szCs w:val="18"/>
              </w:rPr>
              <w:t>80 </w:t>
            </w:r>
          </w:p>
        </w:tc>
        <w:tc>
          <w:tcPr>
            <w:tcW w:w="0" w:type="auto"/>
            <w:shd w:val="clear" w:color="auto" w:fill="E2E2E2"/>
            <w:tcMar>
              <w:top w:w="40" w:type="dxa"/>
              <w:left w:w="0" w:type="dxa"/>
              <w:bottom w:w="40" w:type="dxa"/>
              <w:right w:w="20" w:type="dxa"/>
            </w:tcMar>
            <w:vAlign w:val="bottom"/>
          </w:tcPr>
          <w:p w14:paraId="22CFD515" w14:textId="77777777" w:rsidR="002661BA" w:rsidRDefault="002661BA">
            <w:pPr>
              <w:jc w:val="right"/>
              <w:rPr>
                <w:rFonts w:ascii="宋体"/>
              </w:rPr>
            </w:pPr>
          </w:p>
        </w:tc>
      </w:tr>
      <w:tr w:rsidR="002661BA" w14:paraId="22CFD526" w14:textId="77777777">
        <w:tc>
          <w:tcPr>
            <w:tcW w:w="0" w:type="auto"/>
            <w:gridSpan w:val="3"/>
            <w:shd w:val="clear" w:color="auto" w:fill="FFFFFF"/>
            <w:tcMar>
              <w:top w:w="40" w:type="dxa"/>
              <w:left w:w="20" w:type="dxa"/>
              <w:bottom w:w="40" w:type="dxa"/>
              <w:right w:w="20" w:type="dxa"/>
            </w:tcMar>
            <w:vAlign w:val="bottom"/>
          </w:tcPr>
          <w:p w14:paraId="22CFD517" w14:textId="77777777" w:rsidR="002661BA" w:rsidRDefault="00D972BC">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518" w14:textId="77777777" w:rsidR="002661BA" w:rsidRDefault="00D972BC">
            <w:pPr>
              <w:jc w:val="right"/>
              <w:textAlignment w:val="bottom"/>
            </w:pPr>
            <w:r>
              <w:rPr>
                <w:rFonts w:ascii="Arial" w:eastAsia="宋体" w:hAnsi="Arial" w:cs="Arial"/>
                <w:color w:val="000000"/>
                <w:sz w:val="18"/>
                <w:szCs w:val="18"/>
              </w:rPr>
              <w:t>150 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51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51A"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51B" w14:textId="77777777" w:rsidR="002661BA" w:rsidRDefault="00D972BC">
            <w:pPr>
              <w:jc w:val="right"/>
              <w:textAlignment w:val="bottom"/>
            </w:pPr>
            <w:r>
              <w:rPr>
                <w:rFonts w:ascii="Arial" w:eastAsia="宋体" w:hAnsi="Arial" w:cs="Arial"/>
                <w:color w:val="000000"/>
                <w:sz w:val="18"/>
                <w:szCs w:val="18"/>
              </w:rPr>
              <w:t>(12)</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51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51D"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51E" w14:textId="77777777" w:rsidR="002661BA" w:rsidRDefault="00D972BC">
            <w:pPr>
              <w:jc w:val="right"/>
              <w:textAlignment w:val="bottom"/>
            </w:pPr>
            <w:r>
              <w:rPr>
                <w:rFonts w:ascii="Arial" w:eastAsia="宋体" w:hAnsi="Arial" w:cs="Arial"/>
                <w:color w:val="000000"/>
                <w:sz w:val="18"/>
                <w:szCs w:val="18"/>
              </w:rPr>
              <w:t>(326)</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51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520"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521" w14:textId="77777777" w:rsidR="002661BA" w:rsidRDefault="00D972BC">
            <w:pPr>
              <w:jc w:val="right"/>
              <w:textAlignment w:val="bottom"/>
            </w:pPr>
            <w:r>
              <w:rPr>
                <w:rFonts w:ascii="Arial" w:eastAsia="宋体" w:hAnsi="Arial" w:cs="Arial"/>
                <w:color w:val="000000"/>
                <w:sz w:val="18"/>
                <w:szCs w:val="18"/>
              </w:rPr>
              <w:t>(30)</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52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523"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524" w14:textId="77777777" w:rsidR="002661BA" w:rsidRDefault="00D972BC">
            <w:pPr>
              <w:jc w:val="right"/>
              <w:textAlignment w:val="bottom"/>
            </w:pPr>
            <w:r>
              <w:rPr>
                <w:rFonts w:ascii="Arial" w:eastAsia="宋体" w:hAnsi="Arial" w:cs="Arial"/>
                <w:color w:val="000000"/>
                <w:sz w:val="18"/>
                <w:szCs w:val="18"/>
              </w:rPr>
              <w:t>(218)</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525" w14:textId="77777777" w:rsidR="002661BA" w:rsidRDefault="002661BA">
            <w:pPr>
              <w:jc w:val="right"/>
              <w:rPr>
                <w:rFonts w:ascii="宋体"/>
              </w:rPr>
            </w:pPr>
          </w:p>
        </w:tc>
      </w:tr>
      <w:tr w:rsidR="002661BA" w14:paraId="22CFD53B" w14:textId="77777777">
        <w:tc>
          <w:tcPr>
            <w:tcW w:w="0" w:type="auto"/>
            <w:gridSpan w:val="3"/>
            <w:shd w:val="clear" w:color="auto" w:fill="E2E2E2"/>
            <w:tcMar>
              <w:top w:w="40" w:type="dxa"/>
              <w:left w:w="20" w:type="dxa"/>
              <w:bottom w:w="40" w:type="dxa"/>
              <w:right w:w="20" w:type="dxa"/>
            </w:tcMar>
            <w:vAlign w:val="bottom"/>
          </w:tcPr>
          <w:p w14:paraId="22CFD527" w14:textId="77777777" w:rsidR="002661BA" w:rsidRDefault="00D972BC">
            <w:pPr>
              <w:textAlignment w:val="bottom"/>
            </w:pPr>
            <w:r>
              <w:rPr>
                <w:rFonts w:ascii="Arial" w:eastAsia="宋体" w:hAnsi="Arial" w:cs="Arial"/>
                <w:color w:val="000000"/>
                <w:sz w:val="18"/>
                <w:szCs w:val="18"/>
              </w:rPr>
              <w:t>Balance as of December 31, 2021</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52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529" w14:textId="77777777" w:rsidR="002661BA" w:rsidRDefault="00D972BC">
            <w:pPr>
              <w:jc w:val="right"/>
              <w:textAlignment w:val="bottom"/>
            </w:pPr>
            <w:r>
              <w:rPr>
                <w:rFonts w:ascii="Arial" w:eastAsia="宋体" w:hAnsi="Arial" w:cs="Arial"/>
                <w:color w:val="000000"/>
                <w:sz w:val="18"/>
                <w:szCs w:val="18"/>
              </w:rPr>
              <w:t>65 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52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52B"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52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52D" w14:textId="77777777" w:rsidR="002661BA" w:rsidRDefault="00D972BC">
            <w:pPr>
              <w:jc w:val="right"/>
              <w:textAlignment w:val="bottom"/>
            </w:pPr>
            <w:r>
              <w:rPr>
                <w:rFonts w:ascii="Arial" w:eastAsia="宋体" w:hAnsi="Arial" w:cs="Arial"/>
                <w:color w:val="000000"/>
                <w:sz w:val="18"/>
                <w:szCs w:val="18"/>
              </w:rPr>
              <w:t>(7)</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52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52F"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53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531" w14:textId="77777777" w:rsidR="002661BA" w:rsidRDefault="00D972BC">
            <w:pPr>
              <w:jc w:val="right"/>
              <w:textAlignment w:val="bottom"/>
            </w:pPr>
            <w:r>
              <w:rPr>
                <w:rFonts w:ascii="Arial" w:eastAsia="宋体" w:hAnsi="Arial" w:cs="Arial"/>
                <w:color w:val="000000"/>
                <w:sz w:val="18"/>
                <w:szCs w:val="18"/>
              </w:rPr>
              <w:t>328 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53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533"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53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535" w14:textId="77777777" w:rsidR="002661BA" w:rsidRDefault="00D972BC">
            <w:pPr>
              <w:jc w:val="right"/>
              <w:textAlignment w:val="bottom"/>
            </w:pPr>
            <w:r>
              <w:rPr>
                <w:rFonts w:ascii="Arial" w:eastAsia="宋体" w:hAnsi="Arial" w:cs="Arial"/>
                <w:color w:val="000000"/>
                <w:sz w:val="18"/>
                <w:szCs w:val="18"/>
              </w:rPr>
              <w:t>12 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536"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537"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53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539" w14:textId="77777777" w:rsidR="002661BA" w:rsidRDefault="00D972BC">
            <w:pPr>
              <w:jc w:val="right"/>
              <w:textAlignment w:val="bottom"/>
            </w:pPr>
            <w:r>
              <w:rPr>
                <w:rFonts w:ascii="Arial" w:eastAsia="宋体" w:hAnsi="Arial" w:cs="Arial"/>
                <w:color w:val="000000"/>
                <w:sz w:val="18"/>
                <w:szCs w:val="18"/>
              </w:rPr>
              <w:t>398 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53A" w14:textId="77777777" w:rsidR="002661BA" w:rsidRDefault="002661BA">
            <w:pPr>
              <w:jc w:val="right"/>
              <w:rPr>
                <w:rFonts w:ascii="宋体"/>
              </w:rPr>
            </w:pPr>
          </w:p>
        </w:tc>
      </w:tr>
    </w:tbl>
    <w:p w14:paraId="22CFD53C" w14:textId="77777777" w:rsidR="002661BA" w:rsidRDefault="002661BA">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2683"/>
        <w:gridCol w:w="37"/>
        <w:gridCol w:w="122"/>
        <w:gridCol w:w="929"/>
        <w:gridCol w:w="36"/>
        <w:gridCol w:w="36"/>
        <w:gridCol w:w="36"/>
        <w:gridCol w:w="36"/>
        <w:gridCol w:w="122"/>
        <w:gridCol w:w="951"/>
        <w:gridCol w:w="36"/>
        <w:gridCol w:w="36"/>
        <w:gridCol w:w="36"/>
        <w:gridCol w:w="36"/>
        <w:gridCol w:w="122"/>
        <w:gridCol w:w="863"/>
        <w:gridCol w:w="36"/>
        <w:gridCol w:w="36"/>
        <w:gridCol w:w="36"/>
        <w:gridCol w:w="36"/>
        <w:gridCol w:w="122"/>
        <w:gridCol w:w="865"/>
        <w:gridCol w:w="36"/>
        <w:gridCol w:w="36"/>
        <w:gridCol w:w="36"/>
        <w:gridCol w:w="36"/>
        <w:gridCol w:w="121"/>
        <w:gridCol w:w="745"/>
        <w:gridCol w:w="36"/>
      </w:tblGrid>
      <w:tr w:rsidR="002661BA" w14:paraId="22CFD55B" w14:textId="77777777">
        <w:tc>
          <w:tcPr>
            <w:tcW w:w="50" w:type="pct"/>
            <w:shd w:val="clear" w:color="auto" w:fill="auto"/>
            <w:vAlign w:val="bottom"/>
          </w:tcPr>
          <w:p w14:paraId="22CFD53D" w14:textId="77777777" w:rsidR="002661BA" w:rsidRDefault="002661BA">
            <w:pPr>
              <w:rPr>
                <w:rFonts w:ascii="宋体"/>
              </w:rPr>
            </w:pPr>
          </w:p>
        </w:tc>
        <w:tc>
          <w:tcPr>
            <w:tcW w:w="1706" w:type="pct"/>
            <w:shd w:val="clear" w:color="auto" w:fill="auto"/>
            <w:vAlign w:val="bottom"/>
          </w:tcPr>
          <w:p w14:paraId="22CFD53E" w14:textId="77777777" w:rsidR="002661BA" w:rsidRDefault="002661BA">
            <w:pPr>
              <w:rPr>
                <w:rFonts w:ascii="宋体"/>
              </w:rPr>
            </w:pPr>
          </w:p>
        </w:tc>
        <w:tc>
          <w:tcPr>
            <w:tcW w:w="5" w:type="pct"/>
            <w:shd w:val="clear" w:color="auto" w:fill="auto"/>
            <w:vAlign w:val="bottom"/>
          </w:tcPr>
          <w:p w14:paraId="22CFD53F" w14:textId="77777777" w:rsidR="002661BA" w:rsidRDefault="002661BA">
            <w:pPr>
              <w:rPr>
                <w:rFonts w:ascii="宋体"/>
              </w:rPr>
            </w:pPr>
          </w:p>
        </w:tc>
        <w:tc>
          <w:tcPr>
            <w:tcW w:w="50" w:type="pct"/>
            <w:shd w:val="clear" w:color="auto" w:fill="auto"/>
            <w:vAlign w:val="bottom"/>
          </w:tcPr>
          <w:p w14:paraId="22CFD540" w14:textId="77777777" w:rsidR="002661BA" w:rsidRDefault="002661BA">
            <w:pPr>
              <w:rPr>
                <w:rFonts w:ascii="宋体"/>
              </w:rPr>
            </w:pPr>
          </w:p>
        </w:tc>
        <w:tc>
          <w:tcPr>
            <w:tcW w:w="610" w:type="pct"/>
            <w:shd w:val="clear" w:color="auto" w:fill="auto"/>
            <w:vAlign w:val="bottom"/>
          </w:tcPr>
          <w:p w14:paraId="22CFD541" w14:textId="77777777" w:rsidR="002661BA" w:rsidRDefault="002661BA">
            <w:pPr>
              <w:rPr>
                <w:rFonts w:ascii="宋体"/>
              </w:rPr>
            </w:pPr>
          </w:p>
        </w:tc>
        <w:tc>
          <w:tcPr>
            <w:tcW w:w="5" w:type="pct"/>
            <w:shd w:val="clear" w:color="auto" w:fill="auto"/>
            <w:vAlign w:val="bottom"/>
          </w:tcPr>
          <w:p w14:paraId="22CFD542" w14:textId="77777777" w:rsidR="002661BA" w:rsidRDefault="002661BA">
            <w:pPr>
              <w:rPr>
                <w:rFonts w:ascii="宋体"/>
              </w:rPr>
            </w:pPr>
          </w:p>
        </w:tc>
        <w:tc>
          <w:tcPr>
            <w:tcW w:w="5" w:type="pct"/>
            <w:shd w:val="clear" w:color="auto" w:fill="auto"/>
            <w:vAlign w:val="bottom"/>
          </w:tcPr>
          <w:p w14:paraId="22CFD543" w14:textId="77777777" w:rsidR="002661BA" w:rsidRDefault="002661BA">
            <w:pPr>
              <w:rPr>
                <w:rFonts w:ascii="宋体"/>
              </w:rPr>
            </w:pPr>
          </w:p>
        </w:tc>
        <w:tc>
          <w:tcPr>
            <w:tcW w:w="19" w:type="pct"/>
            <w:shd w:val="clear" w:color="auto" w:fill="auto"/>
            <w:vAlign w:val="bottom"/>
          </w:tcPr>
          <w:p w14:paraId="22CFD544" w14:textId="77777777" w:rsidR="002661BA" w:rsidRDefault="002661BA">
            <w:pPr>
              <w:rPr>
                <w:rFonts w:ascii="宋体"/>
              </w:rPr>
            </w:pPr>
          </w:p>
        </w:tc>
        <w:tc>
          <w:tcPr>
            <w:tcW w:w="5" w:type="pct"/>
            <w:shd w:val="clear" w:color="auto" w:fill="auto"/>
            <w:vAlign w:val="bottom"/>
          </w:tcPr>
          <w:p w14:paraId="22CFD545" w14:textId="77777777" w:rsidR="002661BA" w:rsidRDefault="002661BA">
            <w:pPr>
              <w:rPr>
                <w:rFonts w:ascii="宋体"/>
              </w:rPr>
            </w:pPr>
          </w:p>
        </w:tc>
        <w:tc>
          <w:tcPr>
            <w:tcW w:w="50" w:type="pct"/>
            <w:shd w:val="clear" w:color="auto" w:fill="auto"/>
            <w:vAlign w:val="bottom"/>
          </w:tcPr>
          <w:p w14:paraId="22CFD546" w14:textId="77777777" w:rsidR="002661BA" w:rsidRDefault="002661BA">
            <w:pPr>
              <w:rPr>
                <w:rFonts w:ascii="宋体"/>
              </w:rPr>
            </w:pPr>
          </w:p>
        </w:tc>
        <w:tc>
          <w:tcPr>
            <w:tcW w:w="639" w:type="pct"/>
            <w:shd w:val="clear" w:color="auto" w:fill="auto"/>
            <w:vAlign w:val="bottom"/>
          </w:tcPr>
          <w:p w14:paraId="22CFD547" w14:textId="77777777" w:rsidR="002661BA" w:rsidRDefault="002661BA">
            <w:pPr>
              <w:rPr>
                <w:rFonts w:ascii="宋体"/>
              </w:rPr>
            </w:pPr>
          </w:p>
        </w:tc>
        <w:tc>
          <w:tcPr>
            <w:tcW w:w="5" w:type="pct"/>
            <w:shd w:val="clear" w:color="auto" w:fill="auto"/>
            <w:vAlign w:val="bottom"/>
          </w:tcPr>
          <w:p w14:paraId="22CFD548" w14:textId="77777777" w:rsidR="002661BA" w:rsidRDefault="002661BA">
            <w:pPr>
              <w:rPr>
                <w:rFonts w:ascii="宋体"/>
              </w:rPr>
            </w:pPr>
          </w:p>
        </w:tc>
        <w:tc>
          <w:tcPr>
            <w:tcW w:w="5" w:type="pct"/>
            <w:shd w:val="clear" w:color="auto" w:fill="auto"/>
            <w:vAlign w:val="bottom"/>
          </w:tcPr>
          <w:p w14:paraId="22CFD549" w14:textId="77777777" w:rsidR="002661BA" w:rsidRDefault="002661BA">
            <w:pPr>
              <w:rPr>
                <w:rFonts w:ascii="宋体"/>
              </w:rPr>
            </w:pPr>
          </w:p>
        </w:tc>
        <w:tc>
          <w:tcPr>
            <w:tcW w:w="19" w:type="pct"/>
            <w:shd w:val="clear" w:color="auto" w:fill="auto"/>
            <w:vAlign w:val="bottom"/>
          </w:tcPr>
          <w:p w14:paraId="22CFD54A" w14:textId="77777777" w:rsidR="002661BA" w:rsidRDefault="002661BA">
            <w:pPr>
              <w:rPr>
                <w:rFonts w:ascii="宋体"/>
              </w:rPr>
            </w:pPr>
          </w:p>
        </w:tc>
        <w:tc>
          <w:tcPr>
            <w:tcW w:w="5" w:type="pct"/>
            <w:shd w:val="clear" w:color="auto" w:fill="auto"/>
            <w:vAlign w:val="bottom"/>
          </w:tcPr>
          <w:p w14:paraId="22CFD54B" w14:textId="77777777" w:rsidR="002661BA" w:rsidRDefault="002661BA">
            <w:pPr>
              <w:rPr>
                <w:rFonts w:ascii="宋体"/>
              </w:rPr>
            </w:pPr>
          </w:p>
        </w:tc>
        <w:tc>
          <w:tcPr>
            <w:tcW w:w="50" w:type="pct"/>
            <w:shd w:val="clear" w:color="auto" w:fill="auto"/>
            <w:vAlign w:val="bottom"/>
          </w:tcPr>
          <w:p w14:paraId="22CFD54C" w14:textId="77777777" w:rsidR="002661BA" w:rsidRDefault="002661BA">
            <w:pPr>
              <w:rPr>
                <w:rFonts w:ascii="宋体"/>
              </w:rPr>
            </w:pPr>
          </w:p>
        </w:tc>
        <w:tc>
          <w:tcPr>
            <w:tcW w:w="507" w:type="pct"/>
            <w:shd w:val="clear" w:color="auto" w:fill="auto"/>
            <w:vAlign w:val="bottom"/>
          </w:tcPr>
          <w:p w14:paraId="22CFD54D" w14:textId="77777777" w:rsidR="002661BA" w:rsidRDefault="002661BA">
            <w:pPr>
              <w:rPr>
                <w:rFonts w:ascii="宋体"/>
              </w:rPr>
            </w:pPr>
          </w:p>
        </w:tc>
        <w:tc>
          <w:tcPr>
            <w:tcW w:w="5" w:type="pct"/>
            <w:shd w:val="clear" w:color="auto" w:fill="auto"/>
            <w:vAlign w:val="bottom"/>
          </w:tcPr>
          <w:p w14:paraId="22CFD54E" w14:textId="77777777" w:rsidR="002661BA" w:rsidRDefault="002661BA">
            <w:pPr>
              <w:rPr>
                <w:rFonts w:ascii="宋体"/>
              </w:rPr>
            </w:pPr>
          </w:p>
        </w:tc>
        <w:tc>
          <w:tcPr>
            <w:tcW w:w="5" w:type="pct"/>
            <w:shd w:val="clear" w:color="auto" w:fill="auto"/>
            <w:vAlign w:val="bottom"/>
          </w:tcPr>
          <w:p w14:paraId="22CFD54F" w14:textId="77777777" w:rsidR="002661BA" w:rsidRDefault="002661BA">
            <w:pPr>
              <w:rPr>
                <w:rFonts w:ascii="宋体"/>
              </w:rPr>
            </w:pPr>
          </w:p>
        </w:tc>
        <w:tc>
          <w:tcPr>
            <w:tcW w:w="19" w:type="pct"/>
            <w:shd w:val="clear" w:color="auto" w:fill="auto"/>
            <w:vAlign w:val="bottom"/>
          </w:tcPr>
          <w:p w14:paraId="22CFD550" w14:textId="77777777" w:rsidR="002661BA" w:rsidRDefault="002661BA">
            <w:pPr>
              <w:rPr>
                <w:rFonts w:ascii="宋体"/>
              </w:rPr>
            </w:pPr>
          </w:p>
        </w:tc>
        <w:tc>
          <w:tcPr>
            <w:tcW w:w="5" w:type="pct"/>
            <w:shd w:val="clear" w:color="auto" w:fill="auto"/>
            <w:vAlign w:val="bottom"/>
          </w:tcPr>
          <w:p w14:paraId="22CFD551" w14:textId="77777777" w:rsidR="002661BA" w:rsidRDefault="002661BA">
            <w:pPr>
              <w:rPr>
                <w:rFonts w:ascii="宋体"/>
              </w:rPr>
            </w:pPr>
          </w:p>
        </w:tc>
        <w:tc>
          <w:tcPr>
            <w:tcW w:w="50" w:type="pct"/>
            <w:shd w:val="clear" w:color="auto" w:fill="auto"/>
            <w:vAlign w:val="bottom"/>
          </w:tcPr>
          <w:p w14:paraId="22CFD552" w14:textId="77777777" w:rsidR="002661BA" w:rsidRDefault="002661BA">
            <w:pPr>
              <w:rPr>
                <w:rFonts w:ascii="宋体"/>
              </w:rPr>
            </w:pPr>
          </w:p>
        </w:tc>
        <w:tc>
          <w:tcPr>
            <w:tcW w:w="580" w:type="pct"/>
            <w:shd w:val="clear" w:color="auto" w:fill="auto"/>
            <w:vAlign w:val="bottom"/>
          </w:tcPr>
          <w:p w14:paraId="22CFD553" w14:textId="77777777" w:rsidR="002661BA" w:rsidRDefault="002661BA">
            <w:pPr>
              <w:rPr>
                <w:rFonts w:ascii="宋体"/>
              </w:rPr>
            </w:pPr>
          </w:p>
        </w:tc>
        <w:tc>
          <w:tcPr>
            <w:tcW w:w="5" w:type="pct"/>
            <w:shd w:val="clear" w:color="auto" w:fill="auto"/>
            <w:vAlign w:val="bottom"/>
          </w:tcPr>
          <w:p w14:paraId="22CFD554" w14:textId="77777777" w:rsidR="002661BA" w:rsidRDefault="002661BA">
            <w:pPr>
              <w:rPr>
                <w:rFonts w:ascii="宋体"/>
              </w:rPr>
            </w:pPr>
          </w:p>
        </w:tc>
        <w:tc>
          <w:tcPr>
            <w:tcW w:w="5" w:type="pct"/>
            <w:shd w:val="clear" w:color="auto" w:fill="auto"/>
            <w:vAlign w:val="bottom"/>
          </w:tcPr>
          <w:p w14:paraId="22CFD555" w14:textId="77777777" w:rsidR="002661BA" w:rsidRDefault="002661BA">
            <w:pPr>
              <w:rPr>
                <w:rFonts w:ascii="宋体"/>
              </w:rPr>
            </w:pPr>
          </w:p>
        </w:tc>
        <w:tc>
          <w:tcPr>
            <w:tcW w:w="19" w:type="pct"/>
            <w:shd w:val="clear" w:color="auto" w:fill="auto"/>
            <w:vAlign w:val="bottom"/>
          </w:tcPr>
          <w:p w14:paraId="22CFD556" w14:textId="77777777" w:rsidR="002661BA" w:rsidRDefault="002661BA">
            <w:pPr>
              <w:rPr>
                <w:rFonts w:ascii="宋体"/>
              </w:rPr>
            </w:pPr>
          </w:p>
        </w:tc>
        <w:tc>
          <w:tcPr>
            <w:tcW w:w="5" w:type="pct"/>
            <w:shd w:val="clear" w:color="auto" w:fill="auto"/>
            <w:vAlign w:val="bottom"/>
          </w:tcPr>
          <w:p w14:paraId="22CFD557" w14:textId="77777777" w:rsidR="002661BA" w:rsidRDefault="002661BA">
            <w:pPr>
              <w:rPr>
                <w:rFonts w:ascii="宋体"/>
              </w:rPr>
            </w:pPr>
          </w:p>
        </w:tc>
        <w:tc>
          <w:tcPr>
            <w:tcW w:w="50" w:type="pct"/>
            <w:shd w:val="clear" w:color="auto" w:fill="auto"/>
            <w:vAlign w:val="bottom"/>
          </w:tcPr>
          <w:p w14:paraId="22CFD558" w14:textId="77777777" w:rsidR="002661BA" w:rsidRDefault="002661BA">
            <w:pPr>
              <w:rPr>
                <w:rFonts w:ascii="宋体"/>
              </w:rPr>
            </w:pPr>
          </w:p>
        </w:tc>
        <w:tc>
          <w:tcPr>
            <w:tcW w:w="508" w:type="pct"/>
            <w:shd w:val="clear" w:color="auto" w:fill="auto"/>
            <w:vAlign w:val="bottom"/>
          </w:tcPr>
          <w:p w14:paraId="22CFD559" w14:textId="77777777" w:rsidR="002661BA" w:rsidRDefault="002661BA">
            <w:pPr>
              <w:rPr>
                <w:rFonts w:ascii="宋体"/>
              </w:rPr>
            </w:pPr>
          </w:p>
        </w:tc>
        <w:tc>
          <w:tcPr>
            <w:tcW w:w="5" w:type="pct"/>
            <w:shd w:val="clear" w:color="auto" w:fill="auto"/>
            <w:vAlign w:val="bottom"/>
          </w:tcPr>
          <w:p w14:paraId="22CFD55A" w14:textId="77777777" w:rsidR="002661BA" w:rsidRDefault="002661BA">
            <w:pPr>
              <w:rPr>
                <w:rFonts w:ascii="宋体"/>
              </w:rPr>
            </w:pPr>
          </w:p>
        </w:tc>
      </w:tr>
      <w:tr w:rsidR="002661BA" w14:paraId="22CFD566" w14:textId="77777777">
        <w:tc>
          <w:tcPr>
            <w:tcW w:w="0" w:type="auto"/>
            <w:gridSpan w:val="3"/>
            <w:shd w:val="clear" w:color="auto" w:fill="auto"/>
            <w:tcMar>
              <w:top w:w="0" w:type="dxa"/>
              <w:left w:w="20" w:type="dxa"/>
              <w:bottom w:w="0" w:type="dxa"/>
              <w:right w:w="20" w:type="dxa"/>
            </w:tcMar>
            <w:vAlign w:val="bottom"/>
          </w:tcPr>
          <w:p w14:paraId="22CFD55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55D" w14:textId="77777777" w:rsidR="002661BA" w:rsidRDefault="00D972BC">
            <w:pPr>
              <w:jc w:val="center"/>
              <w:textAlignment w:val="bottom"/>
            </w:pPr>
            <w:r>
              <w:rPr>
                <w:rFonts w:ascii="Arial" w:eastAsia="宋体" w:hAnsi="Arial" w:cs="Arial"/>
                <w:b/>
                <w:bCs/>
                <w:color w:val="000000"/>
                <w:sz w:val="17"/>
                <w:szCs w:val="17"/>
              </w:rPr>
              <w:t>Unrealized Gains (Losses) on Derivative Instruments</w:t>
            </w:r>
          </w:p>
        </w:tc>
        <w:tc>
          <w:tcPr>
            <w:tcW w:w="0" w:type="auto"/>
            <w:gridSpan w:val="3"/>
            <w:shd w:val="clear" w:color="auto" w:fill="auto"/>
            <w:tcMar>
              <w:top w:w="0" w:type="dxa"/>
              <w:left w:w="20" w:type="dxa"/>
              <w:bottom w:w="0" w:type="dxa"/>
              <w:right w:w="20" w:type="dxa"/>
            </w:tcMar>
            <w:vAlign w:val="bottom"/>
          </w:tcPr>
          <w:p w14:paraId="22CFD55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55F" w14:textId="77777777" w:rsidR="002661BA" w:rsidRDefault="00D972BC">
            <w:pPr>
              <w:jc w:val="center"/>
              <w:textAlignment w:val="bottom"/>
            </w:pPr>
            <w:r>
              <w:rPr>
                <w:rFonts w:ascii="Arial" w:eastAsia="宋体" w:hAnsi="Arial" w:cs="Arial"/>
                <w:b/>
                <w:bCs/>
                <w:color w:val="000000"/>
                <w:sz w:val="17"/>
                <w:szCs w:val="17"/>
              </w:rPr>
              <w:t>Unrealized</w:t>
            </w:r>
            <w:r>
              <w:rPr>
                <w:rFonts w:ascii="Arial" w:eastAsia="宋体" w:hAnsi="Arial" w:cs="Arial"/>
                <w:b/>
                <w:bCs/>
                <w:color w:val="000000"/>
                <w:sz w:val="17"/>
                <w:szCs w:val="17"/>
              </w:rPr>
              <w:br/>
              <w:t xml:space="preserve">Gains (Losses) </w:t>
            </w:r>
            <w:r>
              <w:rPr>
                <w:rFonts w:ascii="Arial" w:eastAsia="宋体" w:hAnsi="Arial" w:cs="Arial"/>
                <w:b/>
                <w:bCs/>
                <w:color w:val="000000"/>
                <w:sz w:val="17"/>
                <w:szCs w:val="17"/>
              </w:rPr>
              <w:br/>
              <w:t>on Investments</w:t>
            </w:r>
          </w:p>
        </w:tc>
        <w:tc>
          <w:tcPr>
            <w:tcW w:w="0" w:type="auto"/>
            <w:gridSpan w:val="3"/>
            <w:shd w:val="clear" w:color="auto" w:fill="auto"/>
            <w:tcMar>
              <w:top w:w="0" w:type="dxa"/>
              <w:left w:w="20" w:type="dxa"/>
              <w:bottom w:w="0" w:type="dxa"/>
              <w:right w:w="20" w:type="dxa"/>
            </w:tcMar>
            <w:vAlign w:val="bottom"/>
          </w:tcPr>
          <w:p w14:paraId="22CFD56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561" w14:textId="77777777" w:rsidR="002661BA" w:rsidRDefault="00D972BC">
            <w:pPr>
              <w:jc w:val="center"/>
              <w:textAlignment w:val="bottom"/>
            </w:pPr>
            <w:r>
              <w:rPr>
                <w:rFonts w:ascii="Arial" w:eastAsia="宋体" w:hAnsi="Arial" w:cs="Arial"/>
                <w:b/>
                <w:bCs/>
                <w:color w:val="000000"/>
                <w:sz w:val="17"/>
                <w:szCs w:val="17"/>
              </w:rPr>
              <w:t>Foreign</w:t>
            </w:r>
            <w:r>
              <w:rPr>
                <w:rFonts w:ascii="Arial" w:eastAsia="宋体" w:hAnsi="Arial" w:cs="Arial"/>
                <w:b/>
                <w:bCs/>
                <w:color w:val="000000"/>
                <w:sz w:val="17"/>
                <w:szCs w:val="17"/>
              </w:rPr>
              <w:br/>
              <w:t>Currency</w:t>
            </w:r>
            <w:r>
              <w:rPr>
                <w:rFonts w:ascii="Arial" w:eastAsia="宋体" w:hAnsi="Arial" w:cs="Arial"/>
                <w:b/>
                <w:bCs/>
                <w:color w:val="000000"/>
                <w:sz w:val="17"/>
                <w:szCs w:val="17"/>
              </w:rPr>
              <w:br/>
              <w:t>Translation</w:t>
            </w:r>
          </w:p>
        </w:tc>
        <w:tc>
          <w:tcPr>
            <w:tcW w:w="0" w:type="auto"/>
            <w:gridSpan w:val="3"/>
            <w:shd w:val="clear" w:color="auto" w:fill="auto"/>
            <w:tcMar>
              <w:top w:w="0" w:type="dxa"/>
              <w:left w:w="20" w:type="dxa"/>
              <w:bottom w:w="0" w:type="dxa"/>
              <w:right w:w="20" w:type="dxa"/>
            </w:tcMar>
            <w:vAlign w:val="bottom"/>
          </w:tcPr>
          <w:p w14:paraId="22CFD56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563" w14:textId="77777777" w:rsidR="002661BA" w:rsidRDefault="00D972BC">
            <w:pPr>
              <w:jc w:val="center"/>
              <w:textAlignment w:val="bottom"/>
            </w:pPr>
            <w:r>
              <w:rPr>
                <w:rFonts w:ascii="Arial" w:eastAsia="宋体" w:hAnsi="Arial" w:cs="Arial"/>
                <w:b/>
                <w:bCs/>
                <w:color w:val="000000"/>
                <w:sz w:val="17"/>
                <w:szCs w:val="17"/>
              </w:rPr>
              <w:t>Estimated Tax (Expense) Benefit</w:t>
            </w:r>
          </w:p>
        </w:tc>
        <w:tc>
          <w:tcPr>
            <w:tcW w:w="0" w:type="auto"/>
            <w:gridSpan w:val="3"/>
            <w:shd w:val="clear" w:color="auto" w:fill="auto"/>
            <w:tcMar>
              <w:top w:w="0" w:type="dxa"/>
              <w:left w:w="20" w:type="dxa"/>
              <w:bottom w:w="0" w:type="dxa"/>
              <w:right w:w="20" w:type="dxa"/>
            </w:tcMar>
            <w:vAlign w:val="bottom"/>
          </w:tcPr>
          <w:p w14:paraId="22CFD564"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565" w14:textId="77777777" w:rsidR="002661BA" w:rsidRDefault="00D972BC">
            <w:pPr>
              <w:jc w:val="center"/>
              <w:textAlignment w:val="bottom"/>
            </w:pPr>
            <w:r>
              <w:rPr>
                <w:rFonts w:ascii="Arial" w:eastAsia="宋体" w:hAnsi="Arial" w:cs="Arial"/>
                <w:b/>
                <w:bCs/>
                <w:color w:val="000000"/>
                <w:sz w:val="17"/>
                <w:szCs w:val="17"/>
              </w:rPr>
              <w:t>Total</w:t>
            </w:r>
          </w:p>
        </w:tc>
      </w:tr>
      <w:tr w:rsidR="002661BA" w14:paraId="22CFD57B" w14:textId="77777777">
        <w:tc>
          <w:tcPr>
            <w:tcW w:w="0" w:type="auto"/>
            <w:gridSpan w:val="3"/>
            <w:shd w:val="clear" w:color="auto" w:fill="E2E2E2"/>
            <w:tcMar>
              <w:top w:w="40" w:type="dxa"/>
              <w:left w:w="20" w:type="dxa"/>
              <w:bottom w:w="40" w:type="dxa"/>
              <w:right w:w="20" w:type="dxa"/>
            </w:tcMar>
            <w:vAlign w:val="bottom"/>
          </w:tcPr>
          <w:p w14:paraId="22CFD567" w14:textId="77777777" w:rsidR="002661BA" w:rsidRDefault="00D972BC">
            <w:pPr>
              <w:textAlignment w:val="bottom"/>
            </w:pPr>
            <w:r>
              <w:rPr>
                <w:rFonts w:ascii="Arial" w:eastAsia="宋体" w:hAnsi="Arial" w:cs="Arial"/>
                <w:color w:val="000000"/>
                <w:sz w:val="18"/>
                <w:szCs w:val="18"/>
              </w:rPr>
              <w:t>Balance as of December 31, 2019</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D56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569" w14:textId="77777777" w:rsidR="002661BA" w:rsidRDefault="00D972BC">
            <w:pPr>
              <w:jc w:val="right"/>
              <w:textAlignment w:val="bottom"/>
            </w:pPr>
            <w:r>
              <w:rPr>
                <w:rFonts w:ascii="Arial" w:eastAsia="宋体" w:hAnsi="Arial" w:cs="Arial"/>
                <w:color w:val="000000"/>
                <w:sz w:val="18"/>
                <w:szCs w:val="18"/>
              </w:rPr>
              <w:t>(9)</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56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56B"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56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56D" w14:textId="77777777" w:rsidR="002661BA" w:rsidRDefault="00D972BC">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56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56F"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57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571" w14:textId="77777777" w:rsidR="002661BA" w:rsidRDefault="00D972BC">
            <w:pPr>
              <w:jc w:val="right"/>
              <w:textAlignment w:val="bottom"/>
            </w:pPr>
            <w:r>
              <w:rPr>
                <w:rFonts w:ascii="Arial" w:eastAsia="宋体" w:hAnsi="Arial" w:cs="Arial"/>
                <w:color w:val="000000"/>
                <w:sz w:val="18"/>
                <w:szCs w:val="18"/>
              </w:rPr>
              <w:t>363 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57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573"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57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575" w14:textId="77777777" w:rsidR="002661BA" w:rsidRDefault="00D972BC">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576"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577" w14:textId="77777777" w:rsidR="002661BA" w:rsidRDefault="002661B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22CFD57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579" w14:textId="77777777" w:rsidR="002661BA" w:rsidRDefault="00D972BC">
            <w:pPr>
              <w:jc w:val="right"/>
              <w:textAlignment w:val="bottom"/>
            </w:pPr>
            <w:r>
              <w:rPr>
                <w:rFonts w:ascii="Arial" w:eastAsia="宋体" w:hAnsi="Arial" w:cs="Arial"/>
                <w:color w:val="000000"/>
                <w:sz w:val="18"/>
                <w:szCs w:val="18"/>
              </w:rPr>
              <w:t>384 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57A" w14:textId="77777777" w:rsidR="002661BA" w:rsidRDefault="002661BA">
            <w:pPr>
              <w:jc w:val="right"/>
              <w:rPr>
                <w:rFonts w:ascii="宋体"/>
              </w:rPr>
            </w:pPr>
          </w:p>
        </w:tc>
      </w:tr>
      <w:tr w:rsidR="002661BA" w14:paraId="22CFD58B" w14:textId="77777777">
        <w:tc>
          <w:tcPr>
            <w:tcW w:w="0" w:type="auto"/>
            <w:gridSpan w:val="3"/>
            <w:shd w:val="clear" w:color="auto" w:fill="FFFFFF"/>
            <w:tcMar>
              <w:top w:w="40" w:type="dxa"/>
              <w:left w:w="155" w:type="dxa"/>
              <w:bottom w:w="40" w:type="dxa"/>
              <w:right w:w="20" w:type="dxa"/>
            </w:tcMar>
            <w:vAlign w:val="bottom"/>
          </w:tcPr>
          <w:p w14:paraId="22CFD57C" w14:textId="77777777" w:rsidR="002661BA" w:rsidRDefault="00D972BC">
            <w:pPr>
              <w:textAlignment w:val="bottom"/>
            </w:pPr>
            <w:r>
              <w:rPr>
                <w:rFonts w:ascii="Arial" w:eastAsia="宋体" w:hAnsi="Arial" w:cs="Arial"/>
                <w:color w:val="000000"/>
                <w:sz w:val="18"/>
                <w:szCs w:val="18"/>
              </w:rPr>
              <w:t>Other comprehensive income (loss) before reclassificati</w:t>
            </w:r>
            <w:r>
              <w:rPr>
                <w:rFonts w:ascii="Arial" w:eastAsia="宋体" w:hAnsi="Arial" w:cs="Arial"/>
                <w:color w:val="000000"/>
                <w:sz w:val="18"/>
                <w:szCs w:val="18"/>
              </w:rPr>
              <w:t>ons</w:t>
            </w:r>
          </w:p>
        </w:tc>
        <w:tc>
          <w:tcPr>
            <w:tcW w:w="0" w:type="auto"/>
            <w:gridSpan w:val="2"/>
            <w:shd w:val="clear" w:color="auto" w:fill="FFFFFF"/>
            <w:tcMar>
              <w:top w:w="40" w:type="dxa"/>
              <w:left w:w="20" w:type="dxa"/>
              <w:bottom w:w="40" w:type="dxa"/>
              <w:right w:w="0" w:type="dxa"/>
            </w:tcMar>
            <w:vAlign w:val="bottom"/>
          </w:tcPr>
          <w:p w14:paraId="22CFD57D" w14:textId="77777777" w:rsidR="002661BA" w:rsidRDefault="00D972BC">
            <w:pPr>
              <w:jc w:val="right"/>
              <w:textAlignment w:val="bottom"/>
            </w:pPr>
            <w:r>
              <w:rPr>
                <w:rFonts w:ascii="Arial" w:eastAsia="宋体" w:hAnsi="Arial" w:cs="Arial"/>
                <w:color w:val="000000"/>
                <w:sz w:val="18"/>
                <w:szCs w:val="18"/>
              </w:rPr>
              <w:t>(61)</w:t>
            </w:r>
          </w:p>
        </w:tc>
        <w:tc>
          <w:tcPr>
            <w:tcW w:w="0" w:type="auto"/>
            <w:shd w:val="clear" w:color="auto" w:fill="FFFFFF"/>
            <w:tcMar>
              <w:top w:w="40" w:type="dxa"/>
              <w:left w:w="0" w:type="dxa"/>
              <w:bottom w:w="40" w:type="dxa"/>
              <w:right w:w="20" w:type="dxa"/>
            </w:tcMar>
            <w:vAlign w:val="bottom"/>
          </w:tcPr>
          <w:p w14:paraId="22CFD57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57F"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580"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58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582"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583" w14:textId="77777777" w:rsidR="002661BA" w:rsidRDefault="00D972BC">
            <w:pPr>
              <w:jc w:val="right"/>
              <w:textAlignment w:val="bottom"/>
            </w:pPr>
            <w:r>
              <w:rPr>
                <w:rFonts w:ascii="Arial" w:eastAsia="宋体" w:hAnsi="Arial" w:cs="Arial"/>
                <w:color w:val="000000"/>
                <w:sz w:val="18"/>
                <w:szCs w:val="18"/>
              </w:rPr>
              <w:t>291 </w:t>
            </w:r>
          </w:p>
        </w:tc>
        <w:tc>
          <w:tcPr>
            <w:tcW w:w="0" w:type="auto"/>
            <w:shd w:val="clear" w:color="auto" w:fill="FFFFFF"/>
            <w:tcMar>
              <w:top w:w="40" w:type="dxa"/>
              <w:left w:w="0" w:type="dxa"/>
              <w:bottom w:w="40" w:type="dxa"/>
              <w:right w:w="20" w:type="dxa"/>
            </w:tcMar>
            <w:vAlign w:val="bottom"/>
          </w:tcPr>
          <w:p w14:paraId="22CFD58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585"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586" w14:textId="77777777" w:rsidR="002661BA" w:rsidRDefault="00D972BC">
            <w:pPr>
              <w:jc w:val="right"/>
              <w:textAlignment w:val="bottom"/>
            </w:pPr>
            <w:r>
              <w:rPr>
                <w:rFonts w:ascii="Arial" w:eastAsia="宋体" w:hAnsi="Arial" w:cs="Arial"/>
                <w:color w:val="000000"/>
                <w:sz w:val="18"/>
                <w:szCs w:val="18"/>
              </w:rPr>
              <w:t>14 </w:t>
            </w:r>
          </w:p>
        </w:tc>
        <w:tc>
          <w:tcPr>
            <w:tcW w:w="0" w:type="auto"/>
            <w:shd w:val="clear" w:color="auto" w:fill="FFFFFF"/>
            <w:tcMar>
              <w:top w:w="40" w:type="dxa"/>
              <w:left w:w="0" w:type="dxa"/>
              <w:bottom w:w="40" w:type="dxa"/>
              <w:right w:w="20" w:type="dxa"/>
            </w:tcMar>
            <w:vAlign w:val="bottom"/>
          </w:tcPr>
          <w:p w14:paraId="22CFD58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588"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589" w14:textId="77777777" w:rsidR="002661BA" w:rsidRDefault="00D972BC">
            <w:pPr>
              <w:jc w:val="right"/>
              <w:textAlignment w:val="bottom"/>
            </w:pPr>
            <w:r>
              <w:rPr>
                <w:rFonts w:ascii="Arial" w:eastAsia="宋体" w:hAnsi="Arial" w:cs="Arial"/>
                <w:color w:val="000000"/>
                <w:sz w:val="18"/>
                <w:szCs w:val="18"/>
              </w:rPr>
              <w:t>244 </w:t>
            </w:r>
          </w:p>
        </w:tc>
        <w:tc>
          <w:tcPr>
            <w:tcW w:w="0" w:type="auto"/>
            <w:shd w:val="clear" w:color="auto" w:fill="FFFFFF"/>
            <w:tcMar>
              <w:top w:w="40" w:type="dxa"/>
              <w:left w:w="0" w:type="dxa"/>
              <w:bottom w:w="40" w:type="dxa"/>
              <w:right w:w="20" w:type="dxa"/>
            </w:tcMar>
            <w:vAlign w:val="bottom"/>
          </w:tcPr>
          <w:p w14:paraId="22CFD58A" w14:textId="77777777" w:rsidR="002661BA" w:rsidRDefault="002661BA">
            <w:pPr>
              <w:jc w:val="right"/>
              <w:rPr>
                <w:rFonts w:ascii="宋体"/>
              </w:rPr>
            </w:pPr>
          </w:p>
        </w:tc>
      </w:tr>
      <w:tr w:rsidR="002661BA" w14:paraId="22CFD59B" w14:textId="77777777">
        <w:tc>
          <w:tcPr>
            <w:tcW w:w="0" w:type="auto"/>
            <w:gridSpan w:val="3"/>
            <w:shd w:val="clear" w:color="auto" w:fill="E2E2E2"/>
            <w:tcMar>
              <w:top w:w="40" w:type="dxa"/>
              <w:left w:w="155" w:type="dxa"/>
              <w:bottom w:w="40" w:type="dxa"/>
              <w:right w:w="20" w:type="dxa"/>
            </w:tcMar>
            <w:vAlign w:val="bottom"/>
          </w:tcPr>
          <w:p w14:paraId="22CFD58C" w14:textId="77777777" w:rsidR="002661BA" w:rsidRDefault="00D972BC">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22CFD58D" w14:textId="77777777" w:rsidR="002661BA" w:rsidRDefault="00D972BC">
            <w:pPr>
              <w:jc w:val="right"/>
              <w:textAlignment w:val="bottom"/>
            </w:pPr>
            <w:r>
              <w:rPr>
                <w:rFonts w:ascii="Arial" w:eastAsia="宋体" w:hAnsi="Arial" w:cs="Arial"/>
                <w:color w:val="000000"/>
                <w:sz w:val="18"/>
                <w:szCs w:val="18"/>
              </w:rPr>
              <w:t>15 </w:t>
            </w:r>
          </w:p>
        </w:tc>
        <w:tc>
          <w:tcPr>
            <w:tcW w:w="0" w:type="auto"/>
            <w:shd w:val="clear" w:color="auto" w:fill="E2E2E2"/>
            <w:tcMar>
              <w:top w:w="40" w:type="dxa"/>
              <w:left w:w="0" w:type="dxa"/>
              <w:bottom w:w="40" w:type="dxa"/>
              <w:right w:w="20" w:type="dxa"/>
            </w:tcMar>
            <w:vAlign w:val="bottom"/>
          </w:tcPr>
          <w:p w14:paraId="22CFD58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58F"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590"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D591"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592"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593"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D594"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595"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596" w14:textId="77777777" w:rsidR="002661BA" w:rsidRDefault="00D972BC">
            <w:pPr>
              <w:jc w:val="right"/>
              <w:textAlignment w:val="bottom"/>
            </w:pPr>
            <w:r>
              <w:rPr>
                <w:rFonts w:ascii="Arial" w:eastAsia="宋体" w:hAnsi="Arial" w:cs="Arial"/>
                <w:color w:val="000000"/>
                <w:sz w:val="18"/>
                <w:szCs w:val="18"/>
              </w:rPr>
              <w:t>(3)</w:t>
            </w:r>
          </w:p>
        </w:tc>
        <w:tc>
          <w:tcPr>
            <w:tcW w:w="0" w:type="auto"/>
            <w:shd w:val="clear" w:color="auto" w:fill="E2E2E2"/>
            <w:tcMar>
              <w:top w:w="40" w:type="dxa"/>
              <w:left w:w="0" w:type="dxa"/>
              <w:bottom w:w="40" w:type="dxa"/>
              <w:right w:w="20" w:type="dxa"/>
            </w:tcMar>
            <w:vAlign w:val="bottom"/>
          </w:tcPr>
          <w:p w14:paraId="22CFD597"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598"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599" w14:textId="77777777" w:rsidR="002661BA" w:rsidRDefault="00D972BC">
            <w:pPr>
              <w:jc w:val="right"/>
              <w:textAlignment w:val="bottom"/>
            </w:pPr>
            <w:r>
              <w:rPr>
                <w:rFonts w:ascii="Arial" w:eastAsia="宋体" w:hAnsi="Arial" w:cs="Arial"/>
                <w:color w:val="000000"/>
                <w:sz w:val="18"/>
                <w:szCs w:val="18"/>
              </w:rPr>
              <w:t>12 </w:t>
            </w:r>
          </w:p>
        </w:tc>
        <w:tc>
          <w:tcPr>
            <w:tcW w:w="0" w:type="auto"/>
            <w:shd w:val="clear" w:color="auto" w:fill="E2E2E2"/>
            <w:tcMar>
              <w:top w:w="40" w:type="dxa"/>
              <w:left w:w="0" w:type="dxa"/>
              <w:bottom w:w="40" w:type="dxa"/>
              <w:right w:w="20" w:type="dxa"/>
            </w:tcMar>
            <w:vAlign w:val="bottom"/>
          </w:tcPr>
          <w:p w14:paraId="22CFD59A" w14:textId="77777777" w:rsidR="002661BA" w:rsidRDefault="002661BA">
            <w:pPr>
              <w:jc w:val="right"/>
              <w:rPr>
                <w:rFonts w:ascii="宋体"/>
              </w:rPr>
            </w:pPr>
          </w:p>
        </w:tc>
      </w:tr>
      <w:tr w:rsidR="002661BA" w14:paraId="22CFD5AB" w14:textId="77777777">
        <w:tc>
          <w:tcPr>
            <w:tcW w:w="0" w:type="auto"/>
            <w:gridSpan w:val="3"/>
            <w:shd w:val="clear" w:color="auto" w:fill="FFFFFF"/>
            <w:tcMar>
              <w:top w:w="40" w:type="dxa"/>
              <w:left w:w="20" w:type="dxa"/>
              <w:bottom w:w="40" w:type="dxa"/>
              <w:right w:w="20" w:type="dxa"/>
            </w:tcMar>
            <w:vAlign w:val="bottom"/>
          </w:tcPr>
          <w:p w14:paraId="22CFD59C" w14:textId="77777777" w:rsidR="002661BA" w:rsidRDefault="00D972BC">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59D" w14:textId="77777777" w:rsidR="002661BA" w:rsidRDefault="00D972BC">
            <w:pPr>
              <w:jc w:val="right"/>
              <w:textAlignment w:val="bottom"/>
            </w:pPr>
            <w:r>
              <w:rPr>
                <w:rFonts w:ascii="Arial" w:eastAsia="宋体" w:hAnsi="Arial" w:cs="Arial"/>
                <w:color w:val="000000"/>
                <w:sz w:val="18"/>
                <w:szCs w:val="18"/>
              </w:rPr>
              <w:t>(76)</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59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59F"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5A0"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5A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5A2"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5A3" w14:textId="77777777" w:rsidR="002661BA" w:rsidRDefault="00D972BC">
            <w:pPr>
              <w:jc w:val="right"/>
              <w:textAlignment w:val="bottom"/>
            </w:pPr>
            <w:r>
              <w:rPr>
                <w:rFonts w:ascii="Arial" w:eastAsia="宋体" w:hAnsi="Arial" w:cs="Arial"/>
                <w:color w:val="000000"/>
                <w:sz w:val="18"/>
                <w:szCs w:val="18"/>
              </w:rPr>
              <w:t>291 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5A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5A5"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5A6" w14:textId="77777777" w:rsidR="002661BA" w:rsidRDefault="00D972BC">
            <w:pPr>
              <w:jc w:val="right"/>
              <w:textAlignment w:val="bottom"/>
            </w:pPr>
            <w:r>
              <w:rPr>
                <w:rFonts w:ascii="Arial" w:eastAsia="宋体" w:hAnsi="Arial" w:cs="Arial"/>
                <w:color w:val="000000"/>
                <w:sz w:val="18"/>
                <w:szCs w:val="18"/>
              </w:rPr>
              <w:t>17 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5A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5A8"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5A9" w14:textId="77777777" w:rsidR="002661BA" w:rsidRDefault="00D972BC">
            <w:pPr>
              <w:jc w:val="right"/>
              <w:textAlignment w:val="bottom"/>
            </w:pPr>
            <w:r>
              <w:rPr>
                <w:rFonts w:ascii="Arial" w:eastAsia="宋体" w:hAnsi="Arial" w:cs="Arial"/>
                <w:color w:val="000000"/>
                <w:sz w:val="18"/>
                <w:szCs w:val="18"/>
              </w:rPr>
              <w:t>232 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5AA" w14:textId="77777777" w:rsidR="002661BA" w:rsidRDefault="002661BA">
            <w:pPr>
              <w:jc w:val="right"/>
              <w:rPr>
                <w:rFonts w:ascii="宋体"/>
              </w:rPr>
            </w:pPr>
          </w:p>
        </w:tc>
      </w:tr>
      <w:tr w:rsidR="002661BA" w14:paraId="22CFD5B6" w14:textId="77777777">
        <w:trPr>
          <w:hidden/>
        </w:trPr>
        <w:tc>
          <w:tcPr>
            <w:tcW w:w="0" w:type="auto"/>
            <w:gridSpan w:val="3"/>
            <w:shd w:val="clear" w:color="auto" w:fill="auto"/>
            <w:vAlign w:val="bottom"/>
          </w:tcPr>
          <w:p w14:paraId="22CFD5AC" w14:textId="77777777" w:rsidR="002661BA" w:rsidRDefault="002661BA">
            <w:pPr>
              <w:rPr>
                <w:rFonts w:ascii="宋体"/>
                <w:vanish/>
              </w:rPr>
            </w:pPr>
          </w:p>
        </w:tc>
        <w:tc>
          <w:tcPr>
            <w:tcW w:w="0" w:type="auto"/>
            <w:gridSpan w:val="3"/>
            <w:shd w:val="clear" w:color="auto" w:fill="auto"/>
            <w:vAlign w:val="bottom"/>
          </w:tcPr>
          <w:p w14:paraId="22CFD5AD" w14:textId="77777777" w:rsidR="002661BA" w:rsidRDefault="002661BA">
            <w:pPr>
              <w:rPr>
                <w:rFonts w:ascii="宋体"/>
                <w:vanish/>
              </w:rPr>
            </w:pPr>
          </w:p>
        </w:tc>
        <w:tc>
          <w:tcPr>
            <w:tcW w:w="0" w:type="auto"/>
            <w:gridSpan w:val="3"/>
            <w:shd w:val="clear" w:color="auto" w:fill="auto"/>
            <w:vAlign w:val="bottom"/>
          </w:tcPr>
          <w:p w14:paraId="22CFD5AE" w14:textId="77777777" w:rsidR="002661BA" w:rsidRDefault="002661BA">
            <w:pPr>
              <w:rPr>
                <w:rFonts w:ascii="宋体"/>
                <w:vanish/>
              </w:rPr>
            </w:pPr>
          </w:p>
        </w:tc>
        <w:tc>
          <w:tcPr>
            <w:tcW w:w="0" w:type="auto"/>
            <w:gridSpan w:val="3"/>
            <w:shd w:val="clear" w:color="auto" w:fill="auto"/>
            <w:vAlign w:val="bottom"/>
          </w:tcPr>
          <w:p w14:paraId="22CFD5AF" w14:textId="77777777" w:rsidR="002661BA" w:rsidRDefault="002661BA">
            <w:pPr>
              <w:rPr>
                <w:rFonts w:ascii="宋体"/>
                <w:vanish/>
              </w:rPr>
            </w:pPr>
          </w:p>
        </w:tc>
        <w:tc>
          <w:tcPr>
            <w:tcW w:w="0" w:type="auto"/>
            <w:gridSpan w:val="3"/>
            <w:shd w:val="clear" w:color="auto" w:fill="auto"/>
            <w:vAlign w:val="bottom"/>
          </w:tcPr>
          <w:p w14:paraId="22CFD5B0" w14:textId="77777777" w:rsidR="002661BA" w:rsidRDefault="002661BA">
            <w:pPr>
              <w:rPr>
                <w:rFonts w:ascii="宋体"/>
                <w:vanish/>
              </w:rPr>
            </w:pPr>
          </w:p>
        </w:tc>
        <w:tc>
          <w:tcPr>
            <w:tcW w:w="0" w:type="auto"/>
            <w:gridSpan w:val="3"/>
            <w:shd w:val="clear" w:color="auto" w:fill="auto"/>
            <w:vAlign w:val="bottom"/>
          </w:tcPr>
          <w:p w14:paraId="22CFD5B1" w14:textId="77777777" w:rsidR="002661BA" w:rsidRDefault="002661BA">
            <w:pPr>
              <w:rPr>
                <w:rFonts w:ascii="宋体"/>
                <w:vanish/>
              </w:rPr>
            </w:pPr>
          </w:p>
        </w:tc>
        <w:tc>
          <w:tcPr>
            <w:tcW w:w="0" w:type="auto"/>
            <w:gridSpan w:val="3"/>
            <w:shd w:val="clear" w:color="auto" w:fill="auto"/>
            <w:vAlign w:val="bottom"/>
          </w:tcPr>
          <w:p w14:paraId="22CFD5B2" w14:textId="77777777" w:rsidR="002661BA" w:rsidRDefault="002661BA">
            <w:pPr>
              <w:rPr>
                <w:rFonts w:ascii="宋体"/>
                <w:vanish/>
              </w:rPr>
            </w:pPr>
          </w:p>
        </w:tc>
        <w:tc>
          <w:tcPr>
            <w:tcW w:w="0" w:type="auto"/>
            <w:gridSpan w:val="3"/>
            <w:shd w:val="clear" w:color="auto" w:fill="auto"/>
            <w:vAlign w:val="bottom"/>
          </w:tcPr>
          <w:p w14:paraId="22CFD5B3" w14:textId="77777777" w:rsidR="002661BA" w:rsidRDefault="002661BA">
            <w:pPr>
              <w:rPr>
                <w:rFonts w:ascii="宋体"/>
                <w:vanish/>
              </w:rPr>
            </w:pPr>
          </w:p>
        </w:tc>
        <w:tc>
          <w:tcPr>
            <w:tcW w:w="0" w:type="auto"/>
            <w:gridSpan w:val="3"/>
            <w:shd w:val="clear" w:color="auto" w:fill="auto"/>
            <w:vAlign w:val="bottom"/>
          </w:tcPr>
          <w:p w14:paraId="22CFD5B4" w14:textId="77777777" w:rsidR="002661BA" w:rsidRDefault="002661BA">
            <w:pPr>
              <w:rPr>
                <w:rFonts w:ascii="宋体"/>
                <w:vanish/>
              </w:rPr>
            </w:pPr>
          </w:p>
        </w:tc>
        <w:tc>
          <w:tcPr>
            <w:tcW w:w="0" w:type="auto"/>
            <w:gridSpan w:val="3"/>
            <w:shd w:val="clear" w:color="auto" w:fill="auto"/>
            <w:vAlign w:val="bottom"/>
          </w:tcPr>
          <w:p w14:paraId="22CFD5B5" w14:textId="77777777" w:rsidR="002661BA" w:rsidRDefault="002661BA">
            <w:pPr>
              <w:rPr>
                <w:rFonts w:ascii="宋体"/>
                <w:vanish/>
              </w:rPr>
            </w:pPr>
          </w:p>
        </w:tc>
      </w:tr>
      <w:tr w:rsidR="002661BA" w14:paraId="22CFD5CB" w14:textId="77777777">
        <w:tc>
          <w:tcPr>
            <w:tcW w:w="0" w:type="auto"/>
            <w:gridSpan w:val="3"/>
            <w:shd w:val="clear" w:color="auto" w:fill="E2E2E2"/>
            <w:tcMar>
              <w:top w:w="40" w:type="dxa"/>
              <w:left w:w="20" w:type="dxa"/>
              <w:bottom w:w="40" w:type="dxa"/>
              <w:right w:w="20" w:type="dxa"/>
            </w:tcMar>
            <w:vAlign w:val="bottom"/>
          </w:tcPr>
          <w:p w14:paraId="22CFD5B7" w14:textId="77777777" w:rsidR="002661BA" w:rsidRDefault="00D972BC">
            <w:pPr>
              <w:textAlignment w:val="bottom"/>
            </w:pPr>
            <w:r>
              <w:rPr>
                <w:rFonts w:ascii="Arial" w:eastAsia="宋体" w:hAnsi="Arial" w:cs="Arial"/>
                <w:color w:val="000000"/>
                <w:sz w:val="18"/>
                <w:szCs w:val="18"/>
              </w:rPr>
              <w:t>Balance as of December 31, 2020</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5B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5B9" w14:textId="77777777" w:rsidR="002661BA" w:rsidRDefault="00D972BC">
            <w:pPr>
              <w:jc w:val="right"/>
              <w:textAlignment w:val="bottom"/>
            </w:pPr>
            <w:r>
              <w:rPr>
                <w:rFonts w:ascii="Arial" w:eastAsia="宋体" w:hAnsi="Arial" w:cs="Arial"/>
                <w:color w:val="000000"/>
                <w:sz w:val="18"/>
                <w:szCs w:val="18"/>
              </w:rPr>
              <w:t>(85)</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5B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5BB"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5B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5BD" w14:textId="77777777" w:rsidR="002661BA" w:rsidRDefault="00D972BC">
            <w:pPr>
              <w:jc w:val="right"/>
              <w:textAlignment w:val="bottom"/>
            </w:pPr>
            <w:r>
              <w:rPr>
                <w:rFonts w:ascii="Arial" w:eastAsia="宋体" w:hAnsi="Arial" w:cs="Arial"/>
                <w:color w:val="000000"/>
                <w:sz w:val="18"/>
                <w:szCs w:val="18"/>
              </w:rPr>
              <w:t>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5B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5BF"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5C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5C1" w14:textId="77777777" w:rsidR="002661BA" w:rsidRDefault="00D972BC">
            <w:pPr>
              <w:jc w:val="right"/>
              <w:textAlignment w:val="bottom"/>
            </w:pPr>
            <w:r>
              <w:rPr>
                <w:rFonts w:ascii="Arial" w:eastAsia="宋体" w:hAnsi="Arial" w:cs="Arial"/>
                <w:color w:val="000000"/>
                <w:sz w:val="18"/>
                <w:szCs w:val="18"/>
              </w:rPr>
              <w:t>654 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5C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5C3"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5C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5C5" w14:textId="77777777" w:rsidR="002661BA" w:rsidRDefault="00D972BC">
            <w:pPr>
              <w:jc w:val="right"/>
              <w:textAlignment w:val="bottom"/>
            </w:pPr>
            <w:r>
              <w:rPr>
                <w:rFonts w:ascii="Arial" w:eastAsia="宋体" w:hAnsi="Arial" w:cs="Arial"/>
                <w:color w:val="000000"/>
                <w:sz w:val="18"/>
                <w:szCs w:val="18"/>
              </w:rPr>
              <w:t>42 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5C6"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5C7" w14:textId="77777777" w:rsidR="002661BA" w:rsidRDefault="002661B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22CFD5C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22CFD5C9" w14:textId="77777777" w:rsidR="002661BA" w:rsidRDefault="00D972BC">
            <w:pPr>
              <w:jc w:val="right"/>
              <w:textAlignment w:val="bottom"/>
            </w:pPr>
            <w:r>
              <w:rPr>
                <w:rFonts w:ascii="Arial" w:eastAsia="宋体" w:hAnsi="Arial" w:cs="Arial"/>
                <w:color w:val="000000"/>
                <w:sz w:val="18"/>
                <w:szCs w:val="18"/>
              </w:rPr>
              <w:t>616 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22CFD5CA" w14:textId="77777777" w:rsidR="002661BA" w:rsidRDefault="002661BA">
            <w:pPr>
              <w:jc w:val="right"/>
              <w:rPr>
                <w:rFonts w:ascii="宋体"/>
              </w:rPr>
            </w:pPr>
          </w:p>
        </w:tc>
      </w:tr>
    </w:tbl>
    <w:p w14:paraId="22CFD5CC" w14:textId="77777777" w:rsidR="002661BA" w:rsidRDefault="002661BA">
      <w:pPr>
        <w:jc w:val="both"/>
      </w:pPr>
    </w:p>
    <w:p w14:paraId="22CFD5CD" w14:textId="77777777" w:rsidR="002661BA" w:rsidRDefault="00D972BC">
      <w:pPr>
        <w:spacing w:after="120"/>
        <w:ind w:firstLine="540"/>
        <w:jc w:val="both"/>
      </w:pPr>
      <w:r>
        <w:rPr>
          <w:rFonts w:ascii="Arial" w:eastAsia="宋体" w:hAnsi="Arial" w:cs="Arial"/>
          <w:color w:val="000000"/>
          <w:sz w:val="20"/>
          <w:szCs w:val="20"/>
        </w:rPr>
        <w:t xml:space="preserve">The </w:t>
      </w:r>
      <w:r>
        <w:rPr>
          <w:rFonts w:ascii="Arial" w:eastAsia="宋体" w:hAnsi="Arial" w:cs="Arial"/>
          <w:color w:val="000000"/>
          <w:sz w:val="20"/>
          <w:szCs w:val="20"/>
        </w:rPr>
        <w:t>following table summarizes reclassifications out of AOCI for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2595"/>
        <w:gridCol w:w="37"/>
        <w:gridCol w:w="36"/>
        <w:gridCol w:w="36"/>
        <w:gridCol w:w="36"/>
        <w:gridCol w:w="38"/>
        <w:gridCol w:w="3132"/>
        <w:gridCol w:w="37"/>
        <w:gridCol w:w="36"/>
        <w:gridCol w:w="36"/>
        <w:gridCol w:w="36"/>
        <w:gridCol w:w="122"/>
        <w:gridCol w:w="905"/>
        <w:gridCol w:w="37"/>
        <w:gridCol w:w="37"/>
        <w:gridCol w:w="37"/>
        <w:gridCol w:w="37"/>
        <w:gridCol w:w="122"/>
        <w:gridCol w:w="908"/>
        <w:gridCol w:w="36"/>
      </w:tblGrid>
      <w:tr w:rsidR="002661BA" w14:paraId="22CFD5E3" w14:textId="77777777">
        <w:tc>
          <w:tcPr>
            <w:tcW w:w="50" w:type="pct"/>
            <w:shd w:val="clear" w:color="auto" w:fill="auto"/>
            <w:vAlign w:val="bottom"/>
          </w:tcPr>
          <w:p w14:paraId="22CFD5CE" w14:textId="77777777" w:rsidR="002661BA" w:rsidRDefault="002661BA">
            <w:pPr>
              <w:rPr>
                <w:rFonts w:ascii="宋体"/>
              </w:rPr>
            </w:pPr>
          </w:p>
        </w:tc>
        <w:tc>
          <w:tcPr>
            <w:tcW w:w="1604" w:type="pct"/>
            <w:shd w:val="clear" w:color="auto" w:fill="auto"/>
            <w:vAlign w:val="bottom"/>
          </w:tcPr>
          <w:p w14:paraId="22CFD5CF" w14:textId="77777777" w:rsidR="002661BA" w:rsidRDefault="002661BA">
            <w:pPr>
              <w:rPr>
                <w:rFonts w:ascii="宋体"/>
              </w:rPr>
            </w:pPr>
          </w:p>
        </w:tc>
        <w:tc>
          <w:tcPr>
            <w:tcW w:w="5" w:type="pct"/>
            <w:shd w:val="clear" w:color="auto" w:fill="auto"/>
            <w:vAlign w:val="bottom"/>
          </w:tcPr>
          <w:p w14:paraId="22CFD5D0" w14:textId="77777777" w:rsidR="002661BA" w:rsidRDefault="002661BA">
            <w:pPr>
              <w:rPr>
                <w:rFonts w:ascii="宋体"/>
              </w:rPr>
            </w:pPr>
          </w:p>
        </w:tc>
        <w:tc>
          <w:tcPr>
            <w:tcW w:w="5" w:type="pct"/>
            <w:shd w:val="clear" w:color="auto" w:fill="auto"/>
            <w:vAlign w:val="bottom"/>
          </w:tcPr>
          <w:p w14:paraId="22CFD5D1" w14:textId="77777777" w:rsidR="002661BA" w:rsidRDefault="002661BA">
            <w:pPr>
              <w:rPr>
                <w:rFonts w:ascii="宋体"/>
              </w:rPr>
            </w:pPr>
          </w:p>
        </w:tc>
        <w:tc>
          <w:tcPr>
            <w:tcW w:w="19" w:type="pct"/>
            <w:shd w:val="clear" w:color="auto" w:fill="auto"/>
            <w:vAlign w:val="bottom"/>
          </w:tcPr>
          <w:p w14:paraId="22CFD5D2" w14:textId="77777777" w:rsidR="002661BA" w:rsidRDefault="002661BA">
            <w:pPr>
              <w:rPr>
                <w:rFonts w:ascii="宋体"/>
              </w:rPr>
            </w:pPr>
          </w:p>
        </w:tc>
        <w:tc>
          <w:tcPr>
            <w:tcW w:w="5" w:type="pct"/>
            <w:shd w:val="clear" w:color="auto" w:fill="auto"/>
            <w:vAlign w:val="bottom"/>
          </w:tcPr>
          <w:p w14:paraId="22CFD5D3" w14:textId="77777777" w:rsidR="002661BA" w:rsidRDefault="002661BA">
            <w:pPr>
              <w:rPr>
                <w:rFonts w:ascii="宋体"/>
              </w:rPr>
            </w:pPr>
          </w:p>
        </w:tc>
        <w:tc>
          <w:tcPr>
            <w:tcW w:w="50" w:type="pct"/>
            <w:shd w:val="clear" w:color="auto" w:fill="auto"/>
            <w:vAlign w:val="bottom"/>
          </w:tcPr>
          <w:p w14:paraId="22CFD5D4" w14:textId="77777777" w:rsidR="002661BA" w:rsidRDefault="002661BA">
            <w:pPr>
              <w:rPr>
                <w:rFonts w:ascii="宋体"/>
              </w:rPr>
            </w:pPr>
          </w:p>
        </w:tc>
        <w:tc>
          <w:tcPr>
            <w:tcW w:w="1925" w:type="pct"/>
            <w:shd w:val="clear" w:color="auto" w:fill="auto"/>
            <w:vAlign w:val="bottom"/>
          </w:tcPr>
          <w:p w14:paraId="22CFD5D5" w14:textId="77777777" w:rsidR="002661BA" w:rsidRDefault="002661BA">
            <w:pPr>
              <w:rPr>
                <w:rFonts w:ascii="宋体"/>
              </w:rPr>
            </w:pPr>
          </w:p>
        </w:tc>
        <w:tc>
          <w:tcPr>
            <w:tcW w:w="5" w:type="pct"/>
            <w:shd w:val="clear" w:color="auto" w:fill="auto"/>
            <w:vAlign w:val="bottom"/>
          </w:tcPr>
          <w:p w14:paraId="22CFD5D6" w14:textId="77777777" w:rsidR="002661BA" w:rsidRDefault="002661BA">
            <w:pPr>
              <w:rPr>
                <w:rFonts w:ascii="宋体"/>
              </w:rPr>
            </w:pPr>
          </w:p>
        </w:tc>
        <w:tc>
          <w:tcPr>
            <w:tcW w:w="5" w:type="pct"/>
            <w:shd w:val="clear" w:color="auto" w:fill="auto"/>
            <w:vAlign w:val="bottom"/>
          </w:tcPr>
          <w:p w14:paraId="22CFD5D7" w14:textId="77777777" w:rsidR="002661BA" w:rsidRDefault="002661BA">
            <w:pPr>
              <w:rPr>
                <w:rFonts w:ascii="宋体"/>
              </w:rPr>
            </w:pPr>
          </w:p>
        </w:tc>
        <w:tc>
          <w:tcPr>
            <w:tcW w:w="19" w:type="pct"/>
            <w:shd w:val="clear" w:color="auto" w:fill="auto"/>
            <w:vAlign w:val="bottom"/>
          </w:tcPr>
          <w:p w14:paraId="22CFD5D8" w14:textId="77777777" w:rsidR="002661BA" w:rsidRDefault="002661BA">
            <w:pPr>
              <w:rPr>
                <w:rFonts w:ascii="宋体"/>
              </w:rPr>
            </w:pPr>
          </w:p>
        </w:tc>
        <w:tc>
          <w:tcPr>
            <w:tcW w:w="5" w:type="pct"/>
            <w:shd w:val="clear" w:color="auto" w:fill="auto"/>
            <w:vAlign w:val="bottom"/>
          </w:tcPr>
          <w:p w14:paraId="22CFD5D9" w14:textId="77777777" w:rsidR="002661BA" w:rsidRDefault="002661BA">
            <w:pPr>
              <w:rPr>
                <w:rFonts w:ascii="宋体"/>
              </w:rPr>
            </w:pPr>
          </w:p>
        </w:tc>
        <w:tc>
          <w:tcPr>
            <w:tcW w:w="50" w:type="pct"/>
            <w:shd w:val="clear" w:color="auto" w:fill="auto"/>
            <w:vAlign w:val="bottom"/>
          </w:tcPr>
          <w:p w14:paraId="22CFD5DA" w14:textId="77777777" w:rsidR="002661BA" w:rsidRDefault="002661BA">
            <w:pPr>
              <w:rPr>
                <w:rFonts w:ascii="宋体"/>
              </w:rPr>
            </w:pPr>
          </w:p>
        </w:tc>
        <w:tc>
          <w:tcPr>
            <w:tcW w:w="580" w:type="pct"/>
            <w:shd w:val="clear" w:color="auto" w:fill="auto"/>
            <w:vAlign w:val="bottom"/>
          </w:tcPr>
          <w:p w14:paraId="22CFD5DB" w14:textId="77777777" w:rsidR="002661BA" w:rsidRDefault="002661BA">
            <w:pPr>
              <w:rPr>
                <w:rFonts w:ascii="宋体"/>
              </w:rPr>
            </w:pPr>
          </w:p>
        </w:tc>
        <w:tc>
          <w:tcPr>
            <w:tcW w:w="5" w:type="pct"/>
            <w:shd w:val="clear" w:color="auto" w:fill="auto"/>
            <w:vAlign w:val="bottom"/>
          </w:tcPr>
          <w:p w14:paraId="22CFD5DC" w14:textId="77777777" w:rsidR="002661BA" w:rsidRDefault="002661BA">
            <w:pPr>
              <w:rPr>
                <w:rFonts w:ascii="宋体"/>
              </w:rPr>
            </w:pPr>
          </w:p>
        </w:tc>
        <w:tc>
          <w:tcPr>
            <w:tcW w:w="5" w:type="pct"/>
            <w:shd w:val="clear" w:color="auto" w:fill="auto"/>
            <w:vAlign w:val="bottom"/>
          </w:tcPr>
          <w:p w14:paraId="22CFD5DD" w14:textId="77777777" w:rsidR="002661BA" w:rsidRDefault="002661BA">
            <w:pPr>
              <w:rPr>
                <w:rFonts w:ascii="宋体"/>
              </w:rPr>
            </w:pPr>
          </w:p>
        </w:tc>
        <w:tc>
          <w:tcPr>
            <w:tcW w:w="19" w:type="pct"/>
            <w:shd w:val="clear" w:color="auto" w:fill="auto"/>
            <w:vAlign w:val="bottom"/>
          </w:tcPr>
          <w:p w14:paraId="22CFD5DE" w14:textId="77777777" w:rsidR="002661BA" w:rsidRDefault="002661BA">
            <w:pPr>
              <w:rPr>
                <w:rFonts w:ascii="宋体"/>
              </w:rPr>
            </w:pPr>
          </w:p>
        </w:tc>
        <w:tc>
          <w:tcPr>
            <w:tcW w:w="5" w:type="pct"/>
            <w:shd w:val="clear" w:color="auto" w:fill="auto"/>
            <w:vAlign w:val="bottom"/>
          </w:tcPr>
          <w:p w14:paraId="22CFD5DF" w14:textId="77777777" w:rsidR="002661BA" w:rsidRDefault="002661BA">
            <w:pPr>
              <w:rPr>
                <w:rFonts w:ascii="宋体"/>
              </w:rPr>
            </w:pPr>
          </w:p>
        </w:tc>
        <w:tc>
          <w:tcPr>
            <w:tcW w:w="50" w:type="pct"/>
            <w:shd w:val="clear" w:color="auto" w:fill="auto"/>
            <w:vAlign w:val="bottom"/>
          </w:tcPr>
          <w:p w14:paraId="22CFD5E0" w14:textId="77777777" w:rsidR="002661BA" w:rsidRDefault="002661BA">
            <w:pPr>
              <w:rPr>
                <w:rFonts w:ascii="宋体"/>
              </w:rPr>
            </w:pPr>
          </w:p>
        </w:tc>
        <w:tc>
          <w:tcPr>
            <w:tcW w:w="581" w:type="pct"/>
            <w:shd w:val="clear" w:color="auto" w:fill="auto"/>
            <w:vAlign w:val="bottom"/>
          </w:tcPr>
          <w:p w14:paraId="22CFD5E1" w14:textId="77777777" w:rsidR="002661BA" w:rsidRDefault="002661BA">
            <w:pPr>
              <w:rPr>
                <w:rFonts w:ascii="宋体"/>
              </w:rPr>
            </w:pPr>
          </w:p>
        </w:tc>
        <w:tc>
          <w:tcPr>
            <w:tcW w:w="5" w:type="pct"/>
            <w:shd w:val="clear" w:color="auto" w:fill="auto"/>
            <w:vAlign w:val="bottom"/>
          </w:tcPr>
          <w:p w14:paraId="22CFD5E2" w14:textId="77777777" w:rsidR="002661BA" w:rsidRDefault="002661BA">
            <w:pPr>
              <w:rPr>
                <w:rFonts w:ascii="宋体"/>
              </w:rPr>
            </w:pPr>
          </w:p>
        </w:tc>
      </w:tr>
      <w:tr w:rsidR="002661BA" w14:paraId="22CFD5EB" w14:textId="77777777">
        <w:tc>
          <w:tcPr>
            <w:tcW w:w="0" w:type="auto"/>
            <w:gridSpan w:val="3"/>
            <w:shd w:val="clear" w:color="auto" w:fill="auto"/>
            <w:tcMar>
              <w:top w:w="40" w:type="dxa"/>
              <w:left w:w="20" w:type="dxa"/>
              <w:bottom w:w="40" w:type="dxa"/>
              <w:right w:w="20" w:type="dxa"/>
            </w:tcMar>
            <w:vAlign w:val="bottom"/>
          </w:tcPr>
          <w:p w14:paraId="22CFD5E4" w14:textId="77777777" w:rsidR="002661BA" w:rsidRDefault="00D972BC">
            <w:pPr>
              <w:jc w:val="center"/>
              <w:textAlignment w:val="bottom"/>
            </w:pPr>
            <w:r>
              <w:rPr>
                <w:rFonts w:ascii="Arial" w:eastAsia="宋体" w:hAnsi="Arial" w:cs="Arial"/>
                <w:b/>
                <w:bCs/>
                <w:color w:val="000000"/>
                <w:sz w:val="17"/>
                <w:szCs w:val="17"/>
              </w:rPr>
              <w:t>Details about AOCI Components</w:t>
            </w:r>
          </w:p>
        </w:tc>
        <w:tc>
          <w:tcPr>
            <w:tcW w:w="0" w:type="auto"/>
            <w:gridSpan w:val="3"/>
            <w:shd w:val="clear" w:color="auto" w:fill="auto"/>
            <w:tcMar>
              <w:top w:w="40" w:type="dxa"/>
              <w:left w:w="20" w:type="dxa"/>
              <w:bottom w:w="40" w:type="dxa"/>
              <w:right w:w="20" w:type="dxa"/>
            </w:tcMar>
            <w:vAlign w:val="bottom"/>
          </w:tcPr>
          <w:p w14:paraId="22CFD5E5" w14:textId="77777777" w:rsidR="002661BA" w:rsidRDefault="00D972BC">
            <w:pPr>
              <w:jc w:val="center"/>
              <w:textAlignment w:val="bottom"/>
            </w:pPr>
            <w:r>
              <w:rPr>
                <w:rFonts w:ascii="Arial" w:eastAsia="宋体" w:hAnsi="Arial" w:cs="Arial"/>
                <w:b/>
                <w:bCs/>
                <w:color w:val="000000"/>
                <w:sz w:val="17"/>
                <w:szCs w:val="17"/>
              </w:rPr>
              <w:t> </w:t>
            </w:r>
          </w:p>
        </w:tc>
        <w:tc>
          <w:tcPr>
            <w:tcW w:w="0" w:type="auto"/>
            <w:gridSpan w:val="3"/>
            <w:shd w:val="clear" w:color="auto" w:fill="auto"/>
            <w:tcMar>
              <w:top w:w="40" w:type="dxa"/>
              <w:left w:w="20" w:type="dxa"/>
              <w:bottom w:w="40" w:type="dxa"/>
              <w:right w:w="20" w:type="dxa"/>
            </w:tcMar>
            <w:vAlign w:val="bottom"/>
          </w:tcPr>
          <w:p w14:paraId="22CFD5E6" w14:textId="77777777" w:rsidR="002661BA" w:rsidRDefault="00D972BC">
            <w:pPr>
              <w:jc w:val="center"/>
              <w:textAlignment w:val="bottom"/>
            </w:pPr>
            <w:r>
              <w:rPr>
                <w:rFonts w:ascii="Arial" w:eastAsia="宋体" w:hAnsi="Arial" w:cs="Arial"/>
                <w:b/>
                <w:bCs/>
                <w:color w:val="000000"/>
                <w:sz w:val="17"/>
                <w:szCs w:val="17"/>
              </w:rPr>
              <w:t>Affected Line Item in the Statement of Income</w:t>
            </w:r>
          </w:p>
        </w:tc>
        <w:tc>
          <w:tcPr>
            <w:tcW w:w="0" w:type="auto"/>
            <w:gridSpan w:val="3"/>
            <w:shd w:val="clear" w:color="auto" w:fill="auto"/>
            <w:tcMar>
              <w:top w:w="0" w:type="dxa"/>
              <w:left w:w="20" w:type="dxa"/>
              <w:bottom w:w="0" w:type="dxa"/>
              <w:right w:w="20" w:type="dxa"/>
            </w:tcMar>
            <w:vAlign w:val="bottom"/>
          </w:tcPr>
          <w:p w14:paraId="22CFD5E7" w14:textId="77777777" w:rsidR="002661BA" w:rsidRDefault="002661BA">
            <w:pPr>
              <w:rPr>
                <w:rFonts w:ascii="宋体"/>
              </w:rPr>
            </w:pPr>
          </w:p>
        </w:tc>
        <w:tc>
          <w:tcPr>
            <w:tcW w:w="0" w:type="auto"/>
            <w:gridSpan w:val="9"/>
            <w:shd w:val="clear" w:color="auto" w:fill="auto"/>
            <w:tcMar>
              <w:top w:w="40" w:type="dxa"/>
              <w:left w:w="20" w:type="dxa"/>
              <w:bottom w:w="40" w:type="dxa"/>
              <w:right w:w="20" w:type="dxa"/>
            </w:tcMar>
            <w:vAlign w:val="bottom"/>
          </w:tcPr>
          <w:p w14:paraId="22CFD5E8" w14:textId="77777777" w:rsidR="002661BA" w:rsidRDefault="00D972BC">
            <w:pPr>
              <w:jc w:val="center"/>
              <w:textAlignment w:val="bottom"/>
            </w:pPr>
            <w:r>
              <w:rPr>
                <w:rFonts w:ascii="Arial" w:eastAsia="宋体" w:hAnsi="Arial" w:cs="Arial"/>
                <w:b/>
                <w:bCs/>
                <w:color w:val="000000"/>
                <w:sz w:val="17"/>
                <w:szCs w:val="17"/>
              </w:rPr>
              <w:t>Amount of Gain (Loss)</w:t>
            </w:r>
          </w:p>
          <w:p w14:paraId="22CFD5E9" w14:textId="77777777" w:rsidR="002661BA" w:rsidRDefault="00D972BC">
            <w:pPr>
              <w:jc w:val="center"/>
              <w:textAlignment w:val="bottom"/>
            </w:pPr>
            <w:r>
              <w:rPr>
                <w:rFonts w:ascii="Arial" w:eastAsia="宋体" w:hAnsi="Arial" w:cs="Arial"/>
                <w:b/>
                <w:bCs/>
                <w:color w:val="000000"/>
                <w:sz w:val="17"/>
                <w:szCs w:val="17"/>
              </w:rPr>
              <w:t>Reclassified from AOCI for the</w:t>
            </w:r>
          </w:p>
          <w:p w14:paraId="22CFD5EA" w14:textId="77777777" w:rsidR="002661BA" w:rsidRDefault="00D972BC">
            <w:pPr>
              <w:jc w:val="center"/>
              <w:textAlignment w:val="bottom"/>
            </w:pPr>
            <w:r>
              <w:rPr>
                <w:rFonts w:ascii="Arial" w:eastAsia="宋体" w:hAnsi="Arial" w:cs="Arial"/>
                <w:b/>
                <w:bCs/>
                <w:color w:val="000000"/>
                <w:sz w:val="17"/>
                <w:szCs w:val="17"/>
              </w:rPr>
              <w:t xml:space="preserve">Year </w:t>
            </w:r>
            <w:r>
              <w:rPr>
                <w:rFonts w:ascii="Arial" w:eastAsia="宋体" w:hAnsi="Arial" w:cs="Arial"/>
                <w:b/>
                <w:bCs/>
                <w:color w:val="000000"/>
                <w:sz w:val="17"/>
                <w:szCs w:val="17"/>
              </w:rPr>
              <w:t>Ended December 31,</w:t>
            </w:r>
          </w:p>
        </w:tc>
      </w:tr>
      <w:tr w:rsidR="002661BA" w14:paraId="22CFD5F3" w14:textId="77777777">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D5E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5ED" w14:textId="77777777" w:rsidR="002661BA" w:rsidRDefault="002661B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D5E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5EF"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5F0" w14:textId="77777777" w:rsidR="002661BA" w:rsidRDefault="00D972BC">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D5F1"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5F2" w14:textId="77777777" w:rsidR="002661BA" w:rsidRDefault="00D972BC">
            <w:pPr>
              <w:jc w:val="center"/>
              <w:textAlignment w:val="bottom"/>
            </w:pPr>
            <w:r>
              <w:rPr>
                <w:rFonts w:ascii="Arial" w:eastAsia="宋体" w:hAnsi="Arial" w:cs="Arial"/>
                <w:b/>
                <w:bCs/>
                <w:color w:val="000000"/>
                <w:sz w:val="17"/>
                <w:szCs w:val="17"/>
              </w:rPr>
              <w:t>2020</w:t>
            </w:r>
          </w:p>
        </w:tc>
      </w:tr>
      <w:tr w:rsidR="002661BA" w14:paraId="22CFD5FB" w14:textId="77777777">
        <w:tc>
          <w:tcPr>
            <w:tcW w:w="0" w:type="auto"/>
            <w:gridSpan w:val="3"/>
            <w:shd w:val="clear" w:color="auto" w:fill="E2E2E2"/>
            <w:tcMar>
              <w:top w:w="40" w:type="dxa"/>
              <w:left w:w="20" w:type="dxa"/>
              <w:bottom w:w="40" w:type="dxa"/>
              <w:right w:w="20" w:type="dxa"/>
            </w:tcMar>
            <w:vAlign w:val="bottom"/>
          </w:tcPr>
          <w:p w14:paraId="22CFD5F4" w14:textId="77777777" w:rsidR="002661BA" w:rsidRDefault="00D972BC">
            <w:pPr>
              <w:textAlignment w:val="bottom"/>
            </w:pPr>
            <w:r>
              <w:rPr>
                <w:rFonts w:ascii="Arial" w:eastAsia="宋体" w:hAnsi="Arial" w:cs="Arial"/>
                <w:color w:val="000000"/>
                <w:sz w:val="18"/>
                <w:szCs w:val="18"/>
              </w:rPr>
              <w:t>Gains (losses) on cash flow hedges</w:t>
            </w:r>
          </w:p>
        </w:tc>
        <w:tc>
          <w:tcPr>
            <w:tcW w:w="0" w:type="auto"/>
            <w:gridSpan w:val="3"/>
            <w:shd w:val="clear" w:color="auto" w:fill="E2E2E2"/>
            <w:tcMar>
              <w:top w:w="0" w:type="dxa"/>
              <w:left w:w="20" w:type="dxa"/>
              <w:bottom w:w="0" w:type="dxa"/>
              <w:right w:w="20" w:type="dxa"/>
            </w:tcMar>
            <w:vAlign w:val="bottom"/>
          </w:tcPr>
          <w:p w14:paraId="22CFD5F5"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5F6"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5F7"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D5F8"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5F9"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D5FA" w14:textId="77777777" w:rsidR="002661BA" w:rsidRDefault="002661BA">
            <w:pPr>
              <w:rPr>
                <w:rFonts w:ascii="宋体"/>
              </w:rPr>
            </w:pPr>
          </w:p>
        </w:tc>
      </w:tr>
      <w:tr w:rsidR="002661BA" w14:paraId="22CFD607" w14:textId="77777777">
        <w:tc>
          <w:tcPr>
            <w:tcW w:w="0" w:type="auto"/>
            <w:gridSpan w:val="3"/>
            <w:shd w:val="clear" w:color="auto" w:fill="FFFFFF"/>
            <w:tcMar>
              <w:top w:w="40" w:type="dxa"/>
              <w:left w:w="20" w:type="dxa"/>
              <w:bottom w:w="40" w:type="dxa"/>
              <w:right w:w="20" w:type="dxa"/>
            </w:tcMar>
            <w:vAlign w:val="bottom"/>
          </w:tcPr>
          <w:p w14:paraId="22CFD5FC" w14:textId="77777777" w:rsidR="002661BA" w:rsidRDefault="00D972BC">
            <w:pPr>
              <w:textAlignment w:val="bottom"/>
            </w:pPr>
            <w:r>
              <w:rPr>
                <w:rFonts w:ascii="Arial" w:eastAsia="宋体" w:hAnsi="Arial" w:cs="Arial"/>
                <w:color w:val="000000"/>
                <w:sz w:val="18"/>
                <w:szCs w:val="18"/>
              </w:rPr>
              <w:t>Foreign exchange contracts</w:t>
            </w:r>
          </w:p>
        </w:tc>
        <w:tc>
          <w:tcPr>
            <w:tcW w:w="0" w:type="auto"/>
            <w:gridSpan w:val="3"/>
            <w:shd w:val="clear" w:color="auto" w:fill="FFFFFF"/>
            <w:tcMar>
              <w:top w:w="0" w:type="dxa"/>
              <w:left w:w="20" w:type="dxa"/>
              <w:bottom w:w="0" w:type="dxa"/>
              <w:right w:w="20" w:type="dxa"/>
            </w:tcMar>
            <w:vAlign w:val="bottom"/>
          </w:tcPr>
          <w:p w14:paraId="22CFD5FD"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D5FE" w14:textId="77777777" w:rsidR="002661BA" w:rsidRDefault="00D972BC">
            <w:pPr>
              <w:textAlignment w:val="bottom"/>
            </w:pPr>
            <w:r>
              <w:rPr>
                <w:rFonts w:ascii="Arial" w:eastAsia="宋体" w:hAnsi="Arial" w:cs="Arial"/>
                <w:color w:val="000000"/>
                <w:sz w:val="18"/>
                <w:szCs w:val="18"/>
              </w:rPr>
              <w:t>Net revenues</w:t>
            </w:r>
          </w:p>
        </w:tc>
        <w:tc>
          <w:tcPr>
            <w:tcW w:w="0" w:type="auto"/>
            <w:gridSpan w:val="3"/>
            <w:shd w:val="clear" w:color="auto" w:fill="FFFFFF"/>
            <w:tcMar>
              <w:top w:w="0" w:type="dxa"/>
              <w:left w:w="20" w:type="dxa"/>
              <w:bottom w:w="0" w:type="dxa"/>
              <w:right w:w="20" w:type="dxa"/>
            </w:tcMar>
            <w:vAlign w:val="bottom"/>
          </w:tcPr>
          <w:p w14:paraId="22CFD5FF"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600"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601" w14:textId="77777777" w:rsidR="002661BA" w:rsidRDefault="00D972BC">
            <w:pPr>
              <w:jc w:val="right"/>
              <w:textAlignment w:val="bottom"/>
            </w:pPr>
            <w:r>
              <w:rPr>
                <w:rFonts w:ascii="Arial" w:eastAsia="宋体" w:hAnsi="Arial" w:cs="Arial"/>
                <w:color w:val="000000"/>
                <w:sz w:val="18"/>
                <w:szCs w:val="18"/>
              </w:rPr>
              <w:t>(65)</w:t>
            </w:r>
          </w:p>
        </w:tc>
        <w:tc>
          <w:tcPr>
            <w:tcW w:w="0" w:type="auto"/>
            <w:shd w:val="clear" w:color="auto" w:fill="FFFFFF"/>
            <w:tcMar>
              <w:top w:w="40" w:type="dxa"/>
              <w:left w:w="0" w:type="dxa"/>
              <w:bottom w:w="40" w:type="dxa"/>
              <w:right w:w="20" w:type="dxa"/>
            </w:tcMar>
            <w:vAlign w:val="bottom"/>
          </w:tcPr>
          <w:p w14:paraId="22CFD60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603"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604"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605" w14:textId="77777777" w:rsidR="002661BA" w:rsidRDefault="00D972BC">
            <w:pPr>
              <w:jc w:val="right"/>
              <w:textAlignment w:val="bottom"/>
            </w:pPr>
            <w:r>
              <w:rPr>
                <w:rFonts w:ascii="Arial" w:eastAsia="宋体" w:hAnsi="Arial" w:cs="Arial"/>
                <w:color w:val="000000"/>
                <w:sz w:val="18"/>
                <w:szCs w:val="18"/>
              </w:rPr>
              <w:t>15 </w:t>
            </w:r>
          </w:p>
        </w:tc>
        <w:tc>
          <w:tcPr>
            <w:tcW w:w="0" w:type="auto"/>
            <w:shd w:val="clear" w:color="auto" w:fill="FFFFFF"/>
            <w:tcMar>
              <w:top w:w="40" w:type="dxa"/>
              <w:left w:w="0" w:type="dxa"/>
              <w:bottom w:w="40" w:type="dxa"/>
              <w:right w:w="20" w:type="dxa"/>
            </w:tcMar>
            <w:vAlign w:val="bottom"/>
          </w:tcPr>
          <w:p w14:paraId="22CFD606" w14:textId="77777777" w:rsidR="002661BA" w:rsidRDefault="002661BA">
            <w:pPr>
              <w:jc w:val="right"/>
              <w:rPr>
                <w:rFonts w:ascii="宋体"/>
              </w:rPr>
            </w:pPr>
          </w:p>
        </w:tc>
      </w:tr>
      <w:tr w:rsidR="002661BA" w14:paraId="22CFD611" w14:textId="77777777">
        <w:tc>
          <w:tcPr>
            <w:tcW w:w="0" w:type="auto"/>
            <w:gridSpan w:val="3"/>
            <w:shd w:val="clear" w:color="auto" w:fill="E2E2E2"/>
            <w:tcMar>
              <w:top w:w="40" w:type="dxa"/>
              <w:left w:w="20" w:type="dxa"/>
              <w:bottom w:w="40" w:type="dxa"/>
              <w:right w:w="20" w:type="dxa"/>
            </w:tcMar>
            <w:vAlign w:val="bottom"/>
          </w:tcPr>
          <w:p w14:paraId="22CFD608" w14:textId="77777777" w:rsidR="002661BA" w:rsidRDefault="00D972BC">
            <w:pPr>
              <w:textAlignment w:val="bottom"/>
            </w:pPr>
            <w:r>
              <w:rPr>
                <w:rFonts w:ascii="Arial" w:eastAsia="宋体" w:hAnsi="Arial" w:cs="Arial"/>
                <w:color w:val="000000"/>
                <w:sz w:val="18"/>
                <w:szCs w:val="18"/>
              </w:rPr>
              <w:t>Foreign exchange contracts</w:t>
            </w:r>
          </w:p>
        </w:tc>
        <w:tc>
          <w:tcPr>
            <w:tcW w:w="0" w:type="auto"/>
            <w:gridSpan w:val="3"/>
            <w:shd w:val="clear" w:color="auto" w:fill="E2E2E2"/>
            <w:tcMar>
              <w:top w:w="0" w:type="dxa"/>
              <w:left w:w="20" w:type="dxa"/>
              <w:bottom w:w="0" w:type="dxa"/>
              <w:right w:w="20" w:type="dxa"/>
            </w:tcMar>
            <w:vAlign w:val="bottom"/>
          </w:tcPr>
          <w:p w14:paraId="22CFD609"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D60A" w14:textId="77777777" w:rsidR="002661BA" w:rsidRDefault="00D972BC">
            <w:pPr>
              <w:textAlignment w:val="bottom"/>
            </w:pPr>
            <w:r>
              <w:rPr>
                <w:rFonts w:ascii="Arial" w:eastAsia="宋体" w:hAnsi="Arial" w:cs="Arial"/>
                <w:color w:val="000000"/>
                <w:sz w:val="18"/>
                <w:szCs w:val="18"/>
              </w:rPr>
              <w:t>Cost of net revenues</w:t>
            </w:r>
          </w:p>
        </w:tc>
        <w:tc>
          <w:tcPr>
            <w:tcW w:w="0" w:type="auto"/>
            <w:gridSpan w:val="3"/>
            <w:shd w:val="clear" w:color="auto" w:fill="E2E2E2"/>
            <w:tcMar>
              <w:top w:w="0" w:type="dxa"/>
              <w:left w:w="20" w:type="dxa"/>
              <w:bottom w:w="0" w:type="dxa"/>
              <w:right w:w="20" w:type="dxa"/>
            </w:tcMar>
            <w:vAlign w:val="bottom"/>
          </w:tcPr>
          <w:p w14:paraId="22CFD60B"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60C" w14:textId="77777777" w:rsidR="002661BA" w:rsidRDefault="00D972BC">
            <w:pPr>
              <w:jc w:val="right"/>
              <w:textAlignment w:val="bottom"/>
            </w:pPr>
            <w:r>
              <w:rPr>
                <w:rFonts w:ascii="Arial" w:eastAsia="宋体" w:hAnsi="Arial" w:cs="Arial"/>
                <w:color w:val="000000"/>
                <w:sz w:val="18"/>
                <w:szCs w:val="18"/>
              </w:rPr>
              <w:t>4 </w:t>
            </w:r>
          </w:p>
        </w:tc>
        <w:tc>
          <w:tcPr>
            <w:tcW w:w="0" w:type="auto"/>
            <w:shd w:val="clear" w:color="auto" w:fill="E2E2E2"/>
            <w:tcMar>
              <w:top w:w="40" w:type="dxa"/>
              <w:left w:w="0" w:type="dxa"/>
              <w:bottom w:w="40" w:type="dxa"/>
              <w:right w:w="20" w:type="dxa"/>
            </w:tcMar>
            <w:vAlign w:val="bottom"/>
          </w:tcPr>
          <w:p w14:paraId="22CFD60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60E"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60F"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D610" w14:textId="77777777" w:rsidR="002661BA" w:rsidRDefault="002661BA">
            <w:pPr>
              <w:jc w:val="right"/>
              <w:rPr>
                <w:rFonts w:ascii="宋体"/>
              </w:rPr>
            </w:pPr>
          </w:p>
        </w:tc>
      </w:tr>
      <w:tr w:rsidR="002661BA" w14:paraId="22CFD619" w14:textId="77777777">
        <w:trPr>
          <w:hidden/>
        </w:trPr>
        <w:tc>
          <w:tcPr>
            <w:tcW w:w="0" w:type="auto"/>
            <w:gridSpan w:val="3"/>
            <w:shd w:val="clear" w:color="auto" w:fill="auto"/>
            <w:vAlign w:val="bottom"/>
          </w:tcPr>
          <w:p w14:paraId="22CFD612" w14:textId="77777777" w:rsidR="002661BA" w:rsidRDefault="002661BA">
            <w:pPr>
              <w:rPr>
                <w:rFonts w:ascii="宋体"/>
                <w:vanish/>
              </w:rPr>
            </w:pPr>
          </w:p>
        </w:tc>
        <w:tc>
          <w:tcPr>
            <w:tcW w:w="0" w:type="auto"/>
            <w:gridSpan w:val="3"/>
            <w:shd w:val="clear" w:color="auto" w:fill="auto"/>
            <w:vAlign w:val="bottom"/>
          </w:tcPr>
          <w:p w14:paraId="22CFD613" w14:textId="77777777" w:rsidR="002661BA" w:rsidRDefault="002661BA">
            <w:pPr>
              <w:rPr>
                <w:rFonts w:ascii="宋体"/>
                <w:vanish/>
              </w:rPr>
            </w:pPr>
          </w:p>
        </w:tc>
        <w:tc>
          <w:tcPr>
            <w:tcW w:w="0" w:type="auto"/>
            <w:gridSpan w:val="3"/>
            <w:shd w:val="clear" w:color="auto" w:fill="auto"/>
            <w:vAlign w:val="bottom"/>
          </w:tcPr>
          <w:p w14:paraId="22CFD614" w14:textId="77777777" w:rsidR="002661BA" w:rsidRDefault="002661BA">
            <w:pPr>
              <w:rPr>
                <w:rFonts w:ascii="宋体"/>
                <w:vanish/>
              </w:rPr>
            </w:pPr>
          </w:p>
        </w:tc>
        <w:tc>
          <w:tcPr>
            <w:tcW w:w="0" w:type="auto"/>
            <w:gridSpan w:val="3"/>
            <w:shd w:val="clear" w:color="auto" w:fill="auto"/>
            <w:vAlign w:val="bottom"/>
          </w:tcPr>
          <w:p w14:paraId="22CFD615" w14:textId="77777777" w:rsidR="002661BA" w:rsidRDefault="002661BA">
            <w:pPr>
              <w:rPr>
                <w:rFonts w:ascii="宋体"/>
                <w:vanish/>
              </w:rPr>
            </w:pPr>
          </w:p>
        </w:tc>
        <w:tc>
          <w:tcPr>
            <w:tcW w:w="0" w:type="auto"/>
            <w:gridSpan w:val="3"/>
            <w:shd w:val="clear" w:color="auto" w:fill="auto"/>
            <w:vAlign w:val="bottom"/>
          </w:tcPr>
          <w:p w14:paraId="22CFD616" w14:textId="77777777" w:rsidR="002661BA" w:rsidRDefault="002661BA">
            <w:pPr>
              <w:rPr>
                <w:rFonts w:ascii="宋体"/>
                <w:vanish/>
              </w:rPr>
            </w:pPr>
          </w:p>
        </w:tc>
        <w:tc>
          <w:tcPr>
            <w:tcW w:w="0" w:type="auto"/>
            <w:gridSpan w:val="3"/>
            <w:shd w:val="clear" w:color="auto" w:fill="auto"/>
            <w:vAlign w:val="bottom"/>
          </w:tcPr>
          <w:p w14:paraId="22CFD617" w14:textId="77777777" w:rsidR="002661BA" w:rsidRDefault="002661BA">
            <w:pPr>
              <w:rPr>
                <w:rFonts w:ascii="宋体"/>
                <w:vanish/>
              </w:rPr>
            </w:pPr>
          </w:p>
        </w:tc>
        <w:tc>
          <w:tcPr>
            <w:tcW w:w="0" w:type="auto"/>
            <w:gridSpan w:val="3"/>
            <w:shd w:val="clear" w:color="auto" w:fill="auto"/>
            <w:vAlign w:val="bottom"/>
          </w:tcPr>
          <w:p w14:paraId="22CFD618" w14:textId="77777777" w:rsidR="002661BA" w:rsidRDefault="002661BA">
            <w:pPr>
              <w:rPr>
                <w:rFonts w:ascii="宋体"/>
                <w:vanish/>
              </w:rPr>
            </w:pPr>
          </w:p>
        </w:tc>
      </w:tr>
      <w:tr w:rsidR="002661BA" w14:paraId="22CFD621" w14:textId="77777777">
        <w:trPr>
          <w:hidden/>
        </w:trPr>
        <w:tc>
          <w:tcPr>
            <w:tcW w:w="0" w:type="auto"/>
            <w:gridSpan w:val="3"/>
            <w:shd w:val="clear" w:color="auto" w:fill="auto"/>
            <w:vAlign w:val="bottom"/>
          </w:tcPr>
          <w:p w14:paraId="22CFD61A" w14:textId="77777777" w:rsidR="002661BA" w:rsidRDefault="002661BA">
            <w:pPr>
              <w:rPr>
                <w:rFonts w:ascii="宋体"/>
                <w:vanish/>
              </w:rPr>
            </w:pPr>
          </w:p>
        </w:tc>
        <w:tc>
          <w:tcPr>
            <w:tcW w:w="0" w:type="auto"/>
            <w:gridSpan w:val="3"/>
            <w:shd w:val="clear" w:color="auto" w:fill="auto"/>
            <w:vAlign w:val="bottom"/>
          </w:tcPr>
          <w:p w14:paraId="22CFD61B" w14:textId="77777777" w:rsidR="002661BA" w:rsidRDefault="002661BA">
            <w:pPr>
              <w:rPr>
                <w:rFonts w:ascii="宋体"/>
                <w:vanish/>
              </w:rPr>
            </w:pPr>
          </w:p>
        </w:tc>
        <w:tc>
          <w:tcPr>
            <w:tcW w:w="0" w:type="auto"/>
            <w:gridSpan w:val="3"/>
            <w:shd w:val="clear" w:color="auto" w:fill="auto"/>
            <w:vAlign w:val="bottom"/>
          </w:tcPr>
          <w:p w14:paraId="22CFD61C" w14:textId="77777777" w:rsidR="002661BA" w:rsidRDefault="002661BA">
            <w:pPr>
              <w:rPr>
                <w:rFonts w:ascii="宋体"/>
                <w:vanish/>
              </w:rPr>
            </w:pPr>
          </w:p>
        </w:tc>
        <w:tc>
          <w:tcPr>
            <w:tcW w:w="0" w:type="auto"/>
            <w:gridSpan w:val="3"/>
            <w:shd w:val="clear" w:color="auto" w:fill="auto"/>
            <w:vAlign w:val="bottom"/>
          </w:tcPr>
          <w:p w14:paraId="22CFD61D" w14:textId="77777777" w:rsidR="002661BA" w:rsidRDefault="002661BA">
            <w:pPr>
              <w:rPr>
                <w:rFonts w:ascii="宋体"/>
                <w:vanish/>
              </w:rPr>
            </w:pPr>
          </w:p>
        </w:tc>
        <w:tc>
          <w:tcPr>
            <w:tcW w:w="0" w:type="auto"/>
            <w:gridSpan w:val="3"/>
            <w:shd w:val="clear" w:color="auto" w:fill="auto"/>
            <w:vAlign w:val="bottom"/>
          </w:tcPr>
          <w:p w14:paraId="22CFD61E" w14:textId="77777777" w:rsidR="002661BA" w:rsidRDefault="002661BA">
            <w:pPr>
              <w:rPr>
                <w:rFonts w:ascii="宋体"/>
                <w:vanish/>
              </w:rPr>
            </w:pPr>
          </w:p>
        </w:tc>
        <w:tc>
          <w:tcPr>
            <w:tcW w:w="0" w:type="auto"/>
            <w:gridSpan w:val="3"/>
            <w:shd w:val="clear" w:color="auto" w:fill="auto"/>
            <w:vAlign w:val="bottom"/>
          </w:tcPr>
          <w:p w14:paraId="22CFD61F" w14:textId="77777777" w:rsidR="002661BA" w:rsidRDefault="002661BA">
            <w:pPr>
              <w:rPr>
                <w:rFonts w:ascii="宋体"/>
                <w:vanish/>
              </w:rPr>
            </w:pPr>
          </w:p>
        </w:tc>
        <w:tc>
          <w:tcPr>
            <w:tcW w:w="0" w:type="auto"/>
            <w:gridSpan w:val="3"/>
            <w:shd w:val="clear" w:color="auto" w:fill="auto"/>
            <w:vAlign w:val="bottom"/>
          </w:tcPr>
          <w:p w14:paraId="22CFD620" w14:textId="77777777" w:rsidR="002661BA" w:rsidRDefault="002661BA">
            <w:pPr>
              <w:rPr>
                <w:rFonts w:ascii="宋体"/>
                <w:vanish/>
              </w:rPr>
            </w:pPr>
          </w:p>
        </w:tc>
      </w:tr>
      <w:tr w:rsidR="002661BA" w14:paraId="22CFD629" w14:textId="77777777">
        <w:trPr>
          <w:hidden/>
        </w:trPr>
        <w:tc>
          <w:tcPr>
            <w:tcW w:w="0" w:type="auto"/>
            <w:gridSpan w:val="3"/>
            <w:shd w:val="clear" w:color="auto" w:fill="auto"/>
            <w:vAlign w:val="bottom"/>
          </w:tcPr>
          <w:p w14:paraId="22CFD622" w14:textId="77777777" w:rsidR="002661BA" w:rsidRDefault="002661BA">
            <w:pPr>
              <w:rPr>
                <w:rFonts w:ascii="宋体"/>
                <w:vanish/>
              </w:rPr>
            </w:pPr>
          </w:p>
        </w:tc>
        <w:tc>
          <w:tcPr>
            <w:tcW w:w="0" w:type="auto"/>
            <w:gridSpan w:val="3"/>
            <w:shd w:val="clear" w:color="auto" w:fill="auto"/>
            <w:vAlign w:val="bottom"/>
          </w:tcPr>
          <w:p w14:paraId="22CFD623" w14:textId="77777777" w:rsidR="002661BA" w:rsidRDefault="002661BA">
            <w:pPr>
              <w:rPr>
                <w:rFonts w:ascii="宋体"/>
                <w:vanish/>
              </w:rPr>
            </w:pPr>
          </w:p>
        </w:tc>
        <w:tc>
          <w:tcPr>
            <w:tcW w:w="0" w:type="auto"/>
            <w:gridSpan w:val="3"/>
            <w:shd w:val="clear" w:color="auto" w:fill="auto"/>
            <w:vAlign w:val="bottom"/>
          </w:tcPr>
          <w:p w14:paraId="22CFD624" w14:textId="77777777" w:rsidR="002661BA" w:rsidRDefault="002661BA">
            <w:pPr>
              <w:rPr>
                <w:rFonts w:ascii="宋体"/>
                <w:vanish/>
              </w:rPr>
            </w:pPr>
          </w:p>
        </w:tc>
        <w:tc>
          <w:tcPr>
            <w:tcW w:w="0" w:type="auto"/>
            <w:gridSpan w:val="3"/>
            <w:shd w:val="clear" w:color="auto" w:fill="auto"/>
            <w:vAlign w:val="bottom"/>
          </w:tcPr>
          <w:p w14:paraId="22CFD625" w14:textId="77777777" w:rsidR="002661BA" w:rsidRDefault="002661BA">
            <w:pPr>
              <w:rPr>
                <w:rFonts w:ascii="宋体"/>
                <w:vanish/>
              </w:rPr>
            </w:pPr>
          </w:p>
        </w:tc>
        <w:tc>
          <w:tcPr>
            <w:tcW w:w="0" w:type="auto"/>
            <w:gridSpan w:val="3"/>
            <w:shd w:val="clear" w:color="auto" w:fill="auto"/>
            <w:vAlign w:val="bottom"/>
          </w:tcPr>
          <w:p w14:paraId="22CFD626" w14:textId="77777777" w:rsidR="002661BA" w:rsidRDefault="002661BA">
            <w:pPr>
              <w:rPr>
                <w:rFonts w:ascii="宋体"/>
                <w:vanish/>
              </w:rPr>
            </w:pPr>
          </w:p>
        </w:tc>
        <w:tc>
          <w:tcPr>
            <w:tcW w:w="0" w:type="auto"/>
            <w:gridSpan w:val="3"/>
            <w:shd w:val="clear" w:color="auto" w:fill="auto"/>
            <w:vAlign w:val="bottom"/>
          </w:tcPr>
          <w:p w14:paraId="22CFD627" w14:textId="77777777" w:rsidR="002661BA" w:rsidRDefault="002661BA">
            <w:pPr>
              <w:rPr>
                <w:rFonts w:ascii="宋体"/>
                <w:vanish/>
              </w:rPr>
            </w:pPr>
          </w:p>
        </w:tc>
        <w:tc>
          <w:tcPr>
            <w:tcW w:w="0" w:type="auto"/>
            <w:gridSpan w:val="3"/>
            <w:shd w:val="clear" w:color="auto" w:fill="auto"/>
            <w:vAlign w:val="bottom"/>
          </w:tcPr>
          <w:p w14:paraId="22CFD628" w14:textId="77777777" w:rsidR="002661BA" w:rsidRDefault="002661BA">
            <w:pPr>
              <w:rPr>
                <w:rFonts w:ascii="宋体"/>
                <w:vanish/>
              </w:rPr>
            </w:pPr>
          </w:p>
        </w:tc>
      </w:tr>
      <w:tr w:rsidR="002661BA" w14:paraId="22CFD633" w14:textId="77777777">
        <w:tc>
          <w:tcPr>
            <w:tcW w:w="0" w:type="auto"/>
            <w:gridSpan w:val="3"/>
            <w:shd w:val="clear" w:color="auto" w:fill="FFFFFF"/>
            <w:tcMar>
              <w:top w:w="40" w:type="dxa"/>
              <w:left w:w="20" w:type="dxa"/>
              <w:bottom w:w="40" w:type="dxa"/>
              <w:right w:w="20" w:type="dxa"/>
            </w:tcMar>
            <w:vAlign w:val="bottom"/>
          </w:tcPr>
          <w:p w14:paraId="22CFD62A" w14:textId="77777777" w:rsidR="002661BA" w:rsidRDefault="00D972BC">
            <w:pPr>
              <w:textAlignment w:val="bottom"/>
            </w:pPr>
            <w:r>
              <w:rPr>
                <w:rFonts w:ascii="Arial" w:eastAsia="宋体" w:hAnsi="Arial" w:cs="Arial"/>
                <w:color w:val="000000"/>
                <w:sz w:val="18"/>
                <w:szCs w:val="18"/>
              </w:rPr>
              <w:t>Interest rate contracts</w:t>
            </w:r>
          </w:p>
        </w:tc>
        <w:tc>
          <w:tcPr>
            <w:tcW w:w="0" w:type="auto"/>
            <w:gridSpan w:val="3"/>
            <w:shd w:val="clear" w:color="auto" w:fill="FFFFFF"/>
            <w:tcMar>
              <w:top w:w="0" w:type="dxa"/>
              <w:left w:w="20" w:type="dxa"/>
              <w:bottom w:w="0" w:type="dxa"/>
              <w:right w:w="20" w:type="dxa"/>
            </w:tcMar>
            <w:vAlign w:val="bottom"/>
          </w:tcPr>
          <w:p w14:paraId="22CFD62B"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D62C" w14:textId="77777777" w:rsidR="002661BA" w:rsidRDefault="00D972BC">
            <w:pPr>
              <w:textAlignment w:val="bottom"/>
            </w:pPr>
            <w:r>
              <w:rPr>
                <w:rFonts w:ascii="Arial" w:eastAsia="宋体" w:hAnsi="Arial" w:cs="Arial"/>
                <w:color w:val="000000"/>
                <w:sz w:val="18"/>
                <w:szCs w:val="18"/>
              </w:rPr>
              <w:t>Interest and other, net</w:t>
            </w:r>
          </w:p>
        </w:tc>
        <w:tc>
          <w:tcPr>
            <w:tcW w:w="0" w:type="auto"/>
            <w:gridSpan w:val="3"/>
            <w:shd w:val="clear" w:color="auto" w:fill="FFFFFF"/>
            <w:tcMar>
              <w:top w:w="0" w:type="dxa"/>
              <w:left w:w="20" w:type="dxa"/>
              <w:bottom w:w="0" w:type="dxa"/>
              <w:right w:w="20" w:type="dxa"/>
            </w:tcMar>
            <w:vAlign w:val="bottom"/>
          </w:tcPr>
          <w:p w14:paraId="22CFD62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62E" w14:textId="77777777" w:rsidR="002661BA" w:rsidRDefault="00D972BC">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22CFD62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63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631"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632" w14:textId="77777777" w:rsidR="002661BA" w:rsidRDefault="002661BA">
            <w:pPr>
              <w:jc w:val="right"/>
              <w:rPr>
                <w:rFonts w:ascii="宋体"/>
              </w:rPr>
            </w:pPr>
          </w:p>
        </w:tc>
      </w:tr>
      <w:tr w:rsidR="002661BA" w14:paraId="22CFD63D" w14:textId="77777777">
        <w:tc>
          <w:tcPr>
            <w:tcW w:w="0" w:type="auto"/>
            <w:gridSpan w:val="3"/>
            <w:shd w:val="clear" w:color="auto" w:fill="E2E2E2"/>
            <w:tcMar>
              <w:top w:w="0" w:type="dxa"/>
              <w:left w:w="20" w:type="dxa"/>
              <w:bottom w:w="0" w:type="dxa"/>
              <w:right w:w="20" w:type="dxa"/>
            </w:tcMar>
            <w:vAlign w:val="bottom"/>
          </w:tcPr>
          <w:p w14:paraId="22CFD634"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635"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D636" w14:textId="77777777" w:rsidR="002661BA" w:rsidRDefault="00D972BC">
            <w:pPr>
              <w:textAlignment w:val="bottom"/>
            </w:pPr>
            <w:r>
              <w:rPr>
                <w:rFonts w:ascii="Arial" w:eastAsia="宋体" w:hAnsi="Arial" w:cs="Arial"/>
                <w:color w:val="000000"/>
                <w:sz w:val="18"/>
                <w:szCs w:val="18"/>
              </w:rPr>
              <w:t>Total, from continuing operations before income taxes</w:t>
            </w:r>
          </w:p>
        </w:tc>
        <w:tc>
          <w:tcPr>
            <w:tcW w:w="0" w:type="auto"/>
            <w:gridSpan w:val="3"/>
            <w:shd w:val="clear" w:color="auto" w:fill="E2E2E2"/>
            <w:tcMar>
              <w:top w:w="0" w:type="dxa"/>
              <w:left w:w="20" w:type="dxa"/>
              <w:bottom w:w="0" w:type="dxa"/>
              <w:right w:w="20" w:type="dxa"/>
            </w:tcMar>
            <w:vAlign w:val="bottom"/>
          </w:tcPr>
          <w:p w14:paraId="22CFD637"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D638" w14:textId="77777777" w:rsidR="002661BA" w:rsidRDefault="00D972BC">
            <w:pPr>
              <w:jc w:val="right"/>
              <w:textAlignment w:val="bottom"/>
            </w:pPr>
            <w:r>
              <w:rPr>
                <w:rFonts w:ascii="Arial" w:eastAsia="宋体" w:hAnsi="Arial" w:cs="Arial"/>
                <w:color w:val="000000"/>
                <w:sz w:val="18"/>
                <w:szCs w:val="18"/>
              </w:rPr>
              <w:t>(59)</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63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63A"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D63B" w14:textId="77777777" w:rsidR="002661BA" w:rsidRDefault="00D972BC">
            <w:pPr>
              <w:jc w:val="right"/>
              <w:textAlignment w:val="bottom"/>
            </w:pPr>
            <w:r>
              <w:rPr>
                <w:rFonts w:ascii="Arial" w:eastAsia="宋体" w:hAnsi="Arial" w:cs="Arial"/>
                <w:color w:val="000000"/>
                <w:sz w:val="18"/>
                <w:szCs w:val="18"/>
              </w:rPr>
              <w:t>15 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63C" w14:textId="77777777" w:rsidR="002661BA" w:rsidRDefault="002661BA">
            <w:pPr>
              <w:jc w:val="right"/>
              <w:rPr>
                <w:rFonts w:ascii="宋体"/>
              </w:rPr>
            </w:pPr>
          </w:p>
        </w:tc>
      </w:tr>
      <w:tr w:rsidR="002661BA" w14:paraId="22CFD647" w14:textId="77777777">
        <w:tc>
          <w:tcPr>
            <w:tcW w:w="0" w:type="auto"/>
            <w:gridSpan w:val="3"/>
            <w:shd w:val="clear" w:color="auto" w:fill="FFFFFF"/>
            <w:tcMar>
              <w:top w:w="0" w:type="dxa"/>
              <w:left w:w="20" w:type="dxa"/>
              <w:bottom w:w="0" w:type="dxa"/>
              <w:right w:w="20" w:type="dxa"/>
            </w:tcMar>
            <w:vAlign w:val="bottom"/>
          </w:tcPr>
          <w:p w14:paraId="22CFD63E"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63F"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D640" w14:textId="77777777" w:rsidR="002661BA" w:rsidRDefault="00D972BC">
            <w:pPr>
              <w:textAlignment w:val="bottom"/>
            </w:pPr>
            <w:r>
              <w:rPr>
                <w:rFonts w:ascii="Arial" w:eastAsia="宋体" w:hAnsi="Arial" w:cs="Arial"/>
                <w:color w:val="000000"/>
                <w:sz w:val="18"/>
                <w:szCs w:val="18"/>
              </w:rPr>
              <w:t>Income taxes</w:t>
            </w:r>
          </w:p>
        </w:tc>
        <w:tc>
          <w:tcPr>
            <w:tcW w:w="0" w:type="auto"/>
            <w:gridSpan w:val="3"/>
            <w:shd w:val="clear" w:color="auto" w:fill="FFFFFF"/>
            <w:tcMar>
              <w:top w:w="0" w:type="dxa"/>
              <w:left w:w="20" w:type="dxa"/>
              <w:bottom w:w="0" w:type="dxa"/>
              <w:right w:w="20" w:type="dxa"/>
            </w:tcMar>
            <w:vAlign w:val="bottom"/>
          </w:tcPr>
          <w:p w14:paraId="22CFD641"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642" w14:textId="77777777" w:rsidR="002661BA" w:rsidRDefault="00D972BC">
            <w:pPr>
              <w:jc w:val="right"/>
              <w:textAlignment w:val="bottom"/>
            </w:pPr>
            <w:r>
              <w:rPr>
                <w:rFonts w:ascii="Arial" w:eastAsia="宋体" w:hAnsi="Arial" w:cs="Arial"/>
                <w:color w:val="000000"/>
                <w:sz w:val="18"/>
                <w:szCs w:val="18"/>
              </w:rPr>
              <w:t>13 </w:t>
            </w:r>
          </w:p>
        </w:tc>
        <w:tc>
          <w:tcPr>
            <w:tcW w:w="0" w:type="auto"/>
            <w:shd w:val="clear" w:color="auto" w:fill="FFFFFF"/>
            <w:tcMar>
              <w:top w:w="40" w:type="dxa"/>
              <w:left w:w="0" w:type="dxa"/>
              <w:bottom w:w="40" w:type="dxa"/>
              <w:right w:w="20" w:type="dxa"/>
            </w:tcMar>
            <w:vAlign w:val="bottom"/>
          </w:tcPr>
          <w:p w14:paraId="22CFD64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644"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645" w14:textId="77777777" w:rsidR="002661BA" w:rsidRDefault="00D972BC">
            <w:pPr>
              <w:jc w:val="right"/>
              <w:textAlignment w:val="bottom"/>
            </w:pPr>
            <w:r>
              <w:rPr>
                <w:rFonts w:ascii="Arial" w:eastAsia="宋体" w:hAnsi="Arial" w:cs="Arial"/>
                <w:color w:val="000000"/>
                <w:sz w:val="18"/>
                <w:szCs w:val="18"/>
              </w:rPr>
              <w:t>(3)</w:t>
            </w:r>
          </w:p>
        </w:tc>
        <w:tc>
          <w:tcPr>
            <w:tcW w:w="0" w:type="auto"/>
            <w:shd w:val="clear" w:color="auto" w:fill="FFFFFF"/>
            <w:tcMar>
              <w:top w:w="40" w:type="dxa"/>
              <w:left w:w="0" w:type="dxa"/>
              <w:bottom w:w="40" w:type="dxa"/>
              <w:right w:w="20" w:type="dxa"/>
            </w:tcMar>
            <w:vAlign w:val="bottom"/>
          </w:tcPr>
          <w:p w14:paraId="22CFD646" w14:textId="77777777" w:rsidR="002661BA" w:rsidRDefault="002661BA">
            <w:pPr>
              <w:jc w:val="right"/>
              <w:rPr>
                <w:rFonts w:ascii="宋体"/>
              </w:rPr>
            </w:pPr>
          </w:p>
        </w:tc>
      </w:tr>
      <w:tr w:rsidR="002661BA" w14:paraId="22CFD651" w14:textId="77777777">
        <w:tc>
          <w:tcPr>
            <w:tcW w:w="0" w:type="auto"/>
            <w:gridSpan w:val="3"/>
            <w:shd w:val="clear" w:color="auto" w:fill="E2E2E2"/>
            <w:tcMar>
              <w:top w:w="0" w:type="dxa"/>
              <w:left w:w="20" w:type="dxa"/>
              <w:bottom w:w="0" w:type="dxa"/>
              <w:right w:w="20" w:type="dxa"/>
            </w:tcMar>
            <w:vAlign w:val="bottom"/>
          </w:tcPr>
          <w:p w14:paraId="22CFD648"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649"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D64A" w14:textId="77777777" w:rsidR="002661BA" w:rsidRDefault="00D972BC">
            <w:pPr>
              <w:textAlignment w:val="bottom"/>
            </w:pPr>
            <w:r>
              <w:rPr>
                <w:rFonts w:ascii="Arial" w:eastAsia="宋体" w:hAnsi="Arial" w:cs="Arial"/>
                <w:color w:val="000000"/>
                <w:sz w:val="18"/>
                <w:szCs w:val="18"/>
              </w:rPr>
              <w:t>Total, from continuing operations net of income taxes</w:t>
            </w:r>
          </w:p>
        </w:tc>
        <w:tc>
          <w:tcPr>
            <w:tcW w:w="0" w:type="auto"/>
            <w:gridSpan w:val="3"/>
            <w:shd w:val="clear" w:color="auto" w:fill="E2E2E2"/>
            <w:tcMar>
              <w:top w:w="0" w:type="dxa"/>
              <w:left w:w="20" w:type="dxa"/>
              <w:bottom w:w="0" w:type="dxa"/>
              <w:right w:w="20" w:type="dxa"/>
            </w:tcMar>
            <w:vAlign w:val="bottom"/>
          </w:tcPr>
          <w:p w14:paraId="22CFD64B"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D64C" w14:textId="77777777" w:rsidR="002661BA" w:rsidRDefault="00D972BC">
            <w:pPr>
              <w:jc w:val="right"/>
              <w:textAlignment w:val="bottom"/>
            </w:pPr>
            <w:r>
              <w:rPr>
                <w:rFonts w:ascii="Arial" w:eastAsia="宋体" w:hAnsi="Arial" w:cs="Arial"/>
                <w:color w:val="000000"/>
                <w:sz w:val="18"/>
                <w:szCs w:val="18"/>
              </w:rPr>
              <w:t>(46)</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64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64E" w14:textId="77777777" w:rsidR="002661BA" w:rsidRDefault="002661B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22CFD64F" w14:textId="77777777" w:rsidR="002661BA" w:rsidRDefault="00D972BC">
            <w:pPr>
              <w:jc w:val="right"/>
              <w:textAlignment w:val="bottom"/>
            </w:pPr>
            <w:r>
              <w:rPr>
                <w:rFonts w:ascii="Arial" w:eastAsia="宋体" w:hAnsi="Arial" w:cs="Arial"/>
                <w:color w:val="000000"/>
                <w:sz w:val="18"/>
                <w:szCs w:val="18"/>
              </w:rPr>
              <w:t>12 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650" w14:textId="77777777" w:rsidR="002661BA" w:rsidRDefault="002661BA">
            <w:pPr>
              <w:jc w:val="right"/>
              <w:rPr>
                <w:rFonts w:ascii="宋体"/>
              </w:rPr>
            </w:pPr>
          </w:p>
        </w:tc>
      </w:tr>
      <w:tr w:rsidR="002661BA" w14:paraId="22CFD659" w14:textId="77777777">
        <w:trPr>
          <w:hidden/>
        </w:trPr>
        <w:tc>
          <w:tcPr>
            <w:tcW w:w="0" w:type="auto"/>
            <w:gridSpan w:val="3"/>
            <w:shd w:val="clear" w:color="auto" w:fill="auto"/>
            <w:vAlign w:val="bottom"/>
          </w:tcPr>
          <w:p w14:paraId="22CFD652" w14:textId="77777777" w:rsidR="002661BA" w:rsidRDefault="002661BA">
            <w:pPr>
              <w:rPr>
                <w:rFonts w:ascii="宋体"/>
                <w:vanish/>
              </w:rPr>
            </w:pPr>
          </w:p>
        </w:tc>
        <w:tc>
          <w:tcPr>
            <w:tcW w:w="0" w:type="auto"/>
            <w:gridSpan w:val="3"/>
            <w:shd w:val="clear" w:color="auto" w:fill="auto"/>
            <w:vAlign w:val="bottom"/>
          </w:tcPr>
          <w:p w14:paraId="22CFD653" w14:textId="77777777" w:rsidR="002661BA" w:rsidRDefault="002661BA">
            <w:pPr>
              <w:rPr>
                <w:rFonts w:ascii="宋体"/>
                <w:vanish/>
              </w:rPr>
            </w:pPr>
          </w:p>
        </w:tc>
        <w:tc>
          <w:tcPr>
            <w:tcW w:w="0" w:type="auto"/>
            <w:gridSpan w:val="3"/>
            <w:shd w:val="clear" w:color="auto" w:fill="auto"/>
            <w:vAlign w:val="bottom"/>
          </w:tcPr>
          <w:p w14:paraId="22CFD654" w14:textId="77777777" w:rsidR="002661BA" w:rsidRDefault="002661BA">
            <w:pPr>
              <w:rPr>
                <w:rFonts w:ascii="宋体"/>
                <w:vanish/>
              </w:rPr>
            </w:pPr>
          </w:p>
        </w:tc>
        <w:tc>
          <w:tcPr>
            <w:tcW w:w="0" w:type="auto"/>
            <w:gridSpan w:val="3"/>
            <w:shd w:val="clear" w:color="auto" w:fill="auto"/>
            <w:vAlign w:val="bottom"/>
          </w:tcPr>
          <w:p w14:paraId="22CFD655" w14:textId="77777777" w:rsidR="002661BA" w:rsidRDefault="002661BA">
            <w:pPr>
              <w:rPr>
                <w:rFonts w:ascii="宋体"/>
                <w:vanish/>
              </w:rPr>
            </w:pPr>
          </w:p>
        </w:tc>
        <w:tc>
          <w:tcPr>
            <w:tcW w:w="0" w:type="auto"/>
            <w:gridSpan w:val="3"/>
            <w:shd w:val="clear" w:color="auto" w:fill="auto"/>
            <w:vAlign w:val="bottom"/>
          </w:tcPr>
          <w:p w14:paraId="22CFD656" w14:textId="77777777" w:rsidR="002661BA" w:rsidRDefault="002661BA">
            <w:pPr>
              <w:rPr>
                <w:rFonts w:ascii="宋体"/>
                <w:vanish/>
              </w:rPr>
            </w:pPr>
          </w:p>
        </w:tc>
        <w:tc>
          <w:tcPr>
            <w:tcW w:w="0" w:type="auto"/>
            <w:gridSpan w:val="3"/>
            <w:shd w:val="clear" w:color="auto" w:fill="auto"/>
            <w:vAlign w:val="bottom"/>
          </w:tcPr>
          <w:p w14:paraId="22CFD657" w14:textId="77777777" w:rsidR="002661BA" w:rsidRDefault="002661BA">
            <w:pPr>
              <w:rPr>
                <w:rFonts w:ascii="宋体"/>
                <w:vanish/>
              </w:rPr>
            </w:pPr>
          </w:p>
        </w:tc>
        <w:tc>
          <w:tcPr>
            <w:tcW w:w="0" w:type="auto"/>
            <w:gridSpan w:val="3"/>
            <w:shd w:val="clear" w:color="auto" w:fill="auto"/>
            <w:vAlign w:val="bottom"/>
          </w:tcPr>
          <w:p w14:paraId="22CFD658" w14:textId="77777777" w:rsidR="002661BA" w:rsidRDefault="002661BA">
            <w:pPr>
              <w:rPr>
                <w:rFonts w:ascii="宋体"/>
                <w:vanish/>
              </w:rPr>
            </w:pPr>
          </w:p>
        </w:tc>
      </w:tr>
      <w:tr w:rsidR="002661BA" w14:paraId="22CFD661" w14:textId="77777777">
        <w:trPr>
          <w:hidden/>
        </w:trPr>
        <w:tc>
          <w:tcPr>
            <w:tcW w:w="0" w:type="auto"/>
            <w:gridSpan w:val="3"/>
            <w:shd w:val="clear" w:color="auto" w:fill="auto"/>
            <w:vAlign w:val="bottom"/>
          </w:tcPr>
          <w:p w14:paraId="22CFD65A" w14:textId="77777777" w:rsidR="002661BA" w:rsidRDefault="002661BA">
            <w:pPr>
              <w:rPr>
                <w:rFonts w:ascii="宋体"/>
                <w:vanish/>
              </w:rPr>
            </w:pPr>
          </w:p>
        </w:tc>
        <w:tc>
          <w:tcPr>
            <w:tcW w:w="0" w:type="auto"/>
            <w:gridSpan w:val="3"/>
            <w:shd w:val="clear" w:color="auto" w:fill="auto"/>
            <w:vAlign w:val="bottom"/>
          </w:tcPr>
          <w:p w14:paraId="22CFD65B" w14:textId="77777777" w:rsidR="002661BA" w:rsidRDefault="002661BA">
            <w:pPr>
              <w:rPr>
                <w:rFonts w:ascii="宋体"/>
                <w:vanish/>
              </w:rPr>
            </w:pPr>
          </w:p>
        </w:tc>
        <w:tc>
          <w:tcPr>
            <w:tcW w:w="0" w:type="auto"/>
            <w:gridSpan w:val="3"/>
            <w:shd w:val="clear" w:color="auto" w:fill="auto"/>
            <w:vAlign w:val="bottom"/>
          </w:tcPr>
          <w:p w14:paraId="22CFD65C" w14:textId="77777777" w:rsidR="002661BA" w:rsidRDefault="002661BA">
            <w:pPr>
              <w:rPr>
                <w:rFonts w:ascii="宋体"/>
                <w:vanish/>
              </w:rPr>
            </w:pPr>
          </w:p>
        </w:tc>
        <w:tc>
          <w:tcPr>
            <w:tcW w:w="0" w:type="auto"/>
            <w:gridSpan w:val="3"/>
            <w:shd w:val="clear" w:color="auto" w:fill="auto"/>
            <w:vAlign w:val="bottom"/>
          </w:tcPr>
          <w:p w14:paraId="22CFD65D" w14:textId="77777777" w:rsidR="002661BA" w:rsidRDefault="002661BA">
            <w:pPr>
              <w:rPr>
                <w:rFonts w:ascii="宋体"/>
                <w:vanish/>
              </w:rPr>
            </w:pPr>
          </w:p>
        </w:tc>
        <w:tc>
          <w:tcPr>
            <w:tcW w:w="0" w:type="auto"/>
            <w:gridSpan w:val="3"/>
            <w:shd w:val="clear" w:color="auto" w:fill="auto"/>
            <w:vAlign w:val="bottom"/>
          </w:tcPr>
          <w:p w14:paraId="22CFD65E" w14:textId="77777777" w:rsidR="002661BA" w:rsidRDefault="002661BA">
            <w:pPr>
              <w:rPr>
                <w:rFonts w:ascii="宋体"/>
                <w:vanish/>
              </w:rPr>
            </w:pPr>
          </w:p>
        </w:tc>
        <w:tc>
          <w:tcPr>
            <w:tcW w:w="0" w:type="auto"/>
            <w:gridSpan w:val="3"/>
            <w:shd w:val="clear" w:color="auto" w:fill="auto"/>
            <w:vAlign w:val="bottom"/>
          </w:tcPr>
          <w:p w14:paraId="22CFD65F" w14:textId="77777777" w:rsidR="002661BA" w:rsidRDefault="002661BA">
            <w:pPr>
              <w:rPr>
                <w:rFonts w:ascii="宋体"/>
                <w:vanish/>
              </w:rPr>
            </w:pPr>
          </w:p>
        </w:tc>
        <w:tc>
          <w:tcPr>
            <w:tcW w:w="0" w:type="auto"/>
            <w:gridSpan w:val="3"/>
            <w:shd w:val="clear" w:color="auto" w:fill="auto"/>
            <w:vAlign w:val="bottom"/>
          </w:tcPr>
          <w:p w14:paraId="22CFD660" w14:textId="77777777" w:rsidR="002661BA" w:rsidRDefault="002661BA">
            <w:pPr>
              <w:rPr>
                <w:rFonts w:ascii="宋体"/>
                <w:vanish/>
              </w:rPr>
            </w:pPr>
          </w:p>
        </w:tc>
      </w:tr>
      <w:tr w:rsidR="002661BA" w14:paraId="22CFD669" w14:textId="77777777">
        <w:trPr>
          <w:trHeight w:val="300"/>
        </w:trPr>
        <w:tc>
          <w:tcPr>
            <w:tcW w:w="0" w:type="auto"/>
            <w:gridSpan w:val="3"/>
            <w:shd w:val="clear" w:color="auto" w:fill="FFFFFF"/>
            <w:tcMar>
              <w:top w:w="0" w:type="dxa"/>
              <w:left w:w="20" w:type="dxa"/>
              <w:bottom w:w="0" w:type="dxa"/>
              <w:right w:w="20" w:type="dxa"/>
            </w:tcMar>
            <w:vAlign w:val="bottom"/>
          </w:tcPr>
          <w:p w14:paraId="22CFD662"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663"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664"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665"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666"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667"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668" w14:textId="77777777" w:rsidR="002661BA" w:rsidRDefault="002661BA">
            <w:pPr>
              <w:rPr>
                <w:rFonts w:ascii="宋体"/>
              </w:rPr>
            </w:pPr>
          </w:p>
        </w:tc>
      </w:tr>
      <w:tr w:rsidR="002661BA" w14:paraId="22CFD673" w14:textId="77777777">
        <w:tc>
          <w:tcPr>
            <w:tcW w:w="0" w:type="auto"/>
            <w:gridSpan w:val="3"/>
            <w:shd w:val="clear" w:color="auto" w:fill="E2E2E2"/>
            <w:tcMar>
              <w:top w:w="40" w:type="dxa"/>
              <w:left w:w="20" w:type="dxa"/>
              <w:bottom w:w="40" w:type="dxa"/>
              <w:right w:w="20" w:type="dxa"/>
            </w:tcMar>
            <w:vAlign w:val="bottom"/>
          </w:tcPr>
          <w:p w14:paraId="22CFD66A" w14:textId="77777777" w:rsidR="002661BA" w:rsidRDefault="00D972BC">
            <w:pPr>
              <w:textAlignment w:val="bottom"/>
            </w:pPr>
            <w:r>
              <w:rPr>
                <w:rFonts w:ascii="Arial" w:eastAsia="宋体" w:hAnsi="Arial" w:cs="Arial"/>
                <w:color w:val="000000"/>
                <w:sz w:val="18"/>
                <w:szCs w:val="18"/>
              </w:rPr>
              <w:t xml:space="preserve">Unrealized gains </w:t>
            </w:r>
            <w:r>
              <w:rPr>
                <w:rFonts w:ascii="Arial" w:eastAsia="宋体" w:hAnsi="Arial" w:cs="Arial"/>
                <w:color w:val="000000"/>
                <w:sz w:val="18"/>
                <w:szCs w:val="18"/>
              </w:rPr>
              <w:t>(losses) on investments</w:t>
            </w:r>
          </w:p>
        </w:tc>
        <w:tc>
          <w:tcPr>
            <w:tcW w:w="0" w:type="auto"/>
            <w:gridSpan w:val="3"/>
            <w:shd w:val="clear" w:color="auto" w:fill="E2E2E2"/>
            <w:tcMar>
              <w:top w:w="0" w:type="dxa"/>
              <w:left w:w="20" w:type="dxa"/>
              <w:bottom w:w="0" w:type="dxa"/>
              <w:right w:w="20" w:type="dxa"/>
            </w:tcMar>
            <w:vAlign w:val="bottom"/>
          </w:tcPr>
          <w:p w14:paraId="22CFD66B"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D66C" w14:textId="77777777" w:rsidR="002661BA" w:rsidRDefault="00D972BC">
            <w:pPr>
              <w:textAlignment w:val="bottom"/>
            </w:pPr>
            <w:r>
              <w:rPr>
                <w:rFonts w:ascii="Arial" w:eastAsia="宋体" w:hAnsi="Arial" w:cs="Arial"/>
                <w:color w:val="000000"/>
                <w:sz w:val="18"/>
                <w:szCs w:val="18"/>
              </w:rPr>
              <w:t>Interest and other, net</w:t>
            </w:r>
          </w:p>
        </w:tc>
        <w:tc>
          <w:tcPr>
            <w:tcW w:w="0" w:type="auto"/>
            <w:gridSpan w:val="3"/>
            <w:shd w:val="clear" w:color="auto" w:fill="E2E2E2"/>
            <w:tcMar>
              <w:top w:w="0" w:type="dxa"/>
              <w:left w:w="20" w:type="dxa"/>
              <w:bottom w:w="0" w:type="dxa"/>
              <w:right w:w="20" w:type="dxa"/>
            </w:tcMar>
            <w:vAlign w:val="bottom"/>
          </w:tcPr>
          <w:p w14:paraId="22CFD66D"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66E" w14:textId="77777777" w:rsidR="002661BA" w:rsidRDefault="00D972BC">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22CFD66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670"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671"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D672" w14:textId="77777777" w:rsidR="002661BA" w:rsidRDefault="002661BA">
            <w:pPr>
              <w:jc w:val="right"/>
              <w:rPr>
                <w:rFonts w:ascii="宋体"/>
              </w:rPr>
            </w:pPr>
          </w:p>
        </w:tc>
      </w:tr>
      <w:tr w:rsidR="002661BA" w14:paraId="22CFD67D" w14:textId="77777777">
        <w:tc>
          <w:tcPr>
            <w:tcW w:w="0" w:type="auto"/>
            <w:gridSpan w:val="3"/>
            <w:shd w:val="clear" w:color="auto" w:fill="FFFFFF"/>
            <w:tcMar>
              <w:top w:w="0" w:type="dxa"/>
              <w:left w:w="20" w:type="dxa"/>
              <w:bottom w:w="0" w:type="dxa"/>
              <w:right w:w="20" w:type="dxa"/>
            </w:tcMar>
            <w:vAlign w:val="bottom"/>
          </w:tcPr>
          <w:p w14:paraId="22CFD674"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675"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D676" w14:textId="77777777" w:rsidR="002661BA" w:rsidRDefault="00D972BC">
            <w:pPr>
              <w:textAlignment w:val="bottom"/>
            </w:pPr>
            <w:r>
              <w:rPr>
                <w:rFonts w:ascii="Arial" w:eastAsia="宋体" w:hAnsi="Arial" w:cs="Arial"/>
                <w:color w:val="000000"/>
                <w:sz w:val="18"/>
                <w:szCs w:val="18"/>
              </w:rPr>
              <w:t>Total, before income taxes</w:t>
            </w:r>
          </w:p>
        </w:tc>
        <w:tc>
          <w:tcPr>
            <w:tcW w:w="0" w:type="auto"/>
            <w:gridSpan w:val="3"/>
            <w:shd w:val="clear" w:color="auto" w:fill="FFFFFF"/>
            <w:tcMar>
              <w:top w:w="0" w:type="dxa"/>
              <w:left w:w="20" w:type="dxa"/>
              <w:bottom w:w="0" w:type="dxa"/>
              <w:right w:w="20" w:type="dxa"/>
            </w:tcMar>
            <w:vAlign w:val="bottom"/>
          </w:tcPr>
          <w:p w14:paraId="22CFD677"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678" w14:textId="77777777" w:rsidR="002661BA" w:rsidRDefault="00D972BC">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67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67A"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67B"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67C" w14:textId="77777777" w:rsidR="002661BA" w:rsidRDefault="002661BA">
            <w:pPr>
              <w:jc w:val="right"/>
              <w:rPr>
                <w:rFonts w:ascii="宋体"/>
              </w:rPr>
            </w:pPr>
          </w:p>
        </w:tc>
      </w:tr>
      <w:tr w:rsidR="002661BA" w14:paraId="22CFD687" w14:textId="77777777">
        <w:tc>
          <w:tcPr>
            <w:tcW w:w="0" w:type="auto"/>
            <w:gridSpan w:val="3"/>
            <w:shd w:val="clear" w:color="auto" w:fill="E2E2E2"/>
            <w:tcMar>
              <w:top w:w="0" w:type="dxa"/>
              <w:left w:w="20" w:type="dxa"/>
              <w:bottom w:w="0" w:type="dxa"/>
              <w:right w:w="20" w:type="dxa"/>
            </w:tcMar>
            <w:vAlign w:val="bottom"/>
          </w:tcPr>
          <w:p w14:paraId="22CFD67E"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67F" w14:textId="77777777" w:rsidR="002661BA" w:rsidRDefault="002661BA">
            <w:pPr>
              <w:rPr>
                <w:rFonts w:ascii="宋体"/>
              </w:rPr>
            </w:pPr>
          </w:p>
        </w:tc>
        <w:tc>
          <w:tcPr>
            <w:tcW w:w="0" w:type="auto"/>
            <w:gridSpan w:val="3"/>
            <w:shd w:val="clear" w:color="auto" w:fill="E2E2E2"/>
            <w:tcMar>
              <w:top w:w="40" w:type="dxa"/>
              <w:left w:w="20" w:type="dxa"/>
              <w:bottom w:w="40" w:type="dxa"/>
              <w:right w:w="20" w:type="dxa"/>
            </w:tcMar>
            <w:vAlign w:val="bottom"/>
          </w:tcPr>
          <w:p w14:paraId="22CFD680" w14:textId="77777777" w:rsidR="002661BA" w:rsidRDefault="00D972BC">
            <w:pPr>
              <w:textAlignment w:val="bottom"/>
            </w:pPr>
            <w:r>
              <w:rPr>
                <w:rFonts w:ascii="Arial" w:eastAsia="宋体" w:hAnsi="Arial" w:cs="Arial"/>
                <w:color w:val="000000"/>
                <w:sz w:val="18"/>
                <w:szCs w:val="18"/>
              </w:rPr>
              <w:t>Income taxes</w:t>
            </w:r>
          </w:p>
        </w:tc>
        <w:tc>
          <w:tcPr>
            <w:tcW w:w="0" w:type="auto"/>
            <w:gridSpan w:val="3"/>
            <w:shd w:val="clear" w:color="auto" w:fill="E2E2E2"/>
            <w:tcMar>
              <w:top w:w="0" w:type="dxa"/>
              <w:left w:w="20" w:type="dxa"/>
              <w:bottom w:w="0" w:type="dxa"/>
              <w:right w:w="20" w:type="dxa"/>
            </w:tcMar>
            <w:vAlign w:val="bottom"/>
          </w:tcPr>
          <w:p w14:paraId="22CFD681"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682"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D683"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684"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685"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22CFD686" w14:textId="77777777" w:rsidR="002661BA" w:rsidRDefault="002661BA">
            <w:pPr>
              <w:jc w:val="right"/>
              <w:rPr>
                <w:rFonts w:ascii="宋体"/>
              </w:rPr>
            </w:pPr>
          </w:p>
        </w:tc>
      </w:tr>
      <w:tr w:rsidR="002661BA" w14:paraId="22CFD691" w14:textId="77777777">
        <w:tc>
          <w:tcPr>
            <w:tcW w:w="0" w:type="auto"/>
            <w:gridSpan w:val="3"/>
            <w:shd w:val="clear" w:color="auto" w:fill="FFFFFF"/>
            <w:tcMar>
              <w:top w:w="0" w:type="dxa"/>
              <w:left w:w="20" w:type="dxa"/>
              <w:bottom w:w="0" w:type="dxa"/>
              <w:right w:w="20" w:type="dxa"/>
            </w:tcMar>
            <w:vAlign w:val="bottom"/>
          </w:tcPr>
          <w:p w14:paraId="22CFD688"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689"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D68A" w14:textId="77777777" w:rsidR="002661BA" w:rsidRDefault="00D972BC">
            <w:pPr>
              <w:textAlignment w:val="bottom"/>
            </w:pPr>
            <w:r>
              <w:rPr>
                <w:rFonts w:ascii="Arial" w:eastAsia="宋体" w:hAnsi="Arial" w:cs="Arial"/>
                <w:color w:val="000000"/>
                <w:sz w:val="18"/>
                <w:szCs w:val="18"/>
              </w:rPr>
              <w:t>Total, net of income taxes</w:t>
            </w:r>
          </w:p>
        </w:tc>
        <w:tc>
          <w:tcPr>
            <w:tcW w:w="0" w:type="auto"/>
            <w:gridSpan w:val="3"/>
            <w:shd w:val="clear" w:color="auto" w:fill="FFFFFF"/>
            <w:tcMar>
              <w:top w:w="0" w:type="dxa"/>
              <w:left w:w="20" w:type="dxa"/>
              <w:bottom w:w="0" w:type="dxa"/>
              <w:right w:w="20" w:type="dxa"/>
            </w:tcMar>
            <w:vAlign w:val="bottom"/>
          </w:tcPr>
          <w:p w14:paraId="22CFD68B"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68C" w14:textId="77777777" w:rsidR="002661BA" w:rsidRDefault="00D972BC">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68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68E" w14:textId="77777777" w:rsidR="002661BA" w:rsidRDefault="002661B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2CFD68F"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690" w14:textId="77777777" w:rsidR="002661BA" w:rsidRDefault="002661BA">
            <w:pPr>
              <w:jc w:val="right"/>
              <w:rPr>
                <w:rFonts w:ascii="宋体"/>
              </w:rPr>
            </w:pPr>
          </w:p>
        </w:tc>
      </w:tr>
      <w:tr w:rsidR="002661BA" w14:paraId="22CFD699" w14:textId="77777777">
        <w:trPr>
          <w:trHeight w:val="300"/>
        </w:trPr>
        <w:tc>
          <w:tcPr>
            <w:tcW w:w="0" w:type="auto"/>
            <w:gridSpan w:val="3"/>
            <w:shd w:val="clear" w:color="auto" w:fill="E2E2E2"/>
            <w:tcMar>
              <w:top w:w="0" w:type="dxa"/>
              <w:left w:w="20" w:type="dxa"/>
              <w:bottom w:w="0" w:type="dxa"/>
              <w:right w:w="20" w:type="dxa"/>
            </w:tcMar>
            <w:vAlign w:val="bottom"/>
          </w:tcPr>
          <w:p w14:paraId="22CFD692"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693"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694"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695"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696"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697"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698" w14:textId="77777777" w:rsidR="002661BA" w:rsidRDefault="002661BA">
            <w:pPr>
              <w:rPr>
                <w:rFonts w:ascii="宋体"/>
              </w:rPr>
            </w:pPr>
          </w:p>
        </w:tc>
      </w:tr>
      <w:tr w:rsidR="002661BA" w14:paraId="22CFD6A3" w14:textId="77777777">
        <w:tc>
          <w:tcPr>
            <w:tcW w:w="0" w:type="auto"/>
            <w:gridSpan w:val="3"/>
            <w:shd w:val="clear" w:color="auto" w:fill="FFFFFF"/>
            <w:tcMar>
              <w:top w:w="40" w:type="dxa"/>
              <w:left w:w="20" w:type="dxa"/>
              <w:bottom w:w="40" w:type="dxa"/>
              <w:right w:w="20" w:type="dxa"/>
            </w:tcMar>
            <w:vAlign w:val="bottom"/>
          </w:tcPr>
          <w:p w14:paraId="22CFD69A" w14:textId="77777777" w:rsidR="002661BA" w:rsidRDefault="00D972BC">
            <w:pPr>
              <w:textAlignment w:val="bottom"/>
            </w:pPr>
            <w:r>
              <w:rPr>
                <w:rFonts w:ascii="Arial" w:eastAsia="宋体" w:hAnsi="Arial" w:cs="Arial"/>
                <w:color w:val="000000"/>
                <w:sz w:val="18"/>
                <w:szCs w:val="18"/>
              </w:rPr>
              <w:t>Foreign currency translation</w:t>
            </w:r>
          </w:p>
        </w:tc>
        <w:tc>
          <w:tcPr>
            <w:tcW w:w="0" w:type="auto"/>
            <w:gridSpan w:val="3"/>
            <w:shd w:val="clear" w:color="auto" w:fill="FFFFFF"/>
            <w:tcMar>
              <w:top w:w="0" w:type="dxa"/>
              <w:left w:w="20" w:type="dxa"/>
              <w:bottom w:w="0" w:type="dxa"/>
              <w:right w:w="20" w:type="dxa"/>
            </w:tcMar>
            <w:vAlign w:val="bottom"/>
          </w:tcPr>
          <w:p w14:paraId="22CFD69B"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D69C" w14:textId="77777777" w:rsidR="002661BA" w:rsidRDefault="00D972BC">
            <w:pPr>
              <w:textAlignment w:val="bottom"/>
            </w:pPr>
            <w:r>
              <w:rPr>
                <w:rFonts w:ascii="Arial" w:eastAsia="宋体" w:hAnsi="Arial" w:cs="Arial"/>
                <w:color w:val="000000"/>
                <w:sz w:val="18"/>
                <w:szCs w:val="18"/>
              </w:rPr>
              <w:t>Discontinued operations net of income taxes</w:t>
            </w:r>
          </w:p>
        </w:tc>
        <w:tc>
          <w:tcPr>
            <w:tcW w:w="0" w:type="auto"/>
            <w:gridSpan w:val="3"/>
            <w:shd w:val="clear" w:color="auto" w:fill="FFFFFF"/>
            <w:tcMar>
              <w:top w:w="0" w:type="dxa"/>
              <w:left w:w="20" w:type="dxa"/>
              <w:bottom w:w="0" w:type="dxa"/>
              <w:right w:w="20" w:type="dxa"/>
            </w:tcMar>
            <w:vAlign w:val="bottom"/>
          </w:tcPr>
          <w:p w14:paraId="22CFD69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69E" w14:textId="77777777" w:rsidR="002661BA" w:rsidRDefault="00D972BC">
            <w:pPr>
              <w:jc w:val="right"/>
              <w:textAlignment w:val="bottom"/>
            </w:pPr>
            <w:r>
              <w:rPr>
                <w:rFonts w:ascii="Arial" w:eastAsia="宋体" w:hAnsi="Arial" w:cs="Arial"/>
                <w:color w:val="000000"/>
                <w:sz w:val="18"/>
                <w:szCs w:val="18"/>
              </w:rPr>
              <w:t>125 </w:t>
            </w:r>
          </w:p>
        </w:tc>
        <w:tc>
          <w:tcPr>
            <w:tcW w:w="0" w:type="auto"/>
            <w:shd w:val="clear" w:color="auto" w:fill="FFFFFF"/>
            <w:tcMar>
              <w:top w:w="40" w:type="dxa"/>
              <w:left w:w="0" w:type="dxa"/>
              <w:bottom w:w="40" w:type="dxa"/>
              <w:right w:w="20" w:type="dxa"/>
            </w:tcMar>
            <w:vAlign w:val="bottom"/>
          </w:tcPr>
          <w:p w14:paraId="22CFD69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6A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6A1"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6A2" w14:textId="77777777" w:rsidR="002661BA" w:rsidRDefault="002661BA">
            <w:pPr>
              <w:jc w:val="right"/>
              <w:rPr>
                <w:rFonts w:ascii="宋体"/>
              </w:rPr>
            </w:pPr>
          </w:p>
        </w:tc>
      </w:tr>
      <w:tr w:rsidR="002661BA" w14:paraId="22CFD6AB" w14:textId="77777777">
        <w:trPr>
          <w:trHeight w:val="280"/>
        </w:trPr>
        <w:tc>
          <w:tcPr>
            <w:tcW w:w="0" w:type="auto"/>
            <w:gridSpan w:val="3"/>
            <w:shd w:val="clear" w:color="auto" w:fill="E2E2E2"/>
            <w:tcMar>
              <w:top w:w="0" w:type="dxa"/>
              <w:left w:w="20" w:type="dxa"/>
              <w:bottom w:w="0" w:type="dxa"/>
              <w:right w:w="20" w:type="dxa"/>
            </w:tcMar>
            <w:vAlign w:val="bottom"/>
          </w:tcPr>
          <w:p w14:paraId="22CFD6A4"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6A5"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6A6"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6A7"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6A8"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6A9"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6AA" w14:textId="77777777" w:rsidR="002661BA" w:rsidRDefault="002661BA">
            <w:pPr>
              <w:rPr>
                <w:rFonts w:ascii="宋体"/>
              </w:rPr>
            </w:pPr>
          </w:p>
        </w:tc>
      </w:tr>
      <w:tr w:rsidR="002661BA" w14:paraId="22CFD6B7" w14:textId="77777777">
        <w:tc>
          <w:tcPr>
            <w:tcW w:w="0" w:type="auto"/>
            <w:gridSpan w:val="3"/>
            <w:shd w:val="clear" w:color="auto" w:fill="FFFFFF"/>
            <w:tcMar>
              <w:top w:w="40" w:type="dxa"/>
              <w:left w:w="20" w:type="dxa"/>
              <w:bottom w:w="40" w:type="dxa"/>
              <w:right w:w="20" w:type="dxa"/>
            </w:tcMar>
            <w:vAlign w:val="bottom"/>
          </w:tcPr>
          <w:p w14:paraId="22CFD6AC" w14:textId="77777777" w:rsidR="002661BA" w:rsidRDefault="00D972BC">
            <w:pPr>
              <w:textAlignment w:val="bottom"/>
            </w:pPr>
            <w:r>
              <w:rPr>
                <w:rFonts w:ascii="Arial" w:eastAsia="宋体" w:hAnsi="Arial" w:cs="Arial"/>
                <w:color w:val="000000"/>
                <w:sz w:val="18"/>
                <w:szCs w:val="18"/>
              </w:rPr>
              <w:t>Total reclassifications for the period</w:t>
            </w:r>
          </w:p>
        </w:tc>
        <w:tc>
          <w:tcPr>
            <w:tcW w:w="0" w:type="auto"/>
            <w:gridSpan w:val="3"/>
            <w:shd w:val="clear" w:color="auto" w:fill="FFFFFF"/>
            <w:tcMar>
              <w:top w:w="0" w:type="dxa"/>
              <w:left w:w="20" w:type="dxa"/>
              <w:bottom w:w="0" w:type="dxa"/>
              <w:right w:w="20" w:type="dxa"/>
            </w:tcMar>
            <w:vAlign w:val="bottom"/>
          </w:tcPr>
          <w:p w14:paraId="22CFD6AD" w14:textId="77777777" w:rsidR="002661BA" w:rsidRDefault="002661BA">
            <w:pPr>
              <w:rPr>
                <w:rFonts w:ascii="宋体"/>
              </w:rPr>
            </w:pPr>
          </w:p>
        </w:tc>
        <w:tc>
          <w:tcPr>
            <w:tcW w:w="0" w:type="auto"/>
            <w:gridSpan w:val="3"/>
            <w:shd w:val="clear" w:color="auto" w:fill="FFFFFF"/>
            <w:tcMar>
              <w:top w:w="40" w:type="dxa"/>
              <w:left w:w="20" w:type="dxa"/>
              <w:bottom w:w="40" w:type="dxa"/>
              <w:right w:w="20" w:type="dxa"/>
            </w:tcMar>
            <w:vAlign w:val="bottom"/>
          </w:tcPr>
          <w:p w14:paraId="22CFD6AE" w14:textId="77777777" w:rsidR="002661BA" w:rsidRDefault="00D972BC">
            <w:pPr>
              <w:textAlignment w:val="bottom"/>
            </w:pPr>
            <w:r>
              <w:rPr>
                <w:rFonts w:ascii="Arial" w:eastAsia="宋体" w:hAnsi="Arial" w:cs="Arial"/>
                <w:color w:val="000000"/>
                <w:sz w:val="18"/>
                <w:szCs w:val="18"/>
              </w:rPr>
              <w:t>Total, net of income taxes</w:t>
            </w:r>
          </w:p>
        </w:tc>
        <w:tc>
          <w:tcPr>
            <w:tcW w:w="0" w:type="auto"/>
            <w:gridSpan w:val="3"/>
            <w:shd w:val="clear" w:color="auto" w:fill="FFFFFF"/>
            <w:tcMar>
              <w:top w:w="0" w:type="dxa"/>
              <w:left w:w="20" w:type="dxa"/>
              <w:bottom w:w="0" w:type="dxa"/>
              <w:right w:w="20" w:type="dxa"/>
            </w:tcMar>
            <w:vAlign w:val="bottom"/>
          </w:tcPr>
          <w:p w14:paraId="22CFD6AF"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D6B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D6B1" w14:textId="77777777" w:rsidR="002661BA" w:rsidRDefault="00D972BC">
            <w:pPr>
              <w:jc w:val="right"/>
              <w:textAlignment w:val="bottom"/>
            </w:pPr>
            <w:r>
              <w:rPr>
                <w:rFonts w:ascii="Arial" w:eastAsia="宋体" w:hAnsi="Arial" w:cs="Arial"/>
                <w:color w:val="000000"/>
                <w:sz w:val="18"/>
                <w:szCs w:val="18"/>
              </w:rPr>
              <w:t>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D6B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6B3" w14:textId="77777777" w:rsidR="002661BA" w:rsidRDefault="002661B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D6B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D6B5" w14:textId="77777777" w:rsidR="002661BA" w:rsidRDefault="00D972BC">
            <w:pPr>
              <w:jc w:val="right"/>
              <w:textAlignment w:val="bottom"/>
            </w:pPr>
            <w:r>
              <w:rPr>
                <w:rFonts w:ascii="Arial" w:eastAsia="宋体" w:hAnsi="Arial" w:cs="Arial"/>
                <w:color w:val="000000"/>
                <w:sz w:val="18"/>
                <w:szCs w:val="18"/>
              </w:rPr>
              <w:t>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D6B6" w14:textId="77777777" w:rsidR="002661BA" w:rsidRDefault="002661BA">
            <w:pPr>
              <w:jc w:val="right"/>
              <w:rPr>
                <w:rFonts w:ascii="宋体"/>
              </w:rPr>
            </w:pPr>
          </w:p>
        </w:tc>
      </w:tr>
    </w:tbl>
    <w:p w14:paraId="22CFD6B8" w14:textId="77777777" w:rsidR="002661BA" w:rsidRDefault="002661BA">
      <w:pPr>
        <w:spacing w:after="120"/>
        <w:jc w:val="both"/>
      </w:pPr>
    </w:p>
    <w:p w14:paraId="22CFD6B9" w14:textId="77777777" w:rsidR="002661BA" w:rsidRDefault="00D972BC">
      <w:pPr>
        <w:jc w:val="center"/>
      </w:pPr>
      <w:r>
        <w:rPr>
          <w:rFonts w:ascii="Arial" w:eastAsia="宋体" w:hAnsi="Arial" w:cs="Arial"/>
          <w:color w:val="000000"/>
          <w:sz w:val="18"/>
          <w:szCs w:val="18"/>
        </w:rPr>
        <w:t>112</w:t>
      </w:r>
    </w:p>
    <w:p w14:paraId="22CFD6BA" w14:textId="77777777" w:rsidR="002661BA" w:rsidRDefault="00D972BC">
      <w:r>
        <w:pict w14:anchorId="22CFE521">
          <v:rect id="_x0000_i1136" style="width:415.3pt;height:1.5pt" o:hralign="center" o:hrstd="t" o:hr="t" fillcolor="#a0a0a0" stroked="f"/>
        </w:pict>
      </w:r>
    </w:p>
    <w:p w14:paraId="22CFD6BB" w14:textId="77777777" w:rsidR="002661BA" w:rsidRDefault="00D972BC">
      <w:hyperlink r:id="rId147" w:anchor="id0d7a71b05ce452ea9fdb54f3cb359c7_7" w:history="1">
        <w:r>
          <w:rPr>
            <w:rStyle w:val="a5"/>
            <w:rFonts w:ascii="Arial" w:eastAsia="宋体" w:hAnsi="Arial" w:cs="Arial"/>
            <w:sz w:val="18"/>
            <w:szCs w:val="18"/>
          </w:rPr>
          <w:t>Table of Contents</w:t>
        </w:r>
      </w:hyperlink>
    </w:p>
    <w:p w14:paraId="22CFD6BC" w14:textId="77777777" w:rsidR="002661BA" w:rsidRDefault="00D972BC">
      <w:pPr>
        <w:jc w:val="center"/>
      </w:pPr>
      <w:r>
        <w:rPr>
          <w:rFonts w:ascii="Arial" w:eastAsia="宋体" w:hAnsi="Arial" w:cs="Arial"/>
          <w:b/>
          <w:bCs/>
          <w:color w:val="000000"/>
          <w:sz w:val="20"/>
          <w:szCs w:val="20"/>
        </w:rPr>
        <w:t>eBay Inc.</w:t>
      </w:r>
    </w:p>
    <w:p w14:paraId="22CFD6BD" w14:textId="77777777" w:rsidR="002661BA" w:rsidRDefault="00D972BC">
      <w:pPr>
        <w:spacing w:before="80"/>
        <w:jc w:val="center"/>
      </w:pPr>
      <w:r>
        <w:rPr>
          <w:rFonts w:ascii="Arial" w:eastAsia="宋体" w:hAnsi="Arial" w:cs="Arial"/>
          <w:b/>
          <w:bCs/>
          <w:color w:val="000000"/>
          <w:sz w:val="20"/>
          <w:szCs w:val="20"/>
        </w:rPr>
        <w:t xml:space="preserve">NOTES TO CONSOLIDATED FINANCIAL </w:t>
      </w:r>
      <w:r>
        <w:rPr>
          <w:rFonts w:ascii="Arial" w:eastAsia="宋体" w:hAnsi="Arial" w:cs="Arial"/>
          <w:b/>
          <w:bCs/>
          <w:color w:val="000000"/>
          <w:sz w:val="20"/>
          <w:szCs w:val="20"/>
        </w:rPr>
        <w:t>STATEMENTS—(Continued)</w:t>
      </w:r>
    </w:p>
    <w:p w14:paraId="22CFD6BE" w14:textId="77777777" w:rsidR="002661BA" w:rsidRDefault="00D972BC">
      <w:pPr>
        <w:jc w:val="both"/>
      </w:pPr>
      <w:r>
        <w:rPr>
          <w:rFonts w:ascii="Arial" w:eastAsia="宋体" w:hAnsi="Arial" w:cs="Arial"/>
          <w:b/>
          <w:bCs/>
          <w:color w:val="000000"/>
          <w:sz w:val="20"/>
          <w:szCs w:val="20"/>
        </w:rPr>
        <w:t xml:space="preserve">Note 18 — Restructuring </w:t>
      </w:r>
    </w:p>
    <w:p w14:paraId="22CFD6BF" w14:textId="77777777" w:rsidR="002661BA" w:rsidRDefault="002661BA">
      <w:pPr>
        <w:ind w:firstLine="540"/>
        <w:jc w:val="both"/>
      </w:pPr>
    </w:p>
    <w:p w14:paraId="22CFD6C0" w14:textId="77777777" w:rsidR="002661BA" w:rsidRDefault="00D972BC">
      <w:pPr>
        <w:spacing w:after="120"/>
        <w:ind w:firstLine="540"/>
        <w:jc w:val="both"/>
      </w:pPr>
      <w:r>
        <w:rPr>
          <w:rFonts w:ascii="Arial" w:eastAsia="宋体" w:hAnsi="Arial" w:cs="Arial"/>
          <w:color w:val="000000"/>
          <w:sz w:val="20"/>
          <w:szCs w:val="20"/>
        </w:rPr>
        <w:t>The following table summarizes restructuring reserve activity during 2021 (in millions):</w:t>
      </w:r>
    </w:p>
    <w:tbl>
      <w:tblPr>
        <w:tblW w:w="5000" w:type="pct"/>
        <w:tblCellMar>
          <w:top w:w="15" w:type="dxa"/>
          <w:left w:w="15" w:type="dxa"/>
          <w:bottom w:w="15" w:type="dxa"/>
          <w:right w:w="15" w:type="dxa"/>
        </w:tblCellMar>
        <w:tblLook w:val="04A0" w:firstRow="1" w:lastRow="0" w:firstColumn="1" w:lastColumn="0" w:noHBand="0" w:noVBand="1"/>
      </w:tblPr>
      <w:tblGrid>
        <w:gridCol w:w="51"/>
        <w:gridCol w:w="7152"/>
        <w:gridCol w:w="37"/>
        <w:gridCol w:w="122"/>
        <w:gridCol w:w="938"/>
        <w:gridCol w:w="36"/>
      </w:tblGrid>
      <w:tr w:rsidR="002661BA" w14:paraId="22CFD6C7" w14:textId="77777777">
        <w:tc>
          <w:tcPr>
            <w:tcW w:w="50" w:type="pct"/>
            <w:shd w:val="clear" w:color="auto" w:fill="auto"/>
            <w:vAlign w:val="bottom"/>
          </w:tcPr>
          <w:p w14:paraId="22CFD6C1" w14:textId="77777777" w:rsidR="002661BA" w:rsidRDefault="002661BA">
            <w:pPr>
              <w:rPr>
                <w:rFonts w:ascii="宋体"/>
              </w:rPr>
            </w:pPr>
          </w:p>
        </w:tc>
        <w:tc>
          <w:tcPr>
            <w:tcW w:w="4309" w:type="pct"/>
            <w:shd w:val="clear" w:color="auto" w:fill="auto"/>
            <w:vAlign w:val="bottom"/>
          </w:tcPr>
          <w:p w14:paraId="22CFD6C2" w14:textId="77777777" w:rsidR="002661BA" w:rsidRDefault="002661BA">
            <w:pPr>
              <w:rPr>
                <w:rFonts w:ascii="宋体"/>
              </w:rPr>
            </w:pPr>
          </w:p>
        </w:tc>
        <w:tc>
          <w:tcPr>
            <w:tcW w:w="5" w:type="pct"/>
            <w:shd w:val="clear" w:color="auto" w:fill="auto"/>
            <w:vAlign w:val="bottom"/>
          </w:tcPr>
          <w:p w14:paraId="22CFD6C3" w14:textId="77777777" w:rsidR="002661BA" w:rsidRDefault="002661BA">
            <w:pPr>
              <w:rPr>
                <w:rFonts w:ascii="宋体"/>
              </w:rPr>
            </w:pPr>
          </w:p>
        </w:tc>
        <w:tc>
          <w:tcPr>
            <w:tcW w:w="50" w:type="pct"/>
            <w:shd w:val="clear" w:color="auto" w:fill="auto"/>
            <w:vAlign w:val="bottom"/>
          </w:tcPr>
          <w:p w14:paraId="22CFD6C4" w14:textId="77777777" w:rsidR="002661BA" w:rsidRDefault="002661BA">
            <w:pPr>
              <w:rPr>
                <w:rFonts w:ascii="宋体"/>
              </w:rPr>
            </w:pPr>
          </w:p>
        </w:tc>
        <w:tc>
          <w:tcPr>
            <w:tcW w:w="581" w:type="pct"/>
            <w:shd w:val="clear" w:color="auto" w:fill="auto"/>
            <w:vAlign w:val="bottom"/>
          </w:tcPr>
          <w:p w14:paraId="22CFD6C5" w14:textId="77777777" w:rsidR="002661BA" w:rsidRDefault="002661BA">
            <w:pPr>
              <w:rPr>
                <w:rFonts w:ascii="宋体"/>
              </w:rPr>
            </w:pPr>
          </w:p>
        </w:tc>
        <w:tc>
          <w:tcPr>
            <w:tcW w:w="5" w:type="pct"/>
            <w:shd w:val="clear" w:color="auto" w:fill="auto"/>
            <w:vAlign w:val="bottom"/>
          </w:tcPr>
          <w:p w14:paraId="22CFD6C6" w14:textId="77777777" w:rsidR="002661BA" w:rsidRDefault="002661BA">
            <w:pPr>
              <w:rPr>
                <w:rFonts w:ascii="宋体"/>
              </w:rPr>
            </w:pPr>
          </w:p>
        </w:tc>
      </w:tr>
      <w:tr w:rsidR="002661BA" w14:paraId="22CFD6CA" w14:textId="77777777">
        <w:tc>
          <w:tcPr>
            <w:tcW w:w="0" w:type="auto"/>
            <w:gridSpan w:val="3"/>
            <w:shd w:val="clear" w:color="auto" w:fill="auto"/>
            <w:tcMar>
              <w:top w:w="40" w:type="dxa"/>
              <w:left w:w="20" w:type="dxa"/>
              <w:bottom w:w="40" w:type="dxa"/>
              <w:right w:w="20" w:type="dxa"/>
            </w:tcMar>
            <w:vAlign w:val="bottom"/>
          </w:tcPr>
          <w:p w14:paraId="22CFD6C8" w14:textId="77777777" w:rsidR="002661BA" w:rsidRDefault="00D972BC">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22CFD6C9" w14:textId="77777777" w:rsidR="002661BA" w:rsidRDefault="00D972BC">
            <w:pPr>
              <w:jc w:val="center"/>
              <w:textAlignment w:val="bottom"/>
            </w:pPr>
            <w:r>
              <w:rPr>
                <w:rFonts w:ascii="Arial" w:eastAsia="宋体" w:hAnsi="Arial" w:cs="Arial"/>
                <w:b/>
                <w:bCs/>
                <w:color w:val="000000"/>
                <w:sz w:val="17"/>
                <w:szCs w:val="17"/>
              </w:rPr>
              <w:t>Employee Severance and Benefits</w:t>
            </w:r>
          </w:p>
        </w:tc>
      </w:tr>
      <w:tr w:rsidR="002661BA" w14:paraId="22CFD6CF" w14:textId="77777777">
        <w:tc>
          <w:tcPr>
            <w:tcW w:w="0" w:type="auto"/>
            <w:gridSpan w:val="3"/>
            <w:shd w:val="clear" w:color="auto" w:fill="E2E2E2"/>
            <w:tcMar>
              <w:top w:w="40" w:type="dxa"/>
              <w:left w:w="20" w:type="dxa"/>
              <w:bottom w:w="40" w:type="dxa"/>
              <w:right w:w="20" w:type="dxa"/>
            </w:tcMar>
            <w:vAlign w:val="bottom"/>
          </w:tcPr>
          <w:p w14:paraId="22CFD6CB" w14:textId="77777777" w:rsidR="002661BA" w:rsidRDefault="00D972BC">
            <w:pPr>
              <w:textAlignment w:val="bottom"/>
            </w:pPr>
            <w:r>
              <w:rPr>
                <w:rFonts w:ascii="Arial" w:eastAsia="宋体" w:hAnsi="Arial" w:cs="Arial"/>
                <w:color w:val="000000"/>
                <w:sz w:val="18"/>
                <w:szCs w:val="18"/>
              </w:rPr>
              <w:t>Accrued liability as of January 1, 2021</w:t>
            </w:r>
          </w:p>
        </w:tc>
        <w:tc>
          <w:tcPr>
            <w:tcW w:w="0" w:type="auto"/>
            <w:tcBorders>
              <w:top w:val="single" w:sz="8" w:space="0" w:color="000000"/>
            </w:tcBorders>
            <w:shd w:val="clear" w:color="auto" w:fill="E2E2E2"/>
            <w:tcMar>
              <w:top w:w="40" w:type="dxa"/>
              <w:left w:w="20" w:type="dxa"/>
              <w:bottom w:w="40" w:type="dxa"/>
              <w:right w:w="0" w:type="dxa"/>
            </w:tcMar>
            <w:vAlign w:val="bottom"/>
          </w:tcPr>
          <w:p w14:paraId="22CFD6C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22CFD6CD" w14:textId="77777777" w:rsidR="002661BA" w:rsidRDefault="00D972BC">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22CFD6CE" w14:textId="77777777" w:rsidR="002661BA" w:rsidRDefault="002661BA">
            <w:pPr>
              <w:jc w:val="right"/>
              <w:rPr>
                <w:rFonts w:ascii="宋体"/>
              </w:rPr>
            </w:pPr>
          </w:p>
        </w:tc>
      </w:tr>
      <w:tr w:rsidR="002661BA" w14:paraId="22CFD6D3" w14:textId="77777777">
        <w:tc>
          <w:tcPr>
            <w:tcW w:w="0" w:type="auto"/>
            <w:gridSpan w:val="3"/>
            <w:shd w:val="clear" w:color="auto" w:fill="FFFFFF"/>
            <w:tcMar>
              <w:top w:w="40" w:type="dxa"/>
              <w:left w:w="20" w:type="dxa"/>
              <w:bottom w:w="40" w:type="dxa"/>
              <w:right w:w="20" w:type="dxa"/>
            </w:tcMar>
            <w:vAlign w:val="bottom"/>
          </w:tcPr>
          <w:p w14:paraId="22CFD6D0" w14:textId="77777777" w:rsidR="002661BA" w:rsidRDefault="00D972BC">
            <w:pPr>
              <w:textAlignment w:val="bottom"/>
            </w:pPr>
            <w:r>
              <w:rPr>
                <w:rFonts w:ascii="Arial" w:eastAsia="宋体" w:hAnsi="Arial" w:cs="Arial"/>
                <w:color w:val="000000"/>
                <w:sz w:val="18"/>
                <w:szCs w:val="18"/>
              </w:rPr>
              <w:t>Charges</w:t>
            </w:r>
          </w:p>
        </w:tc>
        <w:tc>
          <w:tcPr>
            <w:tcW w:w="0" w:type="auto"/>
            <w:gridSpan w:val="2"/>
            <w:shd w:val="clear" w:color="auto" w:fill="FFFFFF"/>
            <w:tcMar>
              <w:top w:w="40" w:type="dxa"/>
              <w:left w:w="20" w:type="dxa"/>
              <w:bottom w:w="40" w:type="dxa"/>
              <w:right w:w="0" w:type="dxa"/>
            </w:tcMar>
            <w:vAlign w:val="bottom"/>
          </w:tcPr>
          <w:p w14:paraId="22CFD6D1" w14:textId="77777777" w:rsidR="002661BA" w:rsidRDefault="00D972BC">
            <w:pPr>
              <w:jc w:val="right"/>
              <w:textAlignment w:val="bottom"/>
            </w:pPr>
            <w:r>
              <w:rPr>
                <w:rFonts w:ascii="Arial" w:eastAsia="宋体" w:hAnsi="Arial" w:cs="Arial"/>
                <w:color w:val="000000"/>
                <w:sz w:val="18"/>
                <w:szCs w:val="18"/>
              </w:rPr>
              <w:t>35 </w:t>
            </w:r>
          </w:p>
        </w:tc>
        <w:tc>
          <w:tcPr>
            <w:tcW w:w="0" w:type="auto"/>
            <w:shd w:val="clear" w:color="auto" w:fill="FFFFFF"/>
            <w:tcMar>
              <w:top w:w="40" w:type="dxa"/>
              <w:left w:w="0" w:type="dxa"/>
              <w:bottom w:w="40" w:type="dxa"/>
              <w:right w:w="20" w:type="dxa"/>
            </w:tcMar>
            <w:vAlign w:val="bottom"/>
          </w:tcPr>
          <w:p w14:paraId="22CFD6D2" w14:textId="77777777" w:rsidR="002661BA" w:rsidRDefault="002661BA">
            <w:pPr>
              <w:jc w:val="right"/>
              <w:rPr>
                <w:rFonts w:ascii="宋体"/>
              </w:rPr>
            </w:pPr>
          </w:p>
        </w:tc>
      </w:tr>
      <w:tr w:rsidR="002661BA" w14:paraId="22CFD6D7" w14:textId="77777777">
        <w:tc>
          <w:tcPr>
            <w:tcW w:w="0" w:type="auto"/>
            <w:gridSpan w:val="3"/>
            <w:shd w:val="clear" w:color="auto" w:fill="E2E2E2"/>
            <w:tcMar>
              <w:top w:w="40" w:type="dxa"/>
              <w:left w:w="20" w:type="dxa"/>
              <w:bottom w:w="40" w:type="dxa"/>
              <w:right w:w="20" w:type="dxa"/>
            </w:tcMar>
            <w:vAlign w:val="bottom"/>
          </w:tcPr>
          <w:p w14:paraId="22CFD6D4" w14:textId="77777777" w:rsidR="002661BA" w:rsidRDefault="00D972BC">
            <w:pPr>
              <w:textAlignment w:val="bottom"/>
            </w:pPr>
            <w:r>
              <w:rPr>
                <w:rFonts w:ascii="Arial" w:eastAsia="宋体" w:hAnsi="Arial" w:cs="Arial"/>
                <w:color w:val="000000"/>
                <w:sz w:val="18"/>
                <w:szCs w:val="18"/>
              </w:rPr>
              <w:t>Payments</w:t>
            </w:r>
          </w:p>
        </w:tc>
        <w:tc>
          <w:tcPr>
            <w:tcW w:w="0" w:type="auto"/>
            <w:gridSpan w:val="2"/>
            <w:shd w:val="clear" w:color="auto" w:fill="E2E2E2"/>
            <w:tcMar>
              <w:top w:w="40" w:type="dxa"/>
              <w:left w:w="20" w:type="dxa"/>
              <w:bottom w:w="40" w:type="dxa"/>
              <w:right w:w="0" w:type="dxa"/>
            </w:tcMar>
            <w:vAlign w:val="bottom"/>
          </w:tcPr>
          <w:p w14:paraId="22CFD6D5" w14:textId="77777777" w:rsidR="002661BA" w:rsidRDefault="00D972BC">
            <w:pPr>
              <w:jc w:val="right"/>
              <w:textAlignment w:val="bottom"/>
            </w:pPr>
            <w:r>
              <w:rPr>
                <w:rFonts w:ascii="Arial" w:eastAsia="宋体" w:hAnsi="Arial" w:cs="Arial"/>
                <w:color w:val="000000"/>
                <w:sz w:val="18"/>
                <w:szCs w:val="18"/>
              </w:rPr>
              <w:t>(34)</w:t>
            </w:r>
          </w:p>
        </w:tc>
        <w:tc>
          <w:tcPr>
            <w:tcW w:w="0" w:type="auto"/>
            <w:shd w:val="clear" w:color="auto" w:fill="E2E2E2"/>
            <w:tcMar>
              <w:top w:w="40" w:type="dxa"/>
              <w:left w:w="0" w:type="dxa"/>
              <w:bottom w:w="40" w:type="dxa"/>
              <w:right w:w="20" w:type="dxa"/>
            </w:tcMar>
            <w:vAlign w:val="bottom"/>
          </w:tcPr>
          <w:p w14:paraId="22CFD6D6" w14:textId="77777777" w:rsidR="002661BA" w:rsidRDefault="002661BA">
            <w:pPr>
              <w:jc w:val="right"/>
              <w:rPr>
                <w:rFonts w:ascii="宋体"/>
              </w:rPr>
            </w:pPr>
          </w:p>
        </w:tc>
      </w:tr>
      <w:tr w:rsidR="002661BA" w14:paraId="22CFD6DA" w14:textId="77777777">
        <w:trPr>
          <w:hidden/>
        </w:trPr>
        <w:tc>
          <w:tcPr>
            <w:tcW w:w="0" w:type="auto"/>
            <w:gridSpan w:val="3"/>
            <w:shd w:val="clear" w:color="auto" w:fill="auto"/>
            <w:vAlign w:val="bottom"/>
          </w:tcPr>
          <w:p w14:paraId="22CFD6D8" w14:textId="77777777" w:rsidR="002661BA" w:rsidRDefault="002661BA">
            <w:pPr>
              <w:rPr>
                <w:rFonts w:ascii="宋体"/>
                <w:vanish/>
              </w:rPr>
            </w:pPr>
          </w:p>
        </w:tc>
        <w:tc>
          <w:tcPr>
            <w:tcW w:w="0" w:type="auto"/>
            <w:gridSpan w:val="3"/>
            <w:shd w:val="clear" w:color="auto" w:fill="auto"/>
            <w:vAlign w:val="bottom"/>
          </w:tcPr>
          <w:p w14:paraId="22CFD6D9" w14:textId="77777777" w:rsidR="002661BA" w:rsidRDefault="002661BA">
            <w:pPr>
              <w:rPr>
                <w:rFonts w:ascii="宋体"/>
                <w:vanish/>
              </w:rPr>
            </w:pPr>
          </w:p>
        </w:tc>
      </w:tr>
      <w:tr w:rsidR="002661BA" w14:paraId="22CFD6DF" w14:textId="77777777">
        <w:tc>
          <w:tcPr>
            <w:tcW w:w="0" w:type="auto"/>
            <w:gridSpan w:val="3"/>
            <w:shd w:val="clear" w:color="auto" w:fill="FFFFFF"/>
            <w:tcMar>
              <w:top w:w="40" w:type="dxa"/>
              <w:left w:w="20" w:type="dxa"/>
              <w:bottom w:w="40" w:type="dxa"/>
              <w:right w:w="20" w:type="dxa"/>
            </w:tcMar>
            <w:vAlign w:val="bottom"/>
          </w:tcPr>
          <w:p w14:paraId="22CFD6DB" w14:textId="77777777" w:rsidR="002661BA" w:rsidRDefault="00D972BC">
            <w:pPr>
              <w:textAlignment w:val="bottom"/>
            </w:pPr>
            <w:r>
              <w:rPr>
                <w:rFonts w:ascii="Arial" w:eastAsia="宋体" w:hAnsi="Arial" w:cs="Arial"/>
                <w:color w:val="000000"/>
                <w:sz w:val="18"/>
                <w:szCs w:val="18"/>
              </w:rPr>
              <w:t>Accrued liability as of December 31,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2CFD6D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2CFD6DD" w14:textId="77777777" w:rsidR="002661BA" w:rsidRDefault="00D972BC">
            <w:pPr>
              <w:jc w:val="right"/>
              <w:textAlignment w:val="bottom"/>
            </w:pPr>
            <w:r>
              <w:rPr>
                <w:rFonts w:ascii="Arial" w:eastAsia="宋体" w:hAnsi="Arial" w:cs="Arial"/>
                <w:color w:val="000000"/>
                <w:sz w:val="18"/>
                <w:szCs w:val="18"/>
              </w:rPr>
              <w:t>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2CFD6DE" w14:textId="77777777" w:rsidR="002661BA" w:rsidRDefault="002661BA">
            <w:pPr>
              <w:jc w:val="right"/>
              <w:rPr>
                <w:rFonts w:ascii="宋体"/>
              </w:rPr>
            </w:pPr>
          </w:p>
        </w:tc>
      </w:tr>
    </w:tbl>
    <w:p w14:paraId="22CFD6E0" w14:textId="77777777" w:rsidR="002661BA" w:rsidRDefault="002661BA">
      <w:pPr>
        <w:ind w:firstLine="540"/>
        <w:jc w:val="both"/>
      </w:pPr>
    </w:p>
    <w:p w14:paraId="22CFD6E1" w14:textId="77777777" w:rsidR="002661BA" w:rsidRDefault="00D972BC">
      <w:pPr>
        <w:ind w:firstLine="540"/>
        <w:jc w:val="both"/>
      </w:pPr>
      <w:r>
        <w:rPr>
          <w:rFonts w:ascii="Arial" w:eastAsia="宋体" w:hAnsi="Arial" w:cs="Arial"/>
          <w:color w:val="000000"/>
          <w:sz w:val="20"/>
          <w:szCs w:val="20"/>
        </w:rPr>
        <w:t xml:space="preserve">During the first quarter of 2021, management approved plans that included the reduction in workforce and other exit costs. The reduction was substantially completed in the first </w:t>
      </w:r>
      <w:r>
        <w:rPr>
          <w:rFonts w:ascii="Arial" w:eastAsia="宋体" w:hAnsi="Arial" w:cs="Arial"/>
          <w:color w:val="000000"/>
          <w:sz w:val="20"/>
          <w:szCs w:val="20"/>
        </w:rPr>
        <w:t>quarter of 2021 and resulted in a pre-tax charge of $35 million.</w:t>
      </w:r>
    </w:p>
    <w:p w14:paraId="22CFD6E2" w14:textId="77777777" w:rsidR="002661BA" w:rsidRDefault="002661BA"/>
    <w:p w14:paraId="22CFD6E3" w14:textId="77777777" w:rsidR="002661BA" w:rsidRDefault="00D972BC">
      <w:pPr>
        <w:ind w:firstLine="540"/>
        <w:jc w:val="both"/>
      </w:pPr>
      <w:r>
        <w:rPr>
          <w:rFonts w:ascii="Arial" w:eastAsia="宋体" w:hAnsi="Arial" w:cs="Arial"/>
          <w:color w:val="000000"/>
          <w:sz w:val="20"/>
          <w:szCs w:val="20"/>
        </w:rPr>
        <w:t>During the first quarter of 2020 we substantially completed the reduction in workforce that was approved by management during the fourth quarter of 2019. We incurred pre-tax restructuring ch</w:t>
      </w:r>
      <w:r>
        <w:rPr>
          <w:rFonts w:ascii="Arial" w:eastAsia="宋体" w:hAnsi="Arial" w:cs="Arial"/>
          <w:color w:val="000000"/>
          <w:sz w:val="20"/>
          <w:szCs w:val="20"/>
        </w:rPr>
        <w:t>arges of approximately $7 million primarily during the first quarter of 2020 in connection with the action taken in the fourth quarter of 2019 and made payments of approximately $34 million during 2020.</w:t>
      </w:r>
    </w:p>
    <w:p w14:paraId="22CFD6E4" w14:textId="77777777" w:rsidR="002661BA" w:rsidRDefault="002661BA">
      <w:pPr>
        <w:ind w:firstLine="540"/>
        <w:jc w:val="both"/>
      </w:pPr>
    </w:p>
    <w:p w14:paraId="22CFD6E5" w14:textId="77777777" w:rsidR="002661BA" w:rsidRDefault="00D972BC">
      <w:pPr>
        <w:ind w:firstLine="540"/>
        <w:jc w:val="both"/>
      </w:pPr>
      <w:r>
        <w:rPr>
          <w:rFonts w:ascii="Arial" w:eastAsia="宋体" w:hAnsi="Arial" w:cs="Arial"/>
          <w:color w:val="000000"/>
          <w:sz w:val="20"/>
          <w:szCs w:val="20"/>
        </w:rPr>
        <w:t>During the first quarter of 2019, management approve</w:t>
      </w:r>
      <w:r>
        <w:rPr>
          <w:rFonts w:ascii="Arial" w:eastAsia="宋体" w:hAnsi="Arial" w:cs="Arial"/>
          <w:color w:val="000000"/>
          <w:sz w:val="20"/>
          <w:szCs w:val="20"/>
        </w:rPr>
        <w:t>d a plan to drive operational improvement that included the reduction of workforce. The reduction was substantially completed in the first quarter of 2019 and resulted in pre-tax restructuring charges of approximately $39 million. During the fourth quarter</w:t>
      </w:r>
      <w:r>
        <w:rPr>
          <w:rFonts w:ascii="Arial" w:eastAsia="宋体" w:hAnsi="Arial" w:cs="Arial"/>
          <w:color w:val="000000"/>
          <w:sz w:val="20"/>
          <w:szCs w:val="20"/>
        </w:rPr>
        <w:t xml:space="preserve"> of 2019, management approved a plan to drive operational improvement that included the reduction of workforce. We incurred a pre-tax charge of $25 million, which was primarily related to employee severance and benefits.</w:t>
      </w:r>
    </w:p>
    <w:p w14:paraId="22CFD6E6" w14:textId="77777777" w:rsidR="002661BA" w:rsidRDefault="002661BA">
      <w:pPr>
        <w:ind w:firstLine="540"/>
        <w:jc w:val="both"/>
      </w:pPr>
    </w:p>
    <w:p w14:paraId="22CFD6E7" w14:textId="77777777" w:rsidR="002661BA" w:rsidRDefault="00D972BC">
      <w:pPr>
        <w:ind w:firstLine="540"/>
        <w:jc w:val="both"/>
      </w:pPr>
      <w:r>
        <w:rPr>
          <w:rFonts w:ascii="Arial" w:eastAsia="宋体" w:hAnsi="Arial" w:cs="Arial"/>
          <w:color w:val="000000"/>
          <w:sz w:val="20"/>
          <w:szCs w:val="20"/>
        </w:rPr>
        <w:t>The restructuring charges incurred</w:t>
      </w:r>
      <w:r>
        <w:rPr>
          <w:rFonts w:ascii="Arial" w:eastAsia="宋体" w:hAnsi="Arial" w:cs="Arial"/>
          <w:color w:val="000000"/>
          <w:sz w:val="20"/>
          <w:szCs w:val="20"/>
        </w:rPr>
        <w:t xml:space="preserve"> in 2021, 2020 and 2019 were included in general and administrative expenses in the consolidated statement of income. </w:t>
      </w:r>
    </w:p>
    <w:p w14:paraId="22CFD6E8" w14:textId="77777777" w:rsidR="002661BA" w:rsidRDefault="00D972BC">
      <w:pPr>
        <w:jc w:val="center"/>
      </w:pPr>
      <w:r>
        <w:rPr>
          <w:rFonts w:ascii="Arial" w:eastAsia="宋体" w:hAnsi="Arial" w:cs="Arial"/>
          <w:color w:val="000000"/>
          <w:sz w:val="18"/>
          <w:szCs w:val="18"/>
        </w:rPr>
        <w:t>113</w:t>
      </w:r>
    </w:p>
    <w:p w14:paraId="22CFD6E9" w14:textId="77777777" w:rsidR="002661BA" w:rsidRDefault="00D972BC">
      <w:r>
        <w:pict w14:anchorId="22CFE522">
          <v:rect id="_x0000_i1137" style="width:415.3pt;height:1.5pt" o:hralign="center" o:hrstd="t" o:hr="t" fillcolor="#a0a0a0" stroked="f"/>
        </w:pict>
      </w:r>
    </w:p>
    <w:p w14:paraId="22CFD6EA" w14:textId="77777777" w:rsidR="002661BA" w:rsidRDefault="00D972BC">
      <w:hyperlink r:id="rId148" w:anchor="id0d7a71b05ce452ea9fdb54f3cb359c7_7" w:history="1">
        <w:r>
          <w:rPr>
            <w:rStyle w:val="a5"/>
            <w:rFonts w:ascii="Arial" w:eastAsia="宋体" w:hAnsi="Arial" w:cs="Arial"/>
            <w:sz w:val="18"/>
            <w:szCs w:val="18"/>
          </w:rPr>
          <w:t>Table of Contents</w:t>
        </w:r>
      </w:hyperlink>
    </w:p>
    <w:p w14:paraId="22CFD6EB" w14:textId="77777777" w:rsidR="002661BA" w:rsidRDefault="00D972BC">
      <w:pPr>
        <w:jc w:val="both"/>
      </w:pPr>
      <w:r>
        <w:rPr>
          <w:rFonts w:ascii="Arial" w:eastAsia="宋体" w:hAnsi="Arial" w:cs="Arial"/>
          <w:b/>
          <w:bCs/>
          <w:i/>
          <w:iCs/>
          <w:color w:val="000000"/>
          <w:sz w:val="20"/>
          <w:szCs w:val="20"/>
        </w:rPr>
        <w:t>Supplementary Data — Quarterly Financial Data — Unaudited</w:t>
      </w:r>
    </w:p>
    <w:p w14:paraId="22CFD6EC" w14:textId="77777777" w:rsidR="002661BA" w:rsidRDefault="002661BA">
      <w:pPr>
        <w:jc w:val="both"/>
      </w:pPr>
    </w:p>
    <w:p w14:paraId="22CFD6ED" w14:textId="77777777" w:rsidR="002661BA" w:rsidRDefault="00D972BC">
      <w:pPr>
        <w:ind w:firstLine="540"/>
        <w:jc w:val="both"/>
      </w:pPr>
      <w:r>
        <w:rPr>
          <w:rFonts w:ascii="Arial" w:eastAsia="宋体" w:hAnsi="Arial" w:cs="Arial"/>
          <w:color w:val="000000"/>
          <w:sz w:val="20"/>
          <w:szCs w:val="20"/>
        </w:rPr>
        <w:t>The following tables prese</w:t>
      </w:r>
      <w:r>
        <w:rPr>
          <w:rFonts w:ascii="Arial" w:eastAsia="宋体" w:hAnsi="Arial" w:cs="Arial"/>
          <w:color w:val="000000"/>
          <w:sz w:val="20"/>
          <w:szCs w:val="20"/>
        </w:rPr>
        <w:t>nt certain unaudited consolidated quarterly financial information for each of the eight quarters in the two year period ended December 31, 2021. This quarterly information has been prepared on the same basis as the Consolidated Financial Statements and inc</w:t>
      </w:r>
      <w:r>
        <w:rPr>
          <w:rFonts w:ascii="Arial" w:eastAsia="宋体" w:hAnsi="Arial" w:cs="Arial"/>
          <w:color w:val="000000"/>
          <w:sz w:val="20"/>
          <w:szCs w:val="20"/>
        </w:rPr>
        <w:t xml:space="preserve">ludes all adjustments necessary to state fairly the information for the periods presented. Our StubHub, Classifieds and Korea businesses are classified as discontinued operations. </w:t>
      </w:r>
    </w:p>
    <w:p w14:paraId="22CFD6EE" w14:textId="77777777" w:rsidR="002661BA" w:rsidRDefault="002661BA">
      <w:pPr>
        <w:ind w:firstLine="540"/>
        <w:jc w:val="both"/>
      </w:pPr>
    </w:p>
    <w:p w14:paraId="22CFD6EF" w14:textId="77777777" w:rsidR="002661BA" w:rsidRDefault="00D972BC">
      <w:pPr>
        <w:jc w:val="center"/>
      </w:pPr>
      <w:r>
        <w:rPr>
          <w:rFonts w:ascii="Arial" w:eastAsia="宋体" w:hAnsi="Arial" w:cs="Arial"/>
          <w:b/>
          <w:bCs/>
          <w:color w:val="000000"/>
          <w:sz w:val="20"/>
          <w:szCs w:val="20"/>
        </w:rPr>
        <w:t xml:space="preserve">Quarterly Financial Data </w:t>
      </w:r>
    </w:p>
    <w:p w14:paraId="22CFD6F0" w14:textId="77777777" w:rsidR="002661BA" w:rsidRDefault="00D972BC">
      <w:pPr>
        <w:spacing w:before="80" w:after="120"/>
        <w:jc w:val="center"/>
      </w:pPr>
      <w:r>
        <w:rPr>
          <w:rFonts w:ascii="Arial" w:eastAsia="宋体" w:hAnsi="Arial" w:cs="Arial"/>
          <w:b/>
          <w:bCs/>
          <w:color w:val="000000"/>
          <w:sz w:val="20"/>
          <w:szCs w:val="20"/>
        </w:rPr>
        <w:t>(Unaudited, in millions, except per share amount</w:t>
      </w:r>
      <w:r>
        <w:rPr>
          <w:rFonts w:ascii="Arial" w:eastAsia="宋体" w:hAnsi="Arial" w:cs="Arial"/>
          <w:b/>
          <w:bCs/>
          <w:color w:val="000000"/>
          <w:sz w:val="20"/>
          <w:szCs w:val="20"/>
        </w:rPr>
        <w: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3743"/>
        <w:gridCol w:w="40"/>
        <w:gridCol w:w="121"/>
        <w:gridCol w:w="888"/>
        <w:gridCol w:w="36"/>
        <w:gridCol w:w="36"/>
        <w:gridCol w:w="36"/>
        <w:gridCol w:w="36"/>
        <w:gridCol w:w="121"/>
        <w:gridCol w:w="889"/>
        <w:gridCol w:w="36"/>
        <w:gridCol w:w="36"/>
        <w:gridCol w:w="36"/>
        <w:gridCol w:w="36"/>
        <w:gridCol w:w="122"/>
        <w:gridCol w:w="889"/>
        <w:gridCol w:w="36"/>
        <w:gridCol w:w="36"/>
        <w:gridCol w:w="36"/>
        <w:gridCol w:w="36"/>
        <w:gridCol w:w="122"/>
        <w:gridCol w:w="891"/>
        <w:gridCol w:w="36"/>
      </w:tblGrid>
      <w:tr w:rsidR="002661BA" w14:paraId="22CFD709" w14:textId="77777777">
        <w:trPr>
          <w:jc w:val="center"/>
        </w:trPr>
        <w:tc>
          <w:tcPr>
            <w:tcW w:w="50" w:type="pct"/>
            <w:shd w:val="clear" w:color="auto" w:fill="auto"/>
            <w:vAlign w:val="bottom"/>
          </w:tcPr>
          <w:p w14:paraId="22CFD6F1" w14:textId="77777777" w:rsidR="002661BA" w:rsidRDefault="002661BA">
            <w:pPr>
              <w:rPr>
                <w:rFonts w:ascii="宋体"/>
              </w:rPr>
            </w:pPr>
          </w:p>
        </w:tc>
        <w:tc>
          <w:tcPr>
            <w:tcW w:w="2313" w:type="pct"/>
            <w:shd w:val="clear" w:color="auto" w:fill="auto"/>
            <w:vAlign w:val="bottom"/>
          </w:tcPr>
          <w:p w14:paraId="22CFD6F2" w14:textId="77777777" w:rsidR="002661BA" w:rsidRDefault="002661BA">
            <w:pPr>
              <w:rPr>
                <w:rFonts w:ascii="宋体"/>
              </w:rPr>
            </w:pPr>
          </w:p>
        </w:tc>
        <w:tc>
          <w:tcPr>
            <w:tcW w:w="5" w:type="pct"/>
            <w:shd w:val="clear" w:color="auto" w:fill="auto"/>
            <w:vAlign w:val="bottom"/>
          </w:tcPr>
          <w:p w14:paraId="22CFD6F3" w14:textId="77777777" w:rsidR="002661BA" w:rsidRDefault="002661BA">
            <w:pPr>
              <w:rPr>
                <w:rFonts w:ascii="宋体"/>
              </w:rPr>
            </w:pPr>
          </w:p>
        </w:tc>
        <w:tc>
          <w:tcPr>
            <w:tcW w:w="50" w:type="pct"/>
            <w:shd w:val="clear" w:color="auto" w:fill="auto"/>
            <w:vAlign w:val="bottom"/>
          </w:tcPr>
          <w:p w14:paraId="22CFD6F4" w14:textId="77777777" w:rsidR="002661BA" w:rsidRDefault="002661BA">
            <w:pPr>
              <w:rPr>
                <w:rFonts w:ascii="宋体"/>
              </w:rPr>
            </w:pPr>
          </w:p>
        </w:tc>
        <w:tc>
          <w:tcPr>
            <w:tcW w:w="580" w:type="pct"/>
            <w:shd w:val="clear" w:color="auto" w:fill="auto"/>
            <w:vAlign w:val="bottom"/>
          </w:tcPr>
          <w:p w14:paraId="22CFD6F5" w14:textId="77777777" w:rsidR="002661BA" w:rsidRDefault="002661BA">
            <w:pPr>
              <w:rPr>
                <w:rFonts w:ascii="宋体"/>
              </w:rPr>
            </w:pPr>
          </w:p>
        </w:tc>
        <w:tc>
          <w:tcPr>
            <w:tcW w:w="5" w:type="pct"/>
            <w:shd w:val="clear" w:color="auto" w:fill="auto"/>
            <w:vAlign w:val="bottom"/>
          </w:tcPr>
          <w:p w14:paraId="22CFD6F6" w14:textId="77777777" w:rsidR="002661BA" w:rsidRDefault="002661BA">
            <w:pPr>
              <w:rPr>
                <w:rFonts w:ascii="宋体"/>
              </w:rPr>
            </w:pPr>
          </w:p>
        </w:tc>
        <w:tc>
          <w:tcPr>
            <w:tcW w:w="5" w:type="pct"/>
            <w:shd w:val="clear" w:color="auto" w:fill="auto"/>
            <w:vAlign w:val="bottom"/>
          </w:tcPr>
          <w:p w14:paraId="22CFD6F7" w14:textId="77777777" w:rsidR="002661BA" w:rsidRDefault="002661BA">
            <w:pPr>
              <w:rPr>
                <w:rFonts w:ascii="宋体"/>
              </w:rPr>
            </w:pPr>
          </w:p>
        </w:tc>
        <w:tc>
          <w:tcPr>
            <w:tcW w:w="19" w:type="pct"/>
            <w:shd w:val="clear" w:color="auto" w:fill="auto"/>
            <w:vAlign w:val="bottom"/>
          </w:tcPr>
          <w:p w14:paraId="22CFD6F8" w14:textId="77777777" w:rsidR="002661BA" w:rsidRDefault="002661BA">
            <w:pPr>
              <w:rPr>
                <w:rFonts w:ascii="宋体"/>
              </w:rPr>
            </w:pPr>
          </w:p>
        </w:tc>
        <w:tc>
          <w:tcPr>
            <w:tcW w:w="5" w:type="pct"/>
            <w:shd w:val="clear" w:color="auto" w:fill="auto"/>
            <w:vAlign w:val="bottom"/>
          </w:tcPr>
          <w:p w14:paraId="22CFD6F9" w14:textId="77777777" w:rsidR="002661BA" w:rsidRDefault="002661BA">
            <w:pPr>
              <w:rPr>
                <w:rFonts w:ascii="宋体"/>
              </w:rPr>
            </w:pPr>
          </w:p>
        </w:tc>
        <w:tc>
          <w:tcPr>
            <w:tcW w:w="50" w:type="pct"/>
            <w:shd w:val="clear" w:color="auto" w:fill="auto"/>
            <w:vAlign w:val="bottom"/>
          </w:tcPr>
          <w:p w14:paraId="22CFD6FA" w14:textId="77777777" w:rsidR="002661BA" w:rsidRDefault="002661BA">
            <w:pPr>
              <w:rPr>
                <w:rFonts w:ascii="宋体"/>
              </w:rPr>
            </w:pPr>
          </w:p>
        </w:tc>
        <w:tc>
          <w:tcPr>
            <w:tcW w:w="580" w:type="pct"/>
            <w:shd w:val="clear" w:color="auto" w:fill="auto"/>
            <w:vAlign w:val="bottom"/>
          </w:tcPr>
          <w:p w14:paraId="22CFD6FB" w14:textId="77777777" w:rsidR="002661BA" w:rsidRDefault="002661BA">
            <w:pPr>
              <w:rPr>
                <w:rFonts w:ascii="宋体"/>
              </w:rPr>
            </w:pPr>
          </w:p>
        </w:tc>
        <w:tc>
          <w:tcPr>
            <w:tcW w:w="5" w:type="pct"/>
            <w:shd w:val="clear" w:color="auto" w:fill="auto"/>
            <w:vAlign w:val="bottom"/>
          </w:tcPr>
          <w:p w14:paraId="22CFD6FC" w14:textId="77777777" w:rsidR="002661BA" w:rsidRDefault="002661BA">
            <w:pPr>
              <w:rPr>
                <w:rFonts w:ascii="宋体"/>
              </w:rPr>
            </w:pPr>
          </w:p>
        </w:tc>
        <w:tc>
          <w:tcPr>
            <w:tcW w:w="5" w:type="pct"/>
            <w:shd w:val="clear" w:color="auto" w:fill="auto"/>
            <w:vAlign w:val="bottom"/>
          </w:tcPr>
          <w:p w14:paraId="22CFD6FD" w14:textId="77777777" w:rsidR="002661BA" w:rsidRDefault="002661BA">
            <w:pPr>
              <w:rPr>
                <w:rFonts w:ascii="宋体"/>
              </w:rPr>
            </w:pPr>
          </w:p>
        </w:tc>
        <w:tc>
          <w:tcPr>
            <w:tcW w:w="19" w:type="pct"/>
            <w:shd w:val="clear" w:color="auto" w:fill="auto"/>
            <w:vAlign w:val="bottom"/>
          </w:tcPr>
          <w:p w14:paraId="22CFD6FE" w14:textId="77777777" w:rsidR="002661BA" w:rsidRDefault="002661BA">
            <w:pPr>
              <w:rPr>
                <w:rFonts w:ascii="宋体"/>
              </w:rPr>
            </w:pPr>
          </w:p>
        </w:tc>
        <w:tc>
          <w:tcPr>
            <w:tcW w:w="5" w:type="pct"/>
            <w:shd w:val="clear" w:color="auto" w:fill="auto"/>
            <w:vAlign w:val="bottom"/>
          </w:tcPr>
          <w:p w14:paraId="22CFD6FF" w14:textId="77777777" w:rsidR="002661BA" w:rsidRDefault="002661BA">
            <w:pPr>
              <w:rPr>
                <w:rFonts w:ascii="宋体"/>
              </w:rPr>
            </w:pPr>
          </w:p>
        </w:tc>
        <w:tc>
          <w:tcPr>
            <w:tcW w:w="50" w:type="pct"/>
            <w:shd w:val="clear" w:color="auto" w:fill="auto"/>
            <w:vAlign w:val="bottom"/>
          </w:tcPr>
          <w:p w14:paraId="22CFD700" w14:textId="77777777" w:rsidR="002661BA" w:rsidRDefault="002661BA">
            <w:pPr>
              <w:rPr>
                <w:rFonts w:ascii="宋体"/>
              </w:rPr>
            </w:pPr>
          </w:p>
        </w:tc>
        <w:tc>
          <w:tcPr>
            <w:tcW w:w="580" w:type="pct"/>
            <w:shd w:val="clear" w:color="auto" w:fill="auto"/>
            <w:vAlign w:val="bottom"/>
          </w:tcPr>
          <w:p w14:paraId="22CFD701" w14:textId="77777777" w:rsidR="002661BA" w:rsidRDefault="002661BA">
            <w:pPr>
              <w:rPr>
                <w:rFonts w:ascii="宋体"/>
              </w:rPr>
            </w:pPr>
          </w:p>
        </w:tc>
        <w:tc>
          <w:tcPr>
            <w:tcW w:w="5" w:type="pct"/>
            <w:shd w:val="clear" w:color="auto" w:fill="auto"/>
            <w:vAlign w:val="bottom"/>
          </w:tcPr>
          <w:p w14:paraId="22CFD702" w14:textId="77777777" w:rsidR="002661BA" w:rsidRDefault="002661BA">
            <w:pPr>
              <w:rPr>
                <w:rFonts w:ascii="宋体"/>
              </w:rPr>
            </w:pPr>
          </w:p>
        </w:tc>
        <w:tc>
          <w:tcPr>
            <w:tcW w:w="5" w:type="pct"/>
            <w:shd w:val="clear" w:color="auto" w:fill="auto"/>
            <w:vAlign w:val="bottom"/>
          </w:tcPr>
          <w:p w14:paraId="22CFD703" w14:textId="77777777" w:rsidR="002661BA" w:rsidRDefault="002661BA">
            <w:pPr>
              <w:rPr>
                <w:rFonts w:ascii="宋体"/>
              </w:rPr>
            </w:pPr>
          </w:p>
        </w:tc>
        <w:tc>
          <w:tcPr>
            <w:tcW w:w="19" w:type="pct"/>
            <w:shd w:val="clear" w:color="auto" w:fill="auto"/>
            <w:vAlign w:val="bottom"/>
          </w:tcPr>
          <w:p w14:paraId="22CFD704" w14:textId="77777777" w:rsidR="002661BA" w:rsidRDefault="002661BA">
            <w:pPr>
              <w:rPr>
                <w:rFonts w:ascii="宋体"/>
              </w:rPr>
            </w:pPr>
          </w:p>
        </w:tc>
        <w:tc>
          <w:tcPr>
            <w:tcW w:w="5" w:type="pct"/>
            <w:shd w:val="clear" w:color="auto" w:fill="auto"/>
            <w:vAlign w:val="bottom"/>
          </w:tcPr>
          <w:p w14:paraId="22CFD705" w14:textId="77777777" w:rsidR="002661BA" w:rsidRDefault="002661BA">
            <w:pPr>
              <w:rPr>
                <w:rFonts w:ascii="宋体"/>
              </w:rPr>
            </w:pPr>
          </w:p>
        </w:tc>
        <w:tc>
          <w:tcPr>
            <w:tcW w:w="50" w:type="pct"/>
            <w:shd w:val="clear" w:color="auto" w:fill="auto"/>
            <w:vAlign w:val="bottom"/>
          </w:tcPr>
          <w:p w14:paraId="22CFD706" w14:textId="77777777" w:rsidR="002661BA" w:rsidRDefault="002661BA">
            <w:pPr>
              <w:rPr>
                <w:rFonts w:ascii="宋体"/>
              </w:rPr>
            </w:pPr>
          </w:p>
        </w:tc>
        <w:tc>
          <w:tcPr>
            <w:tcW w:w="581" w:type="pct"/>
            <w:shd w:val="clear" w:color="auto" w:fill="auto"/>
            <w:vAlign w:val="bottom"/>
          </w:tcPr>
          <w:p w14:paraId="22CFD707" w14:textId="77777777" w:rsidR="002661BA" w:rsidRDefault="002661BA">
            <w:pPr>
              <w:rPr>
                <w:rFonts w:ascii="宋体"/>
              </w:rPr>
            </w:pPr>
          </w:p>
        </w:tc>
        <w:tc>
          <w:tcPr>
            <w:tcW w:w="5" w:type="pct"/>
            <w:shd w:val="clear" w:color="auto" w:fill="auto"/>
            <w:vAlign w:val="bottom"/>
          </w:tcPr>
          <w:p w14:paraId="22CFD708" w14:textId="77777777" w:rsidR="002661BA" w:rsidRDefault="002661BA">
            <w:pPr>
              <w:rPr>
                <w:rFonts w:ascii="宋体"/>
              </w:rPr>
            </w:pPr>
          </w:p>
        </w:tc>
      </w:tr>
      <w:tr w:rsidR="002661BA" w14:paraId="22CFD70C" w14:textId="77777777">
        <w:trPr>
          <w:jc w:val="center"/>
        </w:trPr>
        <w:tc>
          <w:tcPr>
            <w:tcW w:w="0" w:type="auto"/>
            <w:gridSpan w:val="3"/>
            <w:shd w:val="clear" w:color="auto" w:fill="auto"/>
            <w:tcMar>
              <w:top w:w="0" w:type="dxa"/>
              <w:left w:w="20" w:type="dxa"/>
              <w:bottom w:w="0" w:type="dxa"/>
              <w:right w:w="20" w:type="dxa"/>
            </w:tcMar>
            <w:vAlign w:val="bottom"/>
          </w:tcPr>
          <w:p w14:paraId="22CFD70A" w14:textId="77777777" w:rsidR="002661BA" w:rsidRDefault="002661BA">
            <w:pPr>
              <w:rPr>
                <w:rFonts w:ascii="宋体"/>
              </w:rPr>
            </w:pPr>
          </w:p>
        </w:tc>
        <w:tc>
          <w:tcPr>
            <w:tcW w:w="0" w:type="auto"/>
            <w:gridSpan w:val="21"/>
            <w:shd w:val="clear" w:color="auto" w:fill="auto"/>
            <w:tcMar>
              <w:top w:w="40" w:type="dxa"/>
              <w:left w:w="20" w:type="dxa"/>
              <w:bottom w:w="40" w:type="dxa"/>
              <w:right w:w="20" w:type="dxa"/>
            </w:tcMar>
            <w:vAlign w:val="bottom"/>
          </w:tcPr>
          <w:p w14:paraId="22CFD70B" w14:textId="77777777" w:rsidR="002661BA" w:rsidRDefault="00D972BC">
            <w:pPr>
              <w:jc w:val="center"/>
              <w:textAlignment w:val="bottom"/>
            </w:pPr>
            <w:r>
              <w:rPr>
                <w:rFonts w:ascii="Arial" w:eastAsia="宋体" w:hAnsi="Arial" w:cs="Arial"/>
                <w:b/>
                <w:bCs/>
                <w:color w:val="000000"/>
                <w:sz w:val="17"/>
                <w:szCs w:val="17"/>
              </w:rPr>
              <w:t>Quarter Ended</w:t>
            </w:r>
          </w:p>
        </w:tc>
      </w:tr>
      <w:tr w:rsidR="002661BA" w14:paraId="22CFD715" w14:textId="77777777">
        <w:trPr>
          <w:jc w:val="center"/>
        </w:trPr>
        <w:tc>
          <w:tcPr>
            <w:tcW w:w="0" w:type="auto"/>
            <w:gridSpan w:val="3"/>
            <w:shd w:val="clear" w:color="auto" w:fill="auto"/>
            <w:tcMar>
              <w:top w:w="0" w:type="dxa"/>
              <w:left w:w="20" w:type="dxa"/>
              <w:bottom w:w="0" w:type="dxa"/>
              <w:right w:w="20" w:type="dxa"/>
            </w:tcMar>
            <w:vAlign w:val="bottom"/>
          </w:tcPr>
          <w:p w14:paraId="22CFD70D"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70E" w14:textId="77777777" w:rsidR="002661BA" w:rsidRDefault="00D972BC">
            <w:pPr>
              <w:jc w:val="center"/>
              <w:textAlignment w:val="bottom"/>
            </w:pPr>
            <w:r>
              <w:rPr>
                <w:rFonts w:ascii="Arial" w:eastAsia="宋体" w:hAnsi="Arial" w:cs="Arial"/>
                <w:b/>
                <w:bCs/>
                <w:color w:val="000000"/>
                <w:sz w:val="17"/>
                <w:szCs w:val="17"/>
              </w:rPr>
              <w:t>March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D70F"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710" w14:textId="77777777" w:rsidR="002661BA" w:rsidRDefault="00D972BC">
            <w:pPr>
              <w:jc w:val="center"/>
              <w:textAlignment w:val="bottom"/>
            </w:pPr>
            <w:r>
              <w:rPr>
                <w:rFonts w:ascii="Arial" w:eastAsia="宋体" w:hAnsi="Arial" w:cs="Arial"/>
                <w:b/>
                <w:bCs/>
                <w:color w:val="000000"/>
                <w:sz w:val="17"/>
                <w:szCs w:val="17"/>
              </w:rPr>
              <w:t>June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D711"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712" w14:textId="77777777" w:rsidR="002661BA" w:rsidRDefault="00D972BC">
            <w:pPr>
              <w:jc w:val="center"/>
              <w:textAlignment w:val="bottom"/>
            </w:pPr>
            <w:r>
              <w:rPr>
                <w:rFonts w:ascii="Arial" w:eastAsia="宋体" w:hAnsi="Arial" w:cs="Arial"/>
                <w:b/>
                <w:bCs/>
                <w:color w:val="000000"/>
                <w:sz w:val="17"/>
                <w:szCs w:val="17"/>
              </w:rPr>
              <w:t>September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D713"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714" w14:textId="77777777" w:rsidR="002661BA" w:rsidRDefault="00D972BC">
            <w:pPr>
              <w:jc w:val="center"/>
              <w:textAlignment w:val="bottom"/>
            </w:pPr>
            <w:r>
              <w:rPr>
                <w:rFonts w:ascii="Arial" w:eastAsia="宋体" w:hAnsi="Arial" w:cs="Arial"/>
                <w:b/>
                <w:bCs/>
                <w:color w:val="000000"/>
                <w:sz w:val="17"/>
                <w:szCs w:val="17"/>
              </w:rPr>
              <w:t>December 31</w:t>
            </w:r>
          </w:p>
        </w:tc>
      </w:tr>
      <w:tr w:rsidR="002661BA" w14:paraId="22CFD71E" w14:textId="77777777">
        <w:trPr>
          <w:jc w:val="center"/>
        </w:trPr>
        <w:tc>
          <w:tcPr>
            <w:tcW w:w="0" w:type="auto"/>
            <w:gridSpan w:val="3"/>
            <w:shd w:val="clear" w:color="auto" w:fill="E2E2E2"/>
            <w:tcMar>
              <w:top w:w="40" w:type="dxa"/>
              <w:left w:w="20" w:type="dxa"/>
              <w:bottom w:w="40" w:type="dxa"/>
              <w:right w:w="20" w:type="dxa"/>
            </w:tcMar>
            <w:vAlign w:val="bottom"/>
          </w:tcPr>
          <w:p w14:paraId="22CFD716" w14:textId="77777777" w:rsidR="002661BA" w:rsidRDefault="00D972BC">
            <w:pPr>
              <w:textAlignment w:val="bottom"/>
            </w:pPr>
            <w:r>
              <w:rPr>
                <w:rFonts w:ascii="Arial" w:eastAsia="宋体" w:hAnsi="Arial" w:cs="Arial"/>
                <w:b/>
                <w:bCs/>
                <w:color w:val="000000"/>
                <w:sz w:val="18"/>
                <w:szCs w:val="18"/>
              </w:rPr>
              <w:t>2021</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D717"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718"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D719"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71A"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D71B"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71C"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D71D" w14:textId="77777777" w:rsidR="002661BA" w:rsidRDefault="002661BA">
            <w:pPr>
              <w:rPr>
                <w:rFonts w:ascii="宋体"/>
              </w:rPr>
            </w:pPr>
          </w:p>
        </w:tc>
      </w:tr>
      <w:tr w:rsidR="002661BA" w14:paraId="22CFD72F" w14:textId="77777777">
        <w:trPr>
          <w:jc w:val="center"/>
        </w:trPr>
        <w:tc>
          <w:tcPr>
            <w:tcW w:w="0" w:type="auto"/>
            <w:gridSpan w:val="3"/>
            <w:shd w:val="clear" w:color="auto" w:fill="FFFFFF"/>
            <w:tcMar>
              <w:top w:w="40" w:type="dxa"/>
              <w:left w:w="20" w:type="dxa"/>
              <w:bottom w:w="40" w:type="dxa"/>
              <w:right w:w="20" w:type="dxa"/>
            </w:tcMar>
            <w:vAlign w:val="bottom"/>
          </w:tcPr>
          <w:p w14:paraId="22CFD71F" w14:textId="77777777" w:rsidR="002661BA" w:rsidRDefault="00D972BC">
            <w:pPr>
              <w:textAlignment w:val="bottom"/>
            </w:pPr>
            <w:r>
              <w:rPr>
                <w:rFonts w:ascii="Arial" w:eastAsia="宋体" w:hAnsi="Arial" w:cs="Arial"/>
                <w:color w:val="000000"/>
                <w:sz w:val="18"/>
                <w:szCs w:val="18"/>
              </w:rPr>
              <w:t>Net revenues</w:t>
            </w:r>
          </w:p>
        </w:tc>
        <w:tc>
          <w:tcPr>
            <w:tcW w:w="0" w:type="auto"/>
            <w:shd w:val="clear" w:color="auto" w:fill="FFFFFF"/>
            <w:tcMar>
              <w:top w:w="40" w:type="dxa"/>
              <w:left w:w="20" w:type="dxa"/>
              <w:bottom w:w="40" w:type="dxa"/>
              <w:right w:w="0" w:type="dxa"/>
            </w:tcMar>
            <w:vAlign w:val="bottom"/>
          </w:tcPr>
          <w:p w14:paraId="22CFD720"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721" w14:textId="77777777" w:rsidR="002661BA" w:rsidRDefault="00D972BC">
            <w:pPr>
              <w:jc w:val="right"/>
              <w:textAlignment w:val="bottom"/>
            </w:pPr>
            <w:r>
              <w:rPr>
                <w:rFonts w:ascii="Arial" w:eastAsia="宋体" w:hAnsi="Arial" w:cs="Arial"/>
                <w:color w:val="000000"/>
                <w:sz w:val="18"/>
                <w:szCs w:val="18"/>
              </w:rPr>
              <w:t>2,638 </w:t>
            </w:r>
          </w:p>
        </w:tc>
        <w:tc>
          <w:tcPr>
            <w:tcW w:w="0" w:type="auto"/>
            <w:shd w:val="clear" w:color="auto" w:fill="FFFFFF"/>
            <w:tcMar>
              <w:top w:w="40" w:type="dxa"/>
              <w:left w:w="0" w:type="dxa"/>
              <w:bottom w:w="40" w:type="dxa"/>
              <w:right w:w="20" w:type="dxa"/>
            </w:tcMar>
            <w:vAlign w:val="bottom"/>
          </w:tcPr>
          <w:p w14:paraId="22CFD72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23"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724"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725" w14:textId="77777777" w:rsidR="002661BA" w:rsidRDefault="00D972BC">
            <w:pPr>
              <w:jc w:val="right"/>
              <w:textAlignment w:val="bottom"/>
            </w:pPr>
            <w:r>
              <w:rPr>
                <w:rFonts w:ascii="Arial" w:eastAsia="宋体" w:hAnsi="Arial" w:cs="Arial"/>
                <w:color w:val="000000"/>
                <w:sz w:val="18"/>
                <w:szCs w:val="18"/>
              </w:rPr>
              <w:t>2,668 </w:t>
            </w:r>
          </w:p>
        </w:tc>
        <w:tc>
          <w:tcPr>
            <w:tcW w:w="0" w:type="auto"/>
            <w:shd w:val="clear" w:color="auto" w:fill="FFFFFF"/>
            <w:tcMar>
              <w:top w:w="40" w:type="dxa"/>
              <w:left w:w="0" w:type="dxa"/>
              <w:bottom w:w="40" w:type="dxa"/>
              <w:right w:w="20" w:type="dxa"/>
            </w:tcMar>
            <w:vAlign w:val="bottom"/>
          </w:tcPr>
          <w:p w14:paraId="22CFD72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27"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728"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729" w14:textId="77777777" w:rsidR="002661BA" w:rsidRDefault="00D972BC">
            <w:pPr>
              <w:jc w:val="right"/>
              <w:textAlignment w:val="bottom"/>
            </w:pPr>
            <w:r>
              <w:rPr>
                <w:rFonts w:ascii="Arial" w:eastAsia="宋体" w:hAnsi="Arial" w:cs="Arial"/>
                <w:color w:val="000000"/>
                <w:sz w:val="18"/>
                <w:szCs w:val="18"/>
              </w:rPr>
              <w:t>2,501 </w:t>
            </w:r>
          </w:p>
        </w:tc>
        <w:tc>
          <w:tcPr>
            <w:tcW w:w="0" w:type="auto"/>
            <w:shd w:val="clear" w:color="auto" w:fill="FFFFFF"/>
            <w:tcMar>
              <w:top w:w="40" w:type="dxa"/>
              <w:left w:w="0" w:type="dxa"/>
              <w:bottom w:w="40" w:type="dxa"/>
              <w:right w:w="20" w:type="dxa"/>
            </w:tcMar>
            <w:vAlign w:val="bottom"/>
          </w:tcPr>
          <w:p w14:paraId="22CFD72A"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2B"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72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72D" w14:textId="77777777" w:rsidR="002661BA" w:rsidRDefault="00D972BC">
            <w:pPr>
              <w:jc w:val="right"/>
              <w:textAlignment w:val="bottom"/>
            </w:pPr>
            <w:r>
              <w:rPr>
                <w:rFonts w:ascii="Arial" w:eastAsia="宋体" w:hAnsi="Arial" w:cs="Arial"/>
                <w:color w:val="000000"/>
                <w:sz w:val="18"/>
                <w:szCs w:val="18"/>
              </w:rPr>
              <w:t>2,613 </w:t>
            </w:r>
          </w:p>
        </w:tc>
        <w:tc>
          <w:tcPr>
            <w:tcW w:w="0" w:type="auto"/>
            <w:shd w:val="clear" w:color="auto" w:fill="FFFFFF"/>
            <w:tcMar>
              <w:top w:w="40" w:type="dxa"/>
              <w:left w:w="0" w:type="dxa"/>
              <w:bottom w:w="40" w:type="dxa"/>
              <w:right w:w="20" w:type="dxa"/>
            </w:tcMar>
            <w:vAlign w:val="bottom"/>
          </w:tcPr>
          <w:p w14:paraId="22CFD72E" w14:textId="77777777" w:rsidR="002661BA" w:rsidRDefault="002661BA">
            <w:pPr>
              <w:jc w:val="right"/>
              <w:rPr>
                <w:rFonts w:ascii="宋体"/>
              </w:rPr>
            </w:pPr>
          </w:p>
        </w:tc>
      </w:tr>
      <w:tr w:rsidR="002661BA" w14:paraId="22CFD740" w14:textId="77777777">
        <w:trPr>
          <w:jc w:val="center"/>
        </w:trPr>
        <w:tc>
          <w:tcPr>
            <w:tcW w:w="0" w:type="auto"/>
            <w:gridSpan w:val="3"/>
            <w:shd w:val="clear" w:color="auto" w:fill="E2E2E2"/>
            <w:tcMar>
              <w:top w:w="40" w:type="dxa"/>
              <w:left w:w="20" w:type="dxa"/>
              <w:bottom w:w="40" w:type="dxa"/>
              <w:right w:w="20" w:type="dxa"/>
            </w:tcMar>
            <w:vAlign w:val="bottom"/>
          </w:tcPr>
          <w:p w14:paraId="22CFD730" w14:textId="77777777" w:rsidR="002661BA" w:rsidRDefault="00D972BC">
            <w:pPr>
              <w:textAlignment w:val="bottom"/>
            </w:pPr>
            <w:r>
              <w:rPr>
                <w:rFonts w:ascii="Arial" w:eastAsia="宋体" w:hAnsi="Arial" w:cs="Arial"/>
                <w:color w:val="000000"/>
                <w:sz w:val="18"/>
                <w:szCs w:val="18"/>
              </w:rPr>
              <w:t>Gross profit</w:t>
            </w:r>
          </w:p>
        </w:tc>
        <w:tc>
          <w:tcPr>
            <w:tcW w:w="0" w:type="auto"/>
            <w:shd w:val="clear" w:color="auto" w:fill="E2E2E2"/>
            <w:tcMar>
              <w:top w:w="40" w:type="dxa"/>
              <w:left w:w="20" w:type="dxa"/>
              <w:bottom w:w="40" w:type="dxa"/>
              <w:right w:w="0" w:type="dxa"/>
            </w:tcMar>
            <w:vAlign w:val="bottom"/>
          </w:tcPr>
          <w:p w14:paraId="22CFD731"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732" w14:textId="77777777" w:rsidR="002661BA" w:rsidRDefault="00D972BC">
            <w:pPr>
              <w:jc w:val="right"/>
              <w:textAlignment w:val="bottom"/>
            </w:pPr>
            <w:r>
              <w:rPr>
                <w:rFonts w:ascii="Arial" w:eastAsia="宋体" w:hAnsi="Arial" w:cs="Arial"/>
                <w:color w:val="000000"/>
                <w:sz w:val="18"/>
                <w:szCs w:val="18"/>
              </w:rPr>
              <w:t>2,032 </w:t>
            </w:r>
          </w:p>
        </w:tc>
        <w:tc>
          <w:tcPr>
            <w:tcW w:w="0" w:type="auto"/>
            <w:shd w:val="clear" w:color="auto" w:fill="E2E2E2"/>
            <w:tcMar>
              <w:top w:w="40" w:type="dxa"/>
              <w:left w:w="0" w:type="dxa"/>
              <w:bottom w:w="40" w:type="dxa"/>
              <w:right w:w="20" w:type="dxa"/>
            </w:tcMar>
            <w:vAlign w:val="bottom"/>
          </w:tcPr>
          <w:p w14:paraId="22CFD733"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734"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D735"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736" w14:textId="77777777" w:rsidR="002661BA" w:rsidRDefault="00D972BC">
            <w:pPr>
              <w:jc w:val="right"/>
              <w:textAlignment w:val="bottom"/>
            </w:pPr>
            <w:r>
              <w:rPr>
                <w:rFonts w:ascii="Arial" w:eastAsia="宋体" w:hAnsi="Arial" w:cs="Arial"/>
                <w:color w:val="000000"/>
                <w:sz w:val="18"/>
                <w:szCs w:val="18"/>
              </w:rPr>
              <w:t>1,996 </w:t>
            </w:r>
          </w:p>
        </w:tc>
        <w:tc>
          <w:tcPr>
            <w:tcW w:w="0" w:type="auto"/>
            <w:shd w:val="clear" w:color="auto" w:fill="E2E2E2"/>
            <w:tcMar>
              <w:top w:w="40" w:type="dxa"/>
              <w:left w:w="0" w:type="dxa"/>
              <w:bottom w:w="40" w:type="dxa"/>
              <w:right w:w="20" w:type="dxa"/>
            </w:tcMar>
            <w:vAlign w:val="bottom"/>
          </w:tcPr>
          <w:p w14:paraId="22CFD737"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738"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D73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73A" w14:textId="77777777" w:rsidR="002661BA" w:rsidRDefault="00D972BC">
            <w:pPr>
              <w:jc w:val="right"/>
              <w:textAlignment w:val="bottom"/>
            </w:pPr>
            <w:r>
              <w:rPr>
                <w:rFonts w:ascii="Arial" w:eastAsia="宋体" w:hAnsi="Arial" w:cs="Arial"/>
                <w:color w:val="000000"/>
                <w:sz w:val="18"/>
                <w:szCs w:val="18"/>
              </w:rPr>
              <w:t>1,823 </w:t>
            </w:r>
          </w:p>
        </w:tc>
        <w:tc>
          <w:tcPr>
            <w:tcW w:w="0" w:type="auto"/>
            <w:shd w:val="clear" w:color="auto" w:fill="E2E2E2"/>
            <w:tcMar>
              <w:top w:w="40" w:type="dxa"/>
              <w:left w:w="0" w:type="dxa"/>
              <w:bottom w:w="40" w:type="dxa"/>
              <w:right w:w="20" w:type="dxa"/>
            </w:tcMar>
            <w:vAlign w:val="bottom"/>
          </w:tcPr>
          <w:p w14:paraId="22CFD73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73C"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D73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73E" w14:textId="77777777" w:rsidR="002661BA" w:rsidRDefault="00D972BC">
            <w:pPr>
              <w:jc w:val="right"/>
              <w:textAlignment w:val="bottom"/>
            </w:pPr>
            <w:r>
              <w:rPr>
                <w:rFonts w:ascii="Arial" w:eastAsia="宋体" w:hAnsi="Arial" w:cs="Arial"/>
                <w:color w:val="000000"/>
                <w:sz w:val="18"/>
                <w:szCs w:val="18"/>
              </w:rPr>
              <w:t>1,919 </w:t>
            </w:r>
          </w:p>
        </w:tc>
        <w:tc>
          <w:tcPr>
            <w:tcW w:w="0" w:type="auto"/>
            <w:shd w:val="clear" w:color="auto" w:fill="E2E2E2"/>
            <w:tcMar>
              <w:top w:w="40" w:type="dxa"/>
              <w:left w:w="0" w:type="dxa"/>
              <w:bottom w:w="40" w:type="dxa"/>
              <w:right w:w="20" w:type="dxa"/>
            </w:tcMar>
            <w:vAlign w:val="bottom"/>
          </w:tcPr>
          <w:p w14:paraId="22CFD73F" w14:textId="77777777" w:rsidR="002661BA" w:rsidRDefault="002661BA">
            <w:pPr>
              <w:jc w:val="right"/>
              <w:rPr>
                <w:rFonts w:ascii="宋体"/>
              </w:rPr>
            </w:pPr>
          </w:p>
        </w:tc>
      </w:tr>
      <w:tr w:rsidR="002661BA" w14:paraId="22CFD751" w14:textId="77777777">
        <w:trPr>
          <w:jc w:val="center"/>
        </w:trPr>
        <w:tc>
          <w:tcPr>
            <w:tcW w:w="0" w:type="auto"/>
            <w:gridSpan w:val="3"/>
            <w:shd w:val="clear" w:color="auto" w:fill="FFFFFF"/>
            <w:tcMar>
              <w:top w:w="40" w:type="dxa"/>
              <w:left w:w="20" w:type="dxa"/>
              <w:bottom w:w="40" w:type="dxa"/>
              <w:right w:w="20" w:type="dxa"/>
            </w:tcMar>
            <w:vAlign w:val="bottom"/>
          </w:tcPr>
          <w:p w14:paraId="22CFD741" w14:textId="77777777" w:rsidR="002661BA" w:rsidRDefault="00D972BC">
            <w:pPr>
              <w:textAlignment w:val="bottom"/>
            </w:pPr>
            <w:r>
              <w:rPr>
                <w:rFonts w:ascii="Arial" w:eastAsia="宋体" w:hAnsi="Arial" w:cs="Arial"/>
                <w:color w:val="000000"/>
                <w:sz w:val="18"/>
                <w:szCs w:val="18"/>
              </w:rPr>
              <w:t>Income (loss) from continuing operations</w:t>
            </w:r>
          </w:p>
        </w:tc>
        <w:tc>
          <w:tcPr>
            <w:tcW w:w="0" w:type="auto"/>
            <w:shd w:val="clear" w:color="auto" w:fill="FFFFFF"/>
            <w:tcMar>
              <w:top w:w="40" w:type="dxa"/>
              <w:left w:w="20" w:type="dxa"/>
              <w:bottom w:w="40" w:type="dxa"/>
              <w:right w:w="0" w:type="dxa"/>
            </w:tcMar>
            <w:vAlign w:val="bottom"/>
          </w:tcPr>
          <w:p w14:paraId="22CFD742"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743" w14:textId="77777777" w:rsidR="002661BA" w:rsidRDefault="00D972BC">
            <w:pPr>
              <w:jc w:val="right"/>
              <w:textAlignment w:val="bottom"/>
            </w:pPr>
            <w:r>
              <w:rPr>
                <w:rFonts w:ascii="Arial" w:eastAsia="宋体" w:hAnsi="Arial" w:cs="Arial"/>
                <w:color w:val="000000"/>
                <w:sz w:val="18"/>
                <w:szCs w:val="18"/>
              </w:rPr>
              <w:t>568 </w:t>
            </w:r>
          </w:p>
        </w:tc>
        <w:tc>
          <w:tcPr>
            <w:tcW w:w="0" w:type="auto"/>
            <w:shd w:val="clear" w:color="auto" w:fill="FFFFFF"/>
            <w:tcMar>
              <w:top w:w="40" w:type="dxa"/>
              <w:left w:w="0" w:type="dxa"/>
              <w:bottom w:w="40" w:type="dxa"/>
              <w:right w:w="20" w:type="dxa"/>
            </w:tcMar>
            <w:vAlign w:val="bottom"/>
          </w:tcPr>
          <w:p w14:paraId="22CFD74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45"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74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747" w14:textId="77777777" w:rsidR="002661BA" w:rsidRDefault="00D972BC">
            <w:pPr>
              <w:jc w:val="right"/>
              <w:textAlignment w:val="bottom"/>
            </w:pPr>
            <w:r>
              <w:rPr>
                <w:rFonts w:ascii="Arial" w:eastAsia="宋体" w:hAnsi="Arial" w:cs="Arial"/>
                <w:color w:val="000000"/>
                <w:sz w:val="18"/>
                <w:szCs w:val="18"/>
              </w:rPr>
              <w:t>294 </w:t>
            </w:r>
          </w:p>
        </w:tc>
        <w:tc>
          <w:tcPr>
            <w:tcW w:w="0" w:type="auto"/>
            <w:shd w:val="clear" w:color="auto" w:fill="FFFFFF"/>
            <w:tcMar>
              <w:top w:w="40" w:type="dxa"/>
              <w:left w:w="0" w:type="dxa"/>
              <w:bottom w:w="40" w:type="dxa"/>
              <w:right w:w="20" w:type="dxa"/>
            </w:tcMar>
            <w:vAlign w:val="bottom"/>
          </w:tcPr>
          <w:p w14:paraId="22CFD74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49"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74A"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74B" w14:textId="77777777" w:rsidR="002661BA" w:rsidRDefault="00D972BC">
            <w:pPr>
              <w:jc w:val="right"/>
              <w:textAlignment w:val="bottom"/>
            </w:pPr>
            <w:r>
              <w:rPr>
                <w:rFonts w:ascii="Arial" w:eastAsia="宋体" w:hAnsi="Arial" w:cs="Arial"/>
                <w:color w:val="000000"/>
                <w:sz w:val="18"/>
                <w:szCs w:val="18"/>
              </w:rPr>
              <w:t>283 </w:t>
            </w:r>
          </w:p>
        </w:tc>
        <w:tc>
          <w:tcPr>
            <w:tcW w:w="0" w:type="auto"/>
            <w:shd w:val="clear" w:color="auto" w:fill="FFFFFF"/>
            <w:tcMar>
              <w:top w:w="40" w:type="dxa"/>
              <w:left w:w="0" w:type="dxa"/>
              <w:bottom w:w="40" w:type="dxa"/>
              <w:right w:w="20" w:type="dxa"/>
            </w:tcMar>
            <w:vAlign w:val="bottom"/>
          </w:tcPr>
          <w:p w14:paraId="22CFD74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4D"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74E"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74F" w14:textId="77777777" w:rsidR="002661BA" w:rsidRDefault="00D972BC">
            <w:pPr>
              <w:jc w:val="right"/>
              <w:textAlignment w:val="bottom"/>
            </w:pPr>
            <w:r>
              <w:rPr>
                <w:rFonts w:ascii="Arial" w:eastAsia="宋体" w:hAnsi="Arial" w:cs="Arial"/>
                <w:color w:val="000000"/>
                <w:sz w:val="18"/>
                <w:szCs w:val="18"/>
              </w:rPr>
              <w:t>(893)</w:t>
            </w:r>
          </w:p>
        </w:tc>
        <w:tc>
          <w:tcPr>
            <w:tcW w:w="0" w:type="auto"/>
            <w:shd w:val="clear" w:color="auto" w:fill="FFFFFF"/>
            <w:tcMar>
              <w:top w:w="40" w:type="dxa"/>
              <w:left w:w="0" w:type="dxa"/>
              <w:bottom w:w="40" w:type="dxa"/>
              <w:right w:w="20" w:type="dxa"/>
            </w:tcMar>
            <w:vAlign w:val="bottom"/>
          </w:tcPr>
          <w:p w14:paraId="22CFD750" w14:textId="77777777" w:rsidR="002661BA" w:rsidRDefault="002661BA">
            <w:pPr>
              <w:jc w:val="right"/>
              <w:rPr>
                <w:rFonts w:ascii="宋体"/>
              </w:rPr>
            </w:pPr>
          </w:p>
        </w:tc>
      </w:tr>
      <w:tr w:rsidR="002661BA" w14:paraId="22CFD762" w14:textId="77777777">
        <w:trPr>
          <w:jc w:val="center"/>
        </w:trPr>
        <w:tc>
          <w:tcPr>
            <w:tcW w:w="0" w:type="auto"/>
            <w:gridSpan w:val="3"/>
            <w:shd w:val="clear" w:color="auto" w:fill="E2E2E2"/>
            <w:tcMar>
              <w:top w:w="40" w:type="dxa"/>
              <w:left w:w="20" w:type="dxa"/>
              <w:bottom w:w="40" w:type="dxa"/>
              <w:right w:w="20" w:type="dxa"/>
            </w:tcMar>
            <w:vAlign w:val="bottom"/>
          </w:tcPr>
          <w:p w14:paraId="22CFD752" w14:textId="77777777" w:rsidR="002661BA" w:rsidRDefault="00D972BC">
            <w:pPr>
              <w:ind w:hanging="180"/>
              <w:textAlignment w:val="bottom"/>
            </w:pPr>
            <w:r>
              <w:rPr>
                <w:rFonts w:ascii="Arial" w:eastAsia="宋体" w:hAnsi="Arial" w:cs="Arial"/>
                <w:color w:val="000000"/>
                <w:sz w:val="18"/>
                <w:szCs w:val="18"/>
              </w:rPr>
              <w:t>Income (loss) from discontinued operations, net of income taxes</w:t>
            </w:r>
          </w:p>
        </w:tc>
        <w:tc>
          <w:tcPr>
            <w:tcW w:w="0" w:type="auto"/>
            <w:shd w:val="clear" w:color="auto" w:fill="E2E2E2"/>
            <w:tcMar>
              <w:top w:w="40" w:type="dxa"/>
              <w:left w:w="20" w:type="dxa"/>
              <w:bottom w:w="40" w:type="dxa"/>
              <w:right w:w="0" w:type="dxa"/>
            </w:tcMar>
            <w:vAlign w:val="bottom"/>
          </w:tcPr>
          <w:p w14:paraId="22CFD75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754" w14:textId="77777777" w:rsidR="002661BA" w:rsidRDefault="00D972BC">
            <w:pPr>
              <w:jc w:val="right"/>
              <w:textAlignment w:val="bottom"/>
            </w:pPr>
            <w:r>
              <w:rPr>
                <w:rFonts w:ascii="Arial" w:eastAsia="宋体" w:hAnsi="Arial" w:cs="Arial"/>
                <w:color w:val="000000"/>
                <w:sz w:val="18"/>
                <w:szCs w:val="18"/>
              </w:rPr>
              <w:t>73 </w:t>
            </w:r>
          </w:p>
        </w:tc>
        <w:tc>
          <w:tcPr>
            <w:tcW w:w="0" w:type="auto"/>
            <w:shd w:val="clear" w:color="auto" w:fill="E2E2E2"/>
            <w:tcMar>
              <w:top w:w="40" w:type="dxa"/>
              <w:left w:w="0" w:type="dxa"/>
              <w:bottom w:w="40" w:type="dxa"/>
              <w:right w:w="20" w:type="dxa"/>
            </w:tcMar>
            <w:vAlign w:val="bottom"/>
          </w:tcPr>
          <w:p w14:paraId="22CFD75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756"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D75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758" w14:textId="77777777" w:rsidR="002661BA" w:rsidRDefault="00D972BC">
            <w:pPr>
              <w:jc w:val="right"/>
              <w:textAlignment w:val="bottom"/>
            </w:pPr>
            <w:r>
              <w:rPr>
                <w:rFonts w:ascii="Arial" w:eastAsia="宋体" w:hAnsi="Arial" w:cs="Arial"/>
                <w:color w:val="000000"/>
                <w:sz w:val="18"/>
                <w:szCs w:val="18"/>
              </w:rPr>
              <w:t>10,440 </w:t>
            </w:r>
          </w:p>
        </w:tc>
        <w:tc>
          <w:tcPr>
            <w:tcW w:w="0" w:type="auto"/>
            <w:shd w:val="clear" w:color="auto" w:fill="E2E2E2"/>
            <w:tcMar>
              <w:top w:w="40" w:type="dxa"/>
              <w:left w:w="0" w:type="dxa"/>
              <w:bottom w:w="40" w:type="dxa"/>
              <w:right w:w="20" w:type="dxa"/>
            </w:tcMar>
            <w:vAlign w:val="bottom"/>
          </w:tcPr>
          <w:p w14:paraId="22CFD75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75A"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D75B"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75C" w14:textId="77777777" w:rsidR="002661BA" w:rsidRDefault="00D972BC">
            <w:pPr>
              <w:jc w:val="right"/>
              <w:textAlignment w:val="bottom"/>
            </w:pPr>
            <w:r>
              <w:rPr>
                <w:rFonts w:ascii="Arial" w:eastAsia="宋体" w:hAnsi="Arial" w:cs="Arial"/>
                <w:color w:val="000000"/>
                <w:sz w:val="18"/>
                <w:szCs w:val="18"/>
              </w:rPr>
              <w:t>(19)</w:t>
            </w:r>
          </w:p>
        </w:tc>
        <w:tc>
          <w:tcPr>
            <w:tcW w:w="0" w:type="auto"/>
            <w:shd w:val="clear" w:color="auto" w:fill="E2E2E2"/>
            <w:tcMar>
              <w:top w:w="40" w:type="dxa"/>
              <w:left w:w="0" w:type="dxa"/>
              <w:bottom w:w="40" w:type="dxa"/>
              <w:right w:w="20" w:type="dxa"/>
            </w:tcMar>
            <w:vAlign w:val="bottom"/>
          </w:tcPr>
          <w:p w14:paraId="22CFD75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75E"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D75F"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760" w14:textId="77777777" w:rsidR="002661BA" w:rsidRDefault="00D972BC">
            <w:pPr>
              <w:jc w:val="right"/>
              <w:textAlignment w:val="bottom"/>
            </w:pPr>
            <w:r>
              <w:rPr>
                <w:rFonts w:ascii="Arial" w:eastAsia="宋体" w:hAnsi="Arial" w:cs="Arial"/>
                <w:color w:val="000000"/>
                <w:sz w:val="18"/>
                <w:szCs w:val="18"/>
              </w:rPr>
              <w:t>2,862 </w:t>
            </w:r>
          </w:p>
        </w:tc>
        <w:tc>
          <w:tcPr>
            <w:tcW w:w="0" w:type="auto"/>
            <w:shd w:val="clear" w:color="auto" w:fill="E2E2E2"/>
            <w:tcMar>
              <w:top w:w="40" w:type="dxa"/>
              <w:left w:w="0" w:type="dxa"/>
              <w:bottom w:w="40" w:type="dxa"/>
              <w:right w:w="20" w:type="dxa"/>
            </w:tcMar>
            <w:vAlign w:val="bottom"/>
          </w:tcPr>
          <w:p w14:paraId="22CFD761" w14:textId="77777777" w:rsidR="002661BA" w:rsidRDefault="002661BA">
            <w:pPr>
              <w:jc w:val="right"/>
              <w:rPr>
                <w:rFonts w:ascii="宋体"/>
              </w:rPr>
            </w:pPr>
          </w:p>
        </w:tc>
      </w:tr>
      <w:tr w:rsidR="002661BA" w14:paraId="22CFD773" w14:textId="77777777">
        <w:trPr>
          <w:jc w:val="center"/>
        </w:trPr>
        <w:tc>
          <w:tcPr>
            <w:tcW w:w="0" w:type="auto"/>
            <w:gridSpan w:val="3"/>
            <w:shd w:val="clear" w:color="auto" w:fill="FFFFFF"/>
            <w:tcMar>
              <w:top w:w="40" w:type="dxa"/>
              <w:left w:w="20" w:type="dxa"/>
              <w:bottom w:w="40" w:type="dxa"/>
              <w:right w:w="20" w:type="dxa"/>
            </w:tcMar>
            <w:vAlign w:val="bottom"/>
          </w:tcPr>
          <w:p w14:paraId="22CFD763" w14:textId="77777777" w:rsidR="002661BA" w:rsidRDefault="00D972BC">
            <w:pPr>
              <w:textAlignment w:val="bottom"/>
            </w:pPr>
            <w:r>
              <w:rPr>
                <w:rFonts w:ascii="Arial" w:eastAsia="宋体" w:hAnsi="Arial" w:cs="Arial"/>
                <w:color w:val="000000"/>
                <w:sz w:val="18"/>
                <w:szCs w:val="18"/>
              </w:rPr>
              <w:t>Net income (loss)</w:t>
            </w:r>
          </w:p>
        </w:tc>
        <w:tc>
          <w:tcPr>
            <w:tcW w:w="0" w:type="auto"/>
            <w:shd w:val="clear" w:color="auto" w:fill="FFFFFF"/>
            <w:tcMar>
              <w:top w:w="40" w:type="dxa"/>
              <w:left w:w="20" w:type="dxa"/>
              <w:bottom w:w="40" w:type="dxa"/>
              <w:right w:w="0" w:type="dxa"/>
            </w:tcMar>
            <w:vAlign w:val="bottom"/>
          </w:tcPr>
          <w:p w14:paraId="22CFD764"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765" w14:textId="77777777" w:rsidR="002661BA" w:rsidRDefault="00D972BC">
            <w:pPr>
              <w:jc w:val="right"/>
              <w:textAlignment w:val="bottom"/>
            </w:pPr>
            <w:r>
              <w:rPr>
                <w:rFonts w:ascii="Arial" w:eastAsia="宋体" w:hAnsi="Arial" w:cs="Arial"/>
                <w:color w:val="000000"/>
                <w:sz w:val="18"/>
                <w:szCs w:val="18"/>
              </w:rPr>
              <w:t>641 </w:t>
            </w:r>
          </w:p>
        </w:tc>
        <w:tc>
          <w:tcPr>
            <w:tcW w:w="0" w:type="auto"/>
            <w:shd w:val="clear" w:color="auto" w:fill="FFFFFF"/>
            <w:tcMar>
              <w:top w:w="40" w:type="dxa"/>
              <w:left w:w="0" w:type="dxa"/>
              <w:bottom w:w="40" w:type="dxa"/>
              <w:right w:w="20" w:type="dxa"/>
            </w:tcMar>
            <w:vAlign w:val="bottom"/>
          </w:tcPr>
          <w:p w14:paraId="22CFD76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67"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768"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769" w14:textId="77777777" w:rsidR="002661BA" w:rsidRDefault="00D972BC">
            <w:pPr>
              <w:jc w:val="right"/>
              <w:textAlignment w:val="bottom"/>
            </w:pPr>
            <w:r>
              <w:rPr>
                <w:rFonts w:ascii="Arial" w:eastAsia="宋体" w:hAnsi="Arial" w:cs="Arial"/>
                <w:color w:val="000000"/>
                <w:sz w:val="18"/>
                <w:szCs w:val="18"/>
              </w:rPr>
              <w:t>10,734 </w:t>
            </w:r>
          </w:p>
        </w:tc>
        <w:tc>
          <w:tcPr>
            <w:tcW w:w="0" w:type="auto"/>
            <w:shd w:val="clear" w:color="auto" w:fill="FFFFFF"/>
            <w:tcMar>
              <w:top w:w="40" w:type="dxa"/>
              <w:left w:w="0" w:type="dxa"/>
              <w:bottom w:w="40" w:type="dxa"/>
              <w:right w:w="20" w:type="dxa"/>
            </w:tcMar>
            <w:vAlign w:val="bottom"/>
          </w:tcPr>
          <w:p w14:paraId="22CFD76A"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6B"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76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76D" w14:textId="77777777" w:rsidR="002661BA" w:rsidRDefault="00D972BC">
            <w:pPr>
              <w:jc w:val="right"/>
              <w:textAlignment w:val="bottom"/>
            </w:pPr>
            <w:r>
              <w:rPr>
                <w:rFonts w:ascii="Arial" w:eastAsia="宋体" w:hAnsi="Arial" w:cs="Arial"/>
                <w:color w:val="000000"/>
                <w:sz w:val="18"/>
                <w:szCs w:val="18"/>
              </w:rPr>
              <w:t>264 </w:t>
            </w:r>
          </w:p>
        </w:tc>
        <w:tc>
          <w:tcPr>
            <w:tcW w:w="0" w:type="auto"/>
            <w:shd w:val="clear" w:color="auto" w:fill="FFFFFF"/>
            <w:tcMar>
              <w:top w:w="40" w:type="dxa"/>
              <w:left w:w="0" w:type="dxa"/>
              <w:bottom w:w="40" w:type="dxa"/>
              <w:right w:w="20" w:type="dxa"/>
            </w:tcMar>
            <w:vAlign w:val="bottom"/>
          </w:tcPr>
          <w:p w14:paraId="22CFD76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6F"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770"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771" w14:textId="77777777" w:rsidR="002661BA" w:rsidRDefault="00D972BC">
            <w:pPr>
              <w:jc w:val="right"/>
              <w:textAlignment w:val="bottom"/>
            </w:pPr>
            <w:r>
              <w:rPr>
                <w:rFonts w:ascii="Arial" w:eastAsia="宋体" w:hAnsi="Arial" w:cs="Arial"/>
                <w:color w:val="000000"/>
                <w:sz w:val="18"/>
                <w:szCs w:val="18"/>
              </w:rPr>
              <w:t>1,969 </w:t>
            </w:r>
          </w:p>
        </w:tc>
        <w:tc>
          <w:tcPr>
            <w:tcW w:w="0" w:type="auto"/>
            <w:shd w:val="clear" w:color="auto" w:fill="FFFFFF"/>
            <w:tcMar>
              <w:top w:w="40" w:type="dxa"/>
              <w:left w:w="0" w:type="dxa"/>
              <w:bottom w:w="40" w:type="dxa"/>
              <w:right w:w="20" w:type="dxa"/>
            </w:tcMar>
            <w:vAlign w:val="bottom"/>
          </w:tcPr>
          <w:p w14:paraId="22CFD772" w14:textId="77777777" w:rsidR="002661BA" w:rsidRDefault="002661BA">
            <w:pPr>
              <w:jc w:val="right"/>
              <w:rPr>
                <w:rFonts w:ascii="宋体"/>
              </w:rPr>
            </w:pPr>
          </w:p>
        </w:tc>
      </w:tr>
      <w:tr w:rsidR="002661BA" w14:paraId="22CFD77C" w14:textId="77777777">
        <w:trPr>
          <w:jc w:val="center"/>
        </w:trPr>
        <w:tc>
          <w:tcPr>
            <w:tcW w:w="0" w:type="auto"/>
            <w:gridSpan w:val="3"/>
            <w:shd w:val="clear" w:color="auto" w:fill="E2E2E2"/>
            <w:tcMar>
              <w:top w:w="40" w:type="dxa"/>
              <w:left w:w="20" w:type="dxa"/>
              <w:bottom w:w="40" w:type="dxa"/>
              <w:right w:w="20" w:type="dxa"/>
            </w:tcMar>
            <w:vAlign w:val="bottom"/>
          </w:tcPr>
          <w:p w14:paraId="22CFD774" w14:textId="77777777" w:rsidR="002661BA" w:rsidRDefault="00D972BC">
            <w:pPr>
              <w:textAlignment w:val="bottom"/>
            </w:pPr>
            <w:r>
              <w:rPr>
                <w:rFonts w:ascii="Arial" w:eastAsia="宋体" w:hAnsi="Arial" w:cs="Arial"/>
                <w:color w:val="000000"/>
                <w:sz w:val="18"/>
                <w:szCs w:val="18"/>
              </w:rPr>
              <w:t>Income (loss) pe</w:t>
            </w:r>
            <w:r>
              <w:rPr>
                <w:rFonts w:ascii="Arial" w:eastAsia="宋体" w:hAnsi="Arial" w:cs="Arial"/>
                <w:color w:val="000000"/>
                <w:sz w:val="18"/>
                <w:szCs w:val="18"/>
              </w:rPr>
              <w:t>r share - basic:</w:t>
            </w:r>
          </w:p>
        </w:tc>
        <w:tc>
          <w:tcPr>
            <w:tcW w:w="0" w:type="auto"/>
            <w:gridSpan w:val="3"/>
            <w:shd w:val="clear" w:color="auto" w:fill="E2E2E2"/>
            <w:tcMar>
              <w:top w:w="0" w:type="dxa"/>
              <w:left w:w="20" w:type="dxa"/>
              <w:bottom w:w="0" w:type="dxa"/>
              <w:right w:w="20" w:type="dxa"/>
            </w:tcMar>
            <w:vAlign w:val="bottom"/>
          </w:tcPr>
          <w:p w14:paraId="22CFD775"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776"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777"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778"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779"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77A"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77B" w14:textId="77777777" w:rsidR="002661BA" w:rsidRDefault="002661BA">
            <w:pPr>
              <w:rPr>
                <w:rFonts w:ascii="宋体"/>
              </w:rPr>
            </w:pPr>
          </w:p>
        </w:tc>
      </w:tr>
      <w:tr w:rsidR="002661BA" w14:paraId="22CFD78D" w14:textId="77777777">
        <w:trPr>
          <w:jc w:val="center"/>
        </w:trPr>
        <w:tc>
          <w:tcPr>
            <w:tcW w:w="0" w:type="auto"/>
            <w:gridSpan w:val="3"/>
            <w:shd w:val="clear" w:color="auto" w:fill="FFFFFF"/>
            <w:tcMar>
              <w:top w:w="40" w:type="dxa"/>
              <w:left w:w="380" w:type="dxa"/>
              <w:bottom w:w="40" w:type="dxa"/>
              <w:right w:w="20" w:type="dxa"/>
            </w:tcMar>
            <w:vAlign w:val="bottom"/>
          </w:tcPr>
          <w:p w14:paraId="22CFD77D" w14:textId="77777777" w:rsidR="002661BA" w:rsidRDefault="00D972BC">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right w:w="0" w:type="dxa"/>
            </w:tcMar>
            <w:vAlign w:val="bottom"/>
          </w:tcPr>
          <w:p w14:paraId="22CFD77E"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77F" w14:textId="77777777" w:rsidR="002661BA" w:rsidRDefault="00D972BC">
            <w:pPr>
              <w:jc w:val="right"/>
              <w:textAlignment w:val="bottom"/>
            </w:pPr>
            <w:r>
              <w:rPr>
                <w:rFonts w:ascii="Arial" w:eastAsia="宋体" w:hAnsi="Arial" w:cs="Arial"/>
                <w:color w:val="000000"/>
                <w:sz w:val="18"/>
                <w:szCs w:val="18"/>
              </w:rPr>
              <w:t>0.83 </w:t>
            </w:r>
          </w:p>
        </w:tc>
        <w:tc>
          <w:tcPr>
            <w:tcW w:w="0" w:type="auto"/>
            <w:shd w:val="clear" w:color="auto" w:fill="FFFFFF"/>
            <w:tcMar>
              <w:top w:w="40" w:type="dxa"/>
              <w:left w:w="0" w:type="dxa"/>
              <w:bottom w:w="40" w:type="dxa"/>
              <w:right w:w="20" w:type="dxa"/>
            </w:tcMar>
            <w:vAlign w:val="bottom"/>
          </w:tcPr>
          <w:p w14:paraId="22CFD780"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81"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782"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783" w14:textId="77777777" w:rsidR="002661BA" w:rsidRDefault="00D972BC">
            <w:pPr>
              <w:jc w:val="right"/>
              <w:textAlignment w:val="bottom"/>
            </w:pPr>
            <w:r>
              <w:rPr>
                <w:rFonts w:ascii="Arial" w:eastAsia="宋体" w:hAnsi="Arial" w:cs="Arial"/>
                <w:color w:val="000000"/>
                <w:sz w:val="18"/>
                <w:szCs w:val="18"/>
              </w:rPr>
              <w:t>0.44 </w:t>
            </w:r>
          </w:p>
        </w:tc>
        <w:tc>
          <w:tcPr>
            <w:tcW w:w="0" w:type="auto"/>
            <w:shd w:val="clear" w:color="auto" w:fill="FFFFFF"/>
            <w:tcMar>
              <w:top w:w="40" w:type="dxa"/>
              <w:left w:w="0" w:type="dxa"/>
              <w:bottom w:w="40" w:type="dxa"/>
              <w:right w:w="20" w:type="dxa"/>
            </w:tcMar>
            <w:vAlign w:val="bottom"/>
          </w:tcPr>
          <w:p w14:paraId="22CFD784"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85"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78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787" w14:textId="77777777" w:rsidR="002661BA" w:rsidRDefault="00D972BC">
            <w:pPr>
              <w:jc w:val="right"/>
              <w:textAlignment w:val="bottom"/>
            </w:pPr>
            <w:r>
              <w:rPr>
                <w:rFonts w:ascii="Arial" w:eastAsia="宋体" w:hAnsi="Arial" w:cs="Arial"/>
                <w:color w:val="000000"/>
                <w:sz w:val="18"/>
                <w:szCs w:val="18"/>
              </w:rPr>
              <w:t>0.44 </w:t>
            </w:r>
          </w:p>
        </w:tc>
        <w:tc>
          <w:tcPr>
            <w:tcW w:w="0" w:type="auto"/>
            <w:shd w:val="clear" w:color="auto" w:fill="FFFFFF"/>
            <w:tcMar>
              <w:top w:w="40" w:type="dxa"/>
              <w:left w:w="0" w:type="dxa"/>
              <w:bottom w:w="40" w:type="dxa"/>
              <w:right w:w="20" w:type="dxa"/>
            </w:tcMar>
            <w:vAlign w:val="bottom"/>
          </w:tcPr>
          <w:p w14:paraId="22CFD78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89"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78A"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78B" w14:textId="77777777" w:rsidR="002661BA" w:rsidRDefault="00D972BC">
            <w:pPr>
              <w:jc w:val="right"/>
              <w:textAlignment w:val="bottom"/>
            </w:pPr>
            <w:r>
              <w:rPr>
                <w:rFonts w:ascii="Arial" w:eastAsia="宋体" w:hAnsi="Arial" w:cs="Arial"/>
                <w:color w:val="000000"/>
                <w:sz w:val="18"/>
                <w:szCs w:val="18"/>
              </w:rPr>
              <w:t>(1.47)</w:t>
            </w:r>
          </w:p>
        </w:tc>
        <w:tc>
          <w:tcPr>
            <w:tcW w:w="0" w:type="auto"/>
            <w:shd w:val="clear" w:color="auto" w:fill="FFFFFF"/>
            <w:tcMar>
              <w:top w:w="40" w:type="dxa"/>
              <w:left w:w="0" w:type="dxa"/>
              <w:bottom w:w="40" w:type="dxa"/>
              <w:right w:w="20" w:type="dxa"/>
            </w:tcMar>
            <w:vAlign w:val="bottom"/>
          </w:tcPr>
          <w:p w14:paraId="22CFD78C" w14:textId="77777777" w:rsidR="002661BA" w:rsidRDefault="002661BA">
            <w:pPr>
              <w:jc w:val="right"/>
              <w:rPr>
                <w:rFonts w:ascii="宋体"/>
              </w:rPr>
            </w:pPr>
          </w:p>
        </w:tc>
      </w:tr>
      <w:tr w:rsidR="002661BA" w14:paraId="22CFD79A" w14:textId="77777777">
        <w:trPr>
          <w:jc w:val="center"/>
        </w:trPr>
        <w:tc>
          <w:tcPr>
            <w:tcW w:w="0" w:type="auto"/>
            <w:gridSpan w:val="3"/>
            <w:shd w:val="clear" w:color="auto" w:fill="E2E2E2"/>
            <w:tcMar>
              <w:top w:w="40" w:type="dxa"/>
              <w:left w:w="380" w:type="dxa"/>
              <w:bottom w:w="40" w:type="dxa"/>
              <w:right w:w="20" w:type="dxa"/>
            </w:tcMar>
            <w:vAlign w:val="bottom"/>
          </w:tcPr>
          <w:p w14:paraId="22CFD78E" w14:textId="77777777" w:rsidR="002661BA" w:rsidRDefault="00D972BC">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22CFD78F" w14:textId="77777777" w:rsidR="002661BA" w:rsidRDefault="00D972BC">
            <w:pPr>
              <w:jc w:val="right"/>
              <w:textAlignment w:val="bottom"/>
            </w:pPr>
            <w:r>
              <w:rPr>
                <w:rFonts w:ascii="Arial" w:eastAsia="宋体" w:hAnsi="Arial" w:cs="Arial"/>
                <w:color w:val="000000"/>
                <w:sz w:val="18"/>
                <w:szCs w:val="18"/>
              </w:rPr>
              <w:t>0.11 </w:t>
            </w:r>
          </w:p>
        </w:tc>
        <w:tc>
          <w:tcPr>
            <w:tcW w:w="0" w:type="auto"/>
            <w:shd w:val="clear" w:color="auto" w:fill="E2E2E2"/>
            <w:tcMar>
              <w:top w:w="40" w:type="dxa"/>
              <w:left w:w="0" w:type="dxa"/>
              <w:bottom w:w="40" w:type="dxa"/>
              <w:right w:w="20" w:type="dxa"/>
            </w:tcMar>
            <w:vAlign w:val="bottom"/>
          </w:tcPr>
          <w:p w14:paraId="22CFD790"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791"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792" w14:textId="77777777" w:rsidR="002661BA" w:rsidRDefault="00D972BC">
            <w:pPr>
              <w:jc w:val="right"/>
              <w:textAlignment w:val="bottom"/>
            </w:pPr>
            <w:r>
              <w:rPr>
                <w:rFonts w:ascii="Arial" w:eastAsia="宋体" w:hAnsi="Arial" w:cs="Arial"/>
                <w:color w:val="000000"/>
                <w:sz w:val="18"/>
                <w:szCs w:val="18"/>
              </w:rPr>
              <w:t>15.48 </w:t>
            </w:r>
          </w:p>
        </w:tc>
        <w:tc>
          <w:tcPr>
            <w:tcW w:w="0" w:type="auto"/>
            <w:shd w:val="clear" w:color="auto" w:fill="E2E2E2"/>
            <w:tcMar>
              <w:top w:w="40" w:type="dxa"/>
              <w:left w:w="0" w:type="dxa"/>
              <w:bottom w:w="40" w:type="dxa"/>
              <w:right w:w="20" w:type="dxa"/>
            </w:tcMar>
            <w:vAlign w:val="bottom"/>
          </w:tcPr>
          <w:p w14:paraId="22CFD793"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794"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795" w14:textId="77777777" w:rsidR="002661BA" w:rsidRDefault="00D972BC">
            <w:pPr>
              <w:jc w:val="right"/>
              <w:textAlignment w:val="bottom"/>
            </w:pPr>
            <w:r>
              <w:rPr>
                <w:rFonts w:ascii="Arial" w:eastAsia="宋体" w:hAnsi="Arial" w:cs="Arial"/>
                <w:color w:val="000000"/>
                <w:sz w:val="18"/>
                <w:szCs w:val="18"/>
              </w:rPr>
              <w:t>(0.03)</w:t>
            </w:r>
          </w:p>
        </w:tc>
        <w:tc>
          <w:tcPr>
            <w:tcW w:w="0" w:type="auto"/>
            <w:shd w:val="clear" w:color="auto" w:fill="E2E2E2"/>
            <w:tcMar>
              <w:top w:w="40" w:type="dxa"/>
              <w:left w:w="0" w:type="dxa"/>
              <w:bottom w:w="40" w:type="dxa"/>
              <w:right w:w="20" w:type="dxa"/>
            </w:tcMar>
            <w:vAlign w:val="bottom"/>
          </w:tcPr>
          <w:p w14:paraId="22CFD796"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797"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798" w14:textId="77777777" w:rsidR="002661BA" w:rsidRDefault="00D972BC">
            <w:pPr>
              <w:jc w:val="right"/>
              <w:textAlignment w:val="bottom"/>
            </w:pPr>
            <w:r>
              <w:rPr>
                <w:rFonts w:ascii="Arial" w:eastAsia="宋体" w:hAnsi="Arial" w:cs="Arial"/>
                <w:color w:val="000000"/>
                <w:sz w:val="18"/>
                <w:szCs w:val="18"/>
              </w:rPr>
              <w:t>4.72 </w:t>
            </w:r>
          </w:p>
        </w:tc>
        <w:tc>
          <w:tcPr>
            <w:tcW w:w="0" w:type="auto"/>
            <w:shd w:val="clear" w:color="auto" w:fill="E2E2E2"/>
            <w:tcMar>
              <w:top w:w="40" w:type="dxa"/>
              <w:left w:w="0" w:type="dxa"/>
              <w:bottom w:w="40" w:type="dxa"/>
              <w:right w:w="20" w:type="dxa"/>
            </w:tcMar>
            <w:vAlign w:val="bottom"/>
          </w:tcPr>
          <w:p w14:paraId="22CFD799" w14:textId="77777777" w:rsidR="002661BA" w:rsidRDefault="002661BA">
            <w:pPr>
              <w:jc w:val="right"/>
              <w:rPr>
                <w:rFonts w:ascii="宋体"/>
              </w:rPr>
            </w:pPr>
          </w:p>
        </w:tc>
      </w:tr>
      <w:tr w:rsidR="002661BA" w14:paraId="22CFD7AB" w14:textId="77777777">
        <w:trPr>
          <w:jc w:val="center"/>
        </w:trPr>
        <w:tc>
          <w:tcPr>
            <w:tcW w:w="0" w:type="auto"/>
            <w:gridSpan w:val="3"/>
            <w:shd w:val="clear" w:color="auto" w:fill="FFFFFF"/>
            <w:tcMar>
              <w:top w:w="40" w:type="dxa"/>
              <w:left w:w="20" w:type="dxa"/>
              <w:bottom w:w="40" w:type="dxa"/>
              <w:right w:w="20" w:type="dxa"/>
            </w:tcMar>
            <w:vAlign w:val="bottom"/>
          </w:tcPr>
          <w:p w14:paraId="22CFD79B" w14:textId="77777777" w:rsidR="002661BA" w:rsidRDefault="00D972BC">
            <w:pPr>
              <w:textAlignment w:val="bottom"/>
            </w:pPr>
            <w:r>
              <w:rPr>
                <w:rFonts w:ascii="Arial" w:eastAsia="宋体" w:hAnsi="Arial" w:cs="Arial"/>
                <w:color w:val="000000"/>
                <w:sz w:val="18"/>
                <w:szCs w:val="18"/>
              </w:rPr>
              <w:t>Net income (loss) per share - basic</w:t>
            </w:r>
          </w:p>
        </w:tc>
        <w:tc>
          <w:tcPr>
            <w:tcW w:w="0" w:type="auto"/>
            <w:tcBorders>
              <w:top w:val="single" w:sz="8" w:space="0" w:color="000000"/>
            </w:tcBorders>
            <w:shd w:val="clear" w:color="auto" w:fill="FFFFFF"/>
            <w:tcMar>
              <w:top w:w="40" w:type="dxa"/>
              <w:left w:w="20" w:type="dxa"/>
              <w:bottom w:w="40" w:type="dxa"/>
              <w:right w:w="0" w:type="dxa"/>
            </w:tcMar>
            <w:vAlign w:val="bottom"/>
          </w:tcPr>
          <w:p w14:paraId="22CFD79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D79D" w14:textId="77777777" w:rsidR="002661BA" w:rsidRDefault="00D972BC">
            <w:pPr>
              <w:jc w:val="right"/>
              <w:textAlignment w:val="bottom"/>
            </w:pPr>
            <w:r>
              <w:rPr>
                <w:rFonts w:ascii="Arial" w:eastAsia="宋体" w:hAnsi="Arial" w:cs="Arial"/>
                <w:color w:val="000000"/>
                <w:sz w:val="18"/>
                <w:szCs w:val="18"/>
              </w:rPr>
              <w:t>0.94 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79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9F"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D7A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D7A1" w14:textId="77777777" w:rsidR="002661BA" w:rsidRDefault="00D972BC">
            <w:pPr>
              <w:jc w:val="right"/>
              <w:textAlignment w:val="bottom"/>
            </w:pPr>
            <w:r>
              <w:rPr>
                <w:rFonts w:ascii="Arial" w:eastAsia="宋体" w:hAnsi="Arial" w:cs="Arial"/>
                <w:color w:val="000000"/>
                <w:sz w:val="18"/>
                <w:szCs w:val="18"/>
              </w:rPr>
              <w:t>15.92 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7A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A3"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D7A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D7A5" w14:textId="77777777" w:rsidR="002661BA" w:rsidRDefault="00D972BC">
            <w:pPr>
              <w:jc w:val="right"/>
              <w:textAlignment w:val="bottom"/>
            </w:pPr>
            <w:r>
              <w:rPr>
                <w:rFonts w:ascii="Arial" w:eastAsia="宋体" w:hAnsi="Arial" w:cs="Arial"/>
                <w:color w:val="000000"/>
                <w:sz w:val="18"/>
                <w:szCs w:val="18"/>
              </w:rPr>
              <w:t>0.41 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7A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A7"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D7A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D7A9" w14:textId="77777777" w:rsidR="002661BA" w:rsidRDefault="00D972BC">
            <w:pPr>
              <w:jc w:val="right"/>
              <w:textAlignment w:val="bottom"/>
            </w:pPr>
            <w:r>
              <w:rPr>
                <w:rFonts w:ascii="Arial" w:eastAsia="宋体" w:hAnsi="Arial" w:cs="Arial"/>
                <w:color w:val="000000"/>
                <w:sz w:val="18"/>
                <w:szCs w:val="18"/>
              </w:rPr>
              <w:t>3.25 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7AA" w14:textId="77777777" w:rsidR="002661BA" w:rsidRDefault="002661BA">
            <w:pPr>
              <w:jc w:val="right"/>
              <w:rPr>
                <w:rFonts w:ascii="宋体"/>
              </w:rPr>
            </w:pPr>
          </w:p>
        </w:tc>
      </w:tr>
      <w:tr w:rsidR="002661BA" w14:paraId="22CFD7B4" w14:textId="77777777">
        <w:trPr>
          <w:jc w:val="center"/>
        </w:trPr>
        <w:tc>
          <w:tcPr>
            <w:tcW w:w="0" w:type="auto"/>
            <w:gridSpan w:val="3"/>
            <w:shd w:val="clear" w:color="auto" w:fill="E2E2E2"/>
            <w:tcMar>
              <w:top w:w="40" w:type="dxa"/>
              <w:left w:w="20" w:type="dxa"/>
              <w:bottom w:w="40" w:type="dxa"/>
              <w:right w:w="20" w:type="dxa"/>
            </w:tcMar>
            <w:vAlign w:val="bottom"/>
          </w:tcPr>
          <w:p w14:paraId="22CFD7AC" w14:textId="77777777" w:rsidR="002661BA" w:rsidRDefault="00D972BC">
            <w:pPr>
              <w:textAlignment w:val="bottom"/>
            </w:pPr>
            <w:r>
              <w:rPr>
                <w:rFonts w:ascii="Arial" w:eastAsia="宋体" w:hAnsi="Arial" w:cs="Arial"/>
                <w:color w:val="000000"/>
                <w:sz w:val="18"/>
                <w:szCs w:val="18"/>
              </w:rPr>
              <w:t>Income (loss) per share - diluted:</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D7AD"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7AE" w14:textId="77777777" w:rsidR="002661BA" w:rsidRDefault="002661B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D7AF"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7B0" w14:textId="77777777" w:rsidR="002661BA" w:rsidRDefault="002661B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D7B1"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7B2" w14:textId="77777777" w:rsidR="002661BA" w:rsidRDefault="002661B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D7B3" w14:textId="77777777" w:rsidR="002661BA" w:rsidRDefault="002661BA">
            <w:pPr>
              <w:rPr>
                <w:rFonts w:ascii="宋体"/>
              </w:rPr>
            </w:pPr>
          </w:p>
        </w:tc>
      </w:tr>
      <w:tr w:rsidR="002661BA" w14:paraId="22CFD7C5" w14:textId="77777777">
        <w:trPr>
          <w:jc w:val="center"/>
        </w:trPr>
        <w:tc>
          <w:tcPr>
            <w:tcW w:w="0" w:type="auto"/>
            <w:gridSpan w:val="3"/>
            <w:shd w:val="clear" w:color="auto" w:fill="FFFFFF"/>
            <w:tcMar>
              <w:top w:w="40" w:type="dxa"/>
              <w:left w:w="380" w:type="dxa"/>
              <w:bottom w:w="40" w:type="dxa"/>
              <w:right w:w="20" w:type="dxa"/>
            </w:tcMar>
            <w:vAlign w:val="bottom"/>
          </w:tcPr>
          <w:p w14:paraId="22CFD7B5" w14:textId="77777777" w:rsidR="002661BA" w:rsidRDefault="00D972BC">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right w:w="0" w:type="dxa"/>
            </w:tcMar>
            <w:vAlign w:val="bottom"/>
          </w:tcPr>
          <w:p w14:paraId="22CFD7B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7B7" w14:textId="77777777" w:rsidR="002661BA" w:rsidRDefault="00D972BC">
            <w:pPr>
              <w:jc w:val="right"/>
              <w:textAlignment w:val="bottom"/>
            </w:pPr>
            <w:r>
              <w:rPr>
                <w:rFonts w:ascii="Arial" w:eastAsia="宋体" w:hAnsi="Arial" w:cs="Arial"/>
                <w:color w:val="000000"/>
                <w:sz w:val="18"/>
                <w:szCs w:val="18"/>
              </w:rPr>
              <w:t>0.82 </w:t>
            </w:r>
          </w:p>
        </w:tc>
        <w:tc>
          <w:tcPr>
            <w:tcW w:w="0" w:type="auto"/>
            <w:shd w:val="clear" w:color="auto" w:fill="FFFFFF"/>
            <w:tcMar>
              <w:top w:w="40" w:type="dxa"/>
              <w:left w:w="0" w:type="dxa"/>
              <w:bottom w:w="40" w:type="dxa"/>
              <w:right w:w="20" w:type="dxa"/>
            </w:tcMar>
            <w:vAlign w:val="bottom"/>
          </w:tcPr>
          <w:p w14:paraId="22CFD7B8"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B9"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7BA"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7BB" w14:textId="77777777" w:rsidR="002661BA" w:rsidRDefault="00D972BC">
            <w:pPr>
              <w:jc w:val="right"/>
              <w:textAlignment w:val="bottom"/>
            </w:pPr>
            <w:r>
              <w:rPr>
                <w:rFonts w:ascii="Arial" w:eastAsia="宋体" w:hAnsi="Arial" w:cs="Arial"/>
                <w:color w:val="000000"/>
                <w:sz w:val="18"/>
                <w:szCs w:val="18"/>
              </w:rPr>
              <w:t>0.43 </w:t>
            </w:r>
          </w:p>
        </w:tc>
        <w:tc>
          <w:tcPr>
            <w:tcW w:w="0" w:type="auto"/>
            <w:shd w:val="clear" w:color="auto" w:fill="FFFFFF"/>
            <w:tcMar>
              <w:top w:w="40" w:type="dxa"/>
              <w:left w:w="0" w:type="dxa"/>
              <w:bottom w:w="40" w:type="dxa"/>
              <w:right w:w="20" w:type="dxa"/>
            </w:tcMar>
            <w:vAlign w:val="bottom"/>
          </w:tcPr>
          <w:p w14:paraId="22CFD7B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BD"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7BE"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7BF" w14:textId="77777777" w:rsidR="002661BA" w:rsidRDefault="00D972BC">
            <w:pPr>
              <w:jc w:val="right"/>
              <w:textAlignment w:val="bottom"/>
            </w:pPr>
            <w:r>
              <w:rPr>
                <w:rFonts w:ascii="Arial" w:eastAsia="宋体" w:hAnsi="Arial" w:cs="Arial"/>
                <w:color w:val="000000"/>
                <w:sz w:val="18"/>
                <w:szCs w:val="18"/>
              </w:rPr>
              <w:t>0.43 </w:t>
            </w:r>
          </w:p>
        </w:tc>
        <w:tc>
          <w:tcPr>
            <w:tcW w:w="0" w:type="auto"/>
            <w:shd w:val="clear" w:color="auto" w:fill="FFFFFF"/>
            <w:tcMar>
              <w:top w:w="40" w:type="dxa"/>
              <w:left w:w="0" w:type="dxa"/>
              <w:bottom w:w="40" w:type="dxa"/>
              <w:right w:w="20" w:type="dxa"/>
            </w:tcMar>
            <w:vAlign w:val="bottom"/>
          </w:tcPr>
          <w:p w14:paraId="22CFD7C0"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C1"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7C2"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7C3" w14:textId="77777777" w:rsidR="002661BA" w:rsidRDefault="00D972BC">
            <w:pPr>
              <w:jc w:val="right"/>
              <w:textAlignment w:val="bottom"/>
            </w:pPr>
            <w:r>
              <w:rPr>
                <w:rFonts w:ascii="Arial" w:eastAsia="宋体" w:hAnsi="Arial" w:cs="Arial"/>
                <w:color w:val="000000"/>
                <w:sz w:val="18"/>
                <w:szCs w:val="18"/>
              </w:rPr>
              <w:t>(1.47)</w:t>
            </w:r>
          </w:p>
        </w:tc>
        <w:tc>
          <w:tcPr>
            <w:tcW w:w="0" w:type="auto"/>
            <w:shd w:val="clear" w:color="auto" w:fill="FFFFFF"/>
            <w:tcMar>
              <w:top w:w="40" w:type="dxa"/>
              <w:left w:w="0" w:type="dxa"/>
              <w:bottom w:w="40" w:type="dxa"/>
              <w:right w:w="20" w:type="dxa"/>
            </w:tcMar>
            <w:vAlign w:val="bottom"/>
          </w:tcPr>
          <w:p w14:paraId="22CFD7C4" w14:textId="77777777" w:rsidR="002661BA" w:rsidRDefault="002661BA">
            <w:pPr>
              <w:jc w:val="right"/>
              <w:rPr>
                <w:rFonts w:ascii="宋体"/>
              </w:rPr>
            </w:pPr>
          </w:p>
        </w:tc>
      </w:tr>
      <w:tr w:rsidR="002661BA" w14:paraId="22CFD7D2" w14:textId="77777777">
        <w:trPr>
          <w:jc w:val="center"/>
        </w:trPr>
        <w:tc>
          <w:tcPr>
            <w:tcW w:w="0" w:type="auto"/>
            <w:gridSpan w:val="3"/>
            <w:shd w:val="clear" w:color="auto" w:fill="E2E2E2"/>
            <w:tcMar>
              <w:top w:w="40" w:type="dxa"/>
              <w:left w:w="380" w:type="dxa"/>
              <w:bottom w:w="40" w:type="dxa"/>
              <w:right w:w="20" w:type="dxa"/>
            </w:tcMar>
            <w:vAlign w:val="bottom"/>
          </w:tcPr>
          <w:p w14:paraId="22CFD7C6" w14:textId="77777777" w:rsidR="002661BA" w:rsidRDefault="00D972BC">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22CFD7C7" w14:textId="77777777" w:rsidR="002661BA" w:rsidRDefault="00D972BC">
            <w:pPr>
              <w:jc w:val="right"/>
              <w:textAlignment w:val="bottom"/>
            </w:pPr>
            <w:r>
              <w:rPr>
                <w:rFonts w:ascii="Arial" w:eastAsia="宋体" w:hAnsi="Arial" w:cs="Arial"/>
                <w:color w:val="000000"/>
                <w:sz w:val="18"/>
                <w:szCs w:val="18"/>
              </w:rPr>
              <w:t>0.10 </w:t>
            </w:r>
          </w:p>
        </w:tc>
        <w:tc>
          <w:tcPr>
            <w:tcW w:w="0" w:type="auto"/>
            <w:shd w:val="clear" w:color="auto" w:fill="E2E2E2"/>
            <w:tcMar>
              <w:top w:w="40" w:type="dxa"/>
              <w:left w:w="0" w:type="dxa"/>
              <w:bottom w:w="40" w:type="dxa"/>
              <w:right w:w="20" w:type="dxa"/>
            </w:tcMar>
            <w:vAlign w:val="bottom"/>
          </w:tcPr>
          <w:p w14:paraId="22CFD7C8"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7C9"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7CA" w14:textId="77777777" w:rsidR="002661BA" w:rsidRDefault="00D972BC">
            <w:pPr>
              <w:jc w:val="right"/>
              <w:textAlignment w:val="bottom"/>
            </w:pPr>
            <w:r>
              <w:rPr>
                <w:rFonts w:ascii="Arial" w:eastAsia="宋体" w:hAnsi="Arial" w:cs="Arial"/>
                <w:color w:val="000000"/>
                <w:sz w:val="18"/>
                <w:szCs w:val="18"/>
              </w:rPr>
              <w:t>15.25 </w:t>
            </w:r>
          </w:p>
        </w:tc>
        <w:tc>
          <w:tcPr>
            <w:tcW w:w="0" w:type="auto"/>
            <w:shd w:val="clear" w:color="auto" w:fill="E2E2E2"/>
            <w:tcMar>
              <w:top w:w="40" w:type="dxa"/>
              <w:left w:w="0" w:type="dxa"/>
              <w:bottom w:w="40" w:type="dxa"/>
              <w:right w:w="20" w:type="dxa"/>
            </w:tcMar>
            <w:vAlign w:val="bottom"/>
          </w:tcPr>
          <w:p w14:paraId="22CFD7CB"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7CC"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7CD" w14:textId="77777777" w:rsidR="002661BA" w:rsidRDefault="00D972BC">
            <w:pPr>
              <w:jc w:val="right"/>
              <w:textAlignment w:val="bottom"/>
            </w:pPr>
            <w:r>
              <w:rPr>
                <w:rFonts w:ascii="Arial" w:eastAsia="宋体" w:hAnsi="Arial" w:cs="Arial"/>
                <w:color w:val="000000"/>
                <w:sz w:val="18"/>
                <w:szCs w:val="18"/>
              </w:rPr>
              <w:t>(0.03)</w:t>
            </w:r>
          </w:p>
        </w:tc>
        <w:tc>
          <w:tcPr>
            <w:tcW w:w="0" w:type="auto"/>
            <w:shd w:val="clear" w:color="auto" w:fill="E2E2E2"/>
            <w:tcMar>
              <w:top w:w="40" w:type="dxa"/>
              <w:left w:w="0" w:type="dxa"/>
              <w:bottom w:w="40" w:type="dxa"/>
              <w:right w:w="20" w:type="dxa"/>
            </w:tcMar>
            <w:vAlign w:val="bottom"/>
          </w:tcPr>
          <w:p w14:paraId="22CFD7C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7CF"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7D0" w14:textId="77777777" w:rsidR="002661BA" w:rsidRDefault="00D972BC">
            <w:pPr>
              <w:jc w:val="right"/>
              <w:textAlignment w:val="bottom"/>
            </w:pPr>
            <w:r>
              <w:rPr>
                <w:rFonts w:ascii="Arial" w:eastAsia="宋体" w:hAnsi="Arial" w:cs="Arial"/>
                <w:color w:val="000000"/>
                <w:sz w:val="18"/>
                <w:szCs w:val="18"/>
              </w:rPr>
              <w:t>4.72 </w:t>
            </w:r>
          </w:p>
        </w:tc>
        <w:tc>
          <w:tcPr>
            <w:tcW w:w="0" w:type="auto"/>
            <w:shd w:val="clear" w:color="auto" w:fill="E2E2E2"/>
            <w:tcMar>
              <w:top w:w="40" w:type="dxa"/>
              <w:left w:w="0" w:type="dxa"/>
              <w:bottom w:w="40" w:type="dxa"/>
              <w:right w:w="20" w:type="dxa"/>
            </w:tcMar>
            <w:vAlign w:val="bottom"/>
          </w:tcPr>
          <w:p w14:paraId="22CFD7D1" w14:textId="77777777" w:rsidR="002661BA" w:rsidRDefault="002661BA">
            <w:pPr>
              <w:jc w:val="right"/>
              <w:rPr>
                <w:rFonts w:ascii="宋体"/>
              </w:rPr>
            </w:pPr>
          </w:p>
        </w:tc>
      </w:tr>
      <w:tr w:rsidR="002661BA" w14:paraId="22CFD7E3" w14:textId="77777777">
        <w:trPr>
          <w:jc w:val="center"/>
        </w:trPr>
        <w:tc>
          <w:tcPr>
            <w:tcW w:w="0" w:type="auto"/>
            <w:gridSpan w:val="3"/>
            <w:shd w:val="clear" w:color="auto" w:fill="FFFFFF"/>
            <w:tcMar>
              <w:top w:w="40" w:type="dxa"/>
              <w:left w:w="20" w:type="dxa"/>
              <w:bottom w:w="40" w:type="dxa"/>
              <w:right w:w="20" w:type="dxa"/>
            </w:tcMar>
            <w:vAlign w:val="bottom"/>
          </w:tcPr>
          <w:p w14:paraId="22CFD7D3" w14:textId="77777777" w:rsidR="002661BA" w:rsidRDefault="00D972BC">
            <w:pPr>
              <w:textAlignment w:val="bottom"/>
            </w:pPr>
            <w:r>
              <w:rPr>
                <w:rFonts w:ascii="Arial" w:eastAsia="宋体" w:hAnsi="Arial" w:cs="Arial"/>
                <w:color w:val="000000"/>
                <w:sz w:val="18"/>
                <w:szCs w:val="18"/>
              </w:rPr>
              <w:t>Net income (loss) per share - diluted</w:t>
            </w:r>
          </w:p>
        </w:tc>
        <w:tc>
          <w:tcPr>
            <w:tcW w:w="0" w:type="auto"/>
            <w:tcBorders>
              <w:top w:val="single" w:sz="8" w:space="0" w:color="000000"/>
            </w:tcBorders>
            <w:shd w:val="clear" w:color="auto" w:fill="FFFFFF"/>
            <w:tcMar>
              <w:top w:w="40" w:type="dxa"/>
              <w:left w:w="20" w:type="dxa"/>
              <w:bottom w:w="40" w:type="dxa"/>
              <w:right w:w="0" w:type="dxa"/>
            </w:tcMar>
            <w:vAlign w:val="bottom"/>
          </w:tcPr>
          <w:p w14:paraId="22CFD7D4"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D7D5" w14:textId="77777777" w:rsidR="002661BA" w:rsidRDefault="00D972BC">
            <w:pPr>
              <w:jc w:val="right"/>
              <w:textAlignment w:val="bottom"/>
            </w:pPr>
            <w:r>
              <w:rPr>
                <w:rFonts w:ascii="Arial" w:eastAsia="宋体" w:hAnsi="Arial" w:cs="Arial"/>
                <w:color w:val="000000"/>
                <w:sz w:val="18"/>
                <w:szCs w:val="18"/>
              </w:rPr>
              <w:t>0.92 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7D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D7"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D7D8"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D7D9" w14:textId="77777777" w:rsidR="002661BA" w:rsidRDefault="00D972BC">
            <w:pPr>
              <w:jc w:val="right"/>
              <w:textAlignment w:val="bottom"/>
            </w:pPr>
            <w:r>
              <w:rPr>
                <w:rFonts w:ascii="Arial" w:eastAsia="宋体" w:hAnsi="Arial" w:cs="Arial"/>
                <w:color w:val="000000"/>
                <w:sz w:val="18"/>
                <w:szCs w:val="18"/>
              </w:rPr>
              <w:t>15.68 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7DA"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DB"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D7DC"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D7DD" w14:textId="77777777" w:rsidR="002661BA" w:rsidRDefault="00D972BC">
            <w:pPr>
              <w:jc w:val="right"/>
              <w:textAlignment w:val="bottom"/>
            </w:pPr>
            <w:r>
              <w:rPr>
                <w:rFonts w:ascii="Arial" w:eastAsia="宋体" w:hAnsi="Arial" w:cs="Arial"/>
                <w:color w:val="000000"/>
                <w:sz w:val="18"/>
                <w:szCs w:val="18"/>
              </w:rPr>
              <w:t>0.40 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7DE"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DF"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D7E0"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D7E1" w14:textId="77777777" w:rsidR="002661BA" w:rsidRDefault="00D972BC">
            <w:pPr>
              <w:jc w:val="right"/>
              <w:textAlignment w:val="bottom"/>
            </w:pPr>
            <w:r>
              <w:rPr>
                <w:rFonts w:ascii="Arial" w:eastAsia="宋体" w:hAnsi="Arial" w:cs="Arial"/>
                <w:color w:val="000000"/>
                <w:sz w:val="18"/>
                <w:szCs w:val="18"/>
              </w:rPr>
              <w:t>3.25 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7E2" w14:textId="77777777" w:rsidR="002661BA" w:rsidRDefault="002661BA">
            <w:pPr>
              <w:jc w:val="right"/>
              <w:rPr>
                <w:rFonts w:ascii="宋体"/>
              </w:rPr>
            </w:pPr>
          </w:p>
        </w:tc>
      </w:tr>
      <w:tr w:rsidR="002661BA" w14:paraId="22CFD7EC" w14:textId="77777777">
        <w:trPr>
          <w:jc w:val="center"/>
        </w:trPr>
        <w:tc>
          <w:tcPr>
            <w:tcW w:w="0" w:type="auto"/>
            <w:gridSpan w:val="3"/>
            <w:shd w:val="clear" w:color="auto" w:fill="E2E2E2"/>
            <w:tcMar>
              <w:top w:w="40" w:type="dxa"/>
              <w:left w:w="20" w:type="dxa"/>
              <w:bottom w:w="40" w:type="dxa"/>
              <w:right w:w="20" w:type="dxa"/>
            </w:tcMar>
            <w:vAlign w:val="bottom"/>
          </w:tcPr>
          <w:p w14:paraId="22CFD7E4" w14:textId="77777777" w:rsidR="002661BA" w:rsidRDefault="00D972BC">
            <w:pPr>
              <w:textAlignment w:val="bottom"/>
            </w:pPr>
            <w:r>
              <w:rPr>
                <w:rFonts w:ascii="Arial" w:eastAsia="宋体" w:hAnsi="Arial" w:cs="Arial"/>
                <w:color w:val="000000"/>
                <w:sz w:val="18"/>
                <w:szCs w:val="18"/>
              </w:rPr>
              <w:t>Weighted-average shares:</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D7E5"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7E6" w14:textId="77777777" w:rsidR="002661BA" w:rsidRDefault="002661B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D7E7"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7E8" w14:textId="77777777" w:rsidR="002661BA" w:rsidRDefault="002661B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D7E9"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7EA" w14:textId="77777777" w:rsidR="002661BA" w:rsidRDefault="002661B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D7EB" w14:textId="77777777" w:rsidR="002661BA" w:rsidRDefault="002661BA">
            <w:pPr>
              <w:rPr>
                <w:rFonts w:ascii="宋体"/>
              </w:rPr>
            </w:pPr>
          </w:p>
        </w:tc>
      </w:tr>
      <w:tr w:rsidR="002661BA" w14:paraId="22CFD7F9" w14:textId="77777777">
        <w:trPr>
          <w:jc w:val="center"/>
        </w:trPr>
        <w:tc>
          <w:tcPr>
            <w:tcW w:w="0" w:type="auto"/>
            <w:gridSpan w:val="3"/>
            <w:shd w:val="clear" w:color="auto" w:fill="FFFFFF"/>
            <w:tcMar>
              <w:top w:w="40" w:type="dxa"/>
              <w:left w:w="515" w:type="dxa"/>
              <w:bottom w:w="40" w:type="dxa"/>
              <w:right w:w="20" w:type="dxa"/>
            </w:tcMar>
            <w:vAlign w:val="bottom"/>
          </w:tcPr>
          <w:p w14:paraId="22CFD7ED" w14:textId="77777777" w:rsidR="002661BA" w:rsidRDefault="00D972BC">
            <w:pPr>
              <w:textAlignment w:val="bottom"/>
            </w:pPr>
            <w:r>
              <w:rPr>
                <w:rFonts w:ascii="Arial" w:eastAsia="宋体" w:hAnsi="Arial" w:cs="Arial"/>
                <w:color w:val="000000"/>
                <w:sz w:val="18"/>
                <w:szCs w:val="18"/>
              </w:rPr>
              <w:t>Basic</w:t>
            </w:r>
          </w:p>
        </w:tc>
        <w:tc>
          <w:tcPr>
            <w:tcW w:w="0" w:type="auto"/>
            <w:gridSpan w:val="2"/>
            <w:shd w:val="clear" w:color="auto" w:fill="FFFFFF"/>
            <w:tcMar>
              <w:top w:w="40" w:type="dxa"/>
              <w:left w:w="20" w:type="dxa"/>
              <w:bottom w:w="40" w:type="dxa"/>
              <w:right w:w="0" w:type="dxa"/>
            </w:tcMar>
            <w:vAlign w:val="bottom"/>
          </w:tcPr>
          <w:p w14:paraId="22CFD7EE" w14:textId="77777777" w:rsidR="002661BA" w:rsidRDefault="00D972BC">
            <w:pPr>
              <w:jc w:val="right"/>
              <w:textAlignment w:val="bottom"/>
            </w:pPr>
            <w:r>
              <w:rPr>
                <w:rFonts w:ascii="Arial" w:eastAsia="宋体" w:hAnsi="Arial" w:cs="Arial"/>
                <w:color w:val="000000"/>
                <w:sz w:val="18"/>
                <w:szCs w:val="18"/>
              </w:rPr>
              <w:t>681 </w:t>
            </w:r>
          </w:p>
        </w:tc>
        <w:tc>
          <w:tcPr>
            <w:tcW w:w="0" w:type="auto"/>
            <w:shd w:val="clear" w:color="auto" w:fill="FFFFFF"/>
            <w:tcMar>
              <w:top w:w="40" w:type="dxa"/>
              <w:left w:w="0" w:type="dxa"/>
              <w:bottom w:w="40" w:type="dxa"/>
              <w:right w:w="20" w:type="dxa"/>
            </w:tcMar>
            <w:vAlign w:val="bottom"/>
          </w:tcPr>
          <w:p w14:paraId="22CFD7E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F0"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7F1" w14:textId="77777777" w:rsidR="002661BA" w:rsidRDefault="00D972BC">
            <w:pPr>
              <w:jc w:val="right"/>
              <w:textAlignment w:val="bottom"/>
            </w:pPr>
            <w:r>
              <w:rPr>
                <w:rFonts w:ascii="Arial" w:eastAsia="宋体" w:hAnsi="Arial" w:cs="Arial"/>
                <w:color w:val="000000"/>
                <w:sz w:val="18"/>
                <w:szCs w:val="18"/>
              </w:rPr>
              <w:t>674 </w:t>
            </w:r>
          </w:p>
        </w:tc>
        <w:tc>
          <w:tcPr>
            <w:tcW w:w="0" w:type="auto"/>
            <w:shd w:val="clear" w:color="auto" w:fill="FFFFFF"/>
            <w:tcMar>
              <w:top w:w="40" w:type="dxa"/>
              <w:left w:w="0" w:type="dxa"/>
              <w:bottom w:w="40" w:type="dxa"/>
              <w:right w:w="20" w:type="dxa"/>
            </w:tcMar>
            <w:vAlign w:val="bottom"/>
          </w:tcPr>
          <w:p w14:paraId="22CFD7F2"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F3"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7F4" w14:textId="77777777" w:rsidR="002661BA" w:rsidRDefault="00D972BC">
            <w:pPr>
              <w:jc w:val="right"/>
              <w:textAlignment w:val="bottom"/>
            </w:pPr>
            <w:r>
              <w:rPr>
                <w:rFonts w:ascii="Arial" w:eastAsia="宋体" w:hAnsi="Arial" w:cs="Arial"/>
                <w:color w:val="000000"/>
                <w:sz w:val="18"/>
                <w:szCs w:val="18"/>
              </w:rPr>
              <w:t>647 </w:t>
            </w:r>
          </w:p>
        </w:tc>
        <w:tc>
          <w:tcPr>
            <w:tcW w:w="0" w:type="auto"/>
            <w:shd w:val="clear" w:color="auto" w:fill="FFFFFF"/>
            <w:tcMar>
              <w:top w:w="40" w:type="dxa"/>
              <w:left w:w="0" w:type="dxa"/>
              <w:bottom w:w="40" w:type="dxa"/>
              <w:right w:w="20" w:type="dxa"/>
            </w:tcMar>
            <w:vAlign w:val="bottom"/>
          </w:tcPr>
          <w:p w14:paraId="22CFD7F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7F6"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7F7" w14:textId="77777777" w:rsidR="002661BA" w:rsidRDefault="00D972BC">
            <w:pPr>
              <w:jc w:val="right"/>
              <w:textAlignment w:val="bottom"/>
            </w:pPr>
            <w:r>
              <w:rPr>
                <w:rFonts w:ascii="Arial" w:eastAsia="宋体" w:hAnsi="Arial" w:cs="Arial"/>
                <w:color w:val="000000"/>
                <w:sz w:val="18"/>
                <w:szCs w:val="18"/>
              </w:rPr>
              <w:t>606 </w:t>
            </w:r>
          </w:p>
        </w:tc>
        <w:tc>
          <w:tcPr>
            <w:tcW w:w="0" w:type="auto"/>
            <w:shd w:val="clear" w:color="auto" w:fill="FFFFFF"/>
            <w:tcMar>
              <w:top w:w="40" w:type="dxa"/>
              <w:left w:w="0" w:type="dxa"/>
              <w:bottom w:w="40" w:type="dxa"/>
              <w:right w:w="20" w:type="dxa"/>
            </w:tcMar>
            <w:vAlign w:val="bottom"/>
          </w:tcPr>
          <w:p w14:paraId="22CFD7F8" w14:textId="77777777" w:rsidR="002661BA" w:rsidRDefault="002661BA">
            <w:pPr>
              <w:jc w:val="right"/>
              <w:rPr>
                <w:rFonts w:ascii="宋体"/>
              </w:rPr>
            </w:pPr>
          </w:p>
        </w:tc>
      </w:tr>
      <w:tr w:rsidR="002661BA" w14:paraId="22CFD806" w14:textId="77777777">
        <w:trPr>
          <w:jc w:val="center"/>
        </w:trPr>
        <w:tc>
          <w:tcPr>
            <w:tcW w:w="0" w:type="auto"/>
            <w:gridSpan w:val="3"/>
            <w:shd w:val="clear" w:color="auto" w:fill="E2E2E2"/>
            <w:tcMar>
              <w:top w:w="40" w:type="dxa"/>
              <w:left w:w="515" w:type="dxa"/>
              <w:bottom w:w="40" w:type="dxa"/>
              <w:right w:w="20" w:type="dxa"/>
            </w:tcMar>
            <w:vAlign w:val="bottom"/>
          </w:tcPr>
          <w:p w14:paraId="22CFD7FA" w14:textId="77777777" w:rsidR="002661BA" w:rsidRDefault="00D972BC">
            <w:pPr>
              <w:textAlignment w:val="bottom"/>
            </w:pPr>
            <w:r>
              <w:rPr>
                <w:rFonts w:ascii="Arial" w:eastAsia="宋体" w:hAnsi="Arial" w:cs="Arial"/>
                <w:color w:val="000000"/>
                <w:sz w:val="18"/>
                <w:szCs w:val="18"/>
              </w:rPr>
              <w:t>Diluted</w:t>
            </w:r>
          </w:p>
        </w:tc>
        <w:tc>
          <w:tcPr>
            <w:tcW w:w="0" w:type="auto"/>
            <w:gridSpan w:val="2"/>
            <w:shd w:val="clear" w:color="auto" w:fill="E2E2E2"/>
            <w:tcMar>
              <w:top w:w="40" w:type="dxa"/>
              <w:left w:w="20" w:type="dxa"/>
              <w:bottom w:w="40" w:type="dxa"/>
              <w:right w:w="0" w:type="dxa"/>
            </w:tcMar>
            <w:vAlign w:val="bottom"/>
          </w:tcPr>
          <w:p w14:paraId="22CFD7FB" w14:textId="77777777" w:rsidR="002661BA" w:rsidRDefault="00D972BC">
            <w:pPr>
              <w:jc w:val="right"/>
              <w:textAlignment w:val="bottom"/>
            </w:pPr>
            <w:r>
              <w:rPr>
                <w:rFonts w:ascii="Arial" w:eastAsia="宋体" w:hAnsi="Arial" w:cs="Arial"/>
                <w:color w:val="000000"/>
                <w:sz w:val="18"/>
                <w:szCs w:val="18"/>
              </w:rPr>
              <w:t>693 </w:t>
            </w:r>
          </w:p>
        </w:tc>
        <w:tc>
          <w:tcPr>
            <w:tcW w:w="0" w:type="auto"/>
            <w:shd w:val="clear" w:color="auto" w:fill="E2E2E2"/>
            <w:tcMar>
              <w:top w:w="40" w:type="dxa"/>
              <w:left w:w="0" w:type="dxa"/>
              <w:bottom w:w="40" w:type="dxa"/>
              <w:right w:w="20" w:type="dxa"/>
            </w:tcMar>
            <w:vAlign w:val="bottom"/>
          </w:tcPr>
          <w:p w14:paraId="22CFD7FC"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7FD"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7FE" w14:textId="77777777" w:rsidR="002661BA" w:rsidRDefault="00D972BC">
            <w:pPr>
              <w:jc w:val="right"/>
              <w:textAlignment w:val="bottom"/>
            </w:pPr>
            <w:r>
              <w:rPr>
                <w:rFonts w:ascii="Arial" w:eastAsia="宋体" w:hAnsi="Arial" w:cs="Arial"/>
                <w:color w:val="000000"/>
                <w:sz w:val="18"/>
                <w:szCs w:val="18"/>
              </w:rPr>
              <w:t>685 </w:t>
            </w:r>
          </w:p>
        </w:tc>
        <w:tc>
          <w:tcPr>
            <w:tcW w:w="0" w:type="auto"/>
            <w:shd w:val="clear" w:color="auto" w:fill="E2E2E2"/>
            <w:tcMar>
              <w:top w:w="40" w:type="dxa"/>
              <w:left w:w="0" w:type="dxa"/>
              <w:bottom w:w="40" w:type="dxa"/>
              <w:right w:w="20" w:type="dxa"/>
            </w:tcMar>
            <w:vAlign w:val="bottom"/>
          </w:tcPr>
          <w:p w14:paraId="22CFD7F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800"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801" w14:textId="77777777" w:rsidR="002661BA" w:rsidRDefault="00D972BC">
            <w:pPr>
              <w:jc w:val="right"/>
              <w:textAlignment w:val="bottom"/>
            </w:pPr>
            <w:r>
              <w:rPr>
                <w:rFonts w:ascii="Arial" w:eastAsia="宋体" w:hAnsi="Arial" w:cs="Arial"/>
                <w:color w:val="000000"/>
                <w:sz w:val="18"/>
                <w:szCs w:val="18"/>
              </w:rPr>
              <w:t>658 </w:t>
            </w:r>
          </w:p>
        </w:tc>
        <w:tc>
          <w:tcPr>
            <w:tcW w:w="0" w:type="auto"/>
            <w:shd w:val="clear" w:color="auto" w:fill="E2E2E2"/>
            <w:tcMar>
              <w:top w:w="40" w:type="dxa"/>
              <w:left w:w="0" w:type="dxa"/>
              <w:bottom w:w="40" w:type="dxa"/>
              <w:right w:w="20" w:type="dxa"/>
            </w:tcMar>
            <w:vAlign w:val="bottom"/>
          </w:tcPr>
          <w:p w14:paraId="22CFD80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803"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804" w14:textId="77777777" w:rsidR="002661BA" w:rsidRDefault="00D972BC">
            <w:pPr>
              <w:jc w:val="right"/>
              <w:textAlignment w:val="bottom"/>
            </w:pPr>
            <w:r>
              <w:rPr>
                <w:rFonts w:ascii="Arial" w:eastAsia="宋体" w:hAnsi="Arial" w:cs="Arial"/>
                <w:color w:val="000000"/>
                <w:sz w:val="18"/>
                <w:szCs w:val="18"/>
              </w:rPr>
              <w:t>606 </w:t>
            </w:r>
          </w:p>
        </w:tc>
        <w:tc>
          <w:tcPr>
            <w:tcW w:w="0" w:type="auto"/>
            <w:shd w:val="clear" w:color="auto" w:fill="E2E2E2"/>
            <w:tcMar>
              <w:top w:w="40" w:type="dxa"/>
              <w:left w:w="0" w:type="dxa"/>
              <w:bottom w:w="40" w:type="dxa"/>
              <w:right w:w="20" w:type="dxa"/>
            </w:tcMar>
            <w:vAlign w:val="bottom"/>
          </w:tcPr>
          <w:p w14:paraId="22CFD805" w14:textId="77777777" w:rsidR="002661BA" w:rsidRDefault="002661BA">
            <w:pPr>
              <w:jc w:val="right"/>
              <w:rPr>
                <w:rFonts w:ascii="宋体"/>
              </w:rPr>
            </w:pPr>
          </w:p>
        </w:tc>
      </w:tr>
    </w:tbl>
    <w:p w14:paraId="22CFD807" w14:textId="77777777" w:rsidR="002661BA" w:rsidRDefault="002661BA">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3743"/>
        <w:gridCol w:w="40"/>
        <w:gridCol w:w="121"/>
        <w:gridCol w:w="888"/>
        <w:gridCol w:w="36"/>
        <w:gridCol w:w="36"/>
        <w:gridCol w:w="36"/>
        <w:gridCol w:w="36"/>
        <w:gridCol w:w="121"/>
        <w:gridCol w:w="889"/>
        <w:gridCol w:w="36"/>
        <w:gridCol w:w="36"/>
        <w:gridCol w:w="36"/>
        <w:gridCol w:w="36"/>
        <w:gridCol w:w="122"/>
        <w:gridCol w:w="889"/>
        <w:gridCol w:w="36"/>
        <w:gridCol w:w="36"/>
        <w:gridCol w:w="36"/>
        <w:gridCol w:w="36"/>
        <w:gridCol w:w="122"/>
        <w:gridCol w:w="891"/>
        <w:gridCol w:w="36"/>
      </w:tblGrid>
      <w:tr w:rsidR="002661BA" w14:paraId="22CFD820" w14:textId="77777777">
        <w:tc>
          <w:tcPr>
            <w:tcW w:w="50" w:type="pct"/>
            <w:shd w:val="clear" w:color="auto" w:fill="auto"/>
            <w:vAlign w:val="bottom"/>
          </w:tcPr>
          <w:p w14:paraId="22CFD808" w14:textId="77777777" w:rsidR="002661BA" w:rsidRDefault="002661BA">
            <w:pPr>
              <w:rPr>
                <w:rFonts w:ascii="宋体"/>
              </w:rPr>
            </w:pPr>
          </w:p>
        </w:tc>
        <w:tc>
          <w:tcPr>
            <w:tcW w:w="2313" w:type="pct"/>
            <w:shd w:val="clear" w:color="auto" w:fill="auto"/>
            <w:vAlign w:val="bottom"/>
          </w:tcPr>
          <w:p w14:paraId="22CFD809" w14:textId="77777777" w:rsidR="002661BA" w:rsidRDefault="002661BA">
            <w:pPr>
              <w:rPr>
                <w:rFonts w:ascii="宋体"/>
              </w:rPr>
            </w:pPr>
          </w:p>
        </w:tc>
        <w:tc>
          <w:tcPr>
            <w:tcW w:w="5" w:type="pct"/>
            <w:shd w:val="clear" w:color="auto" w:fill="auto"/>
            <w:vAlign w:val="bottom"/>
          </w:tcPr>
          <w:p w14:paraId="22CFD80A" w14:textId="77777777" w:rsidR="002661BA" w:rsidRDefault="002661BA">
            <w:pPr>
              <w:rPr>
                <w:rFonts w:ascii="宋体"/>
              </w:rPr>
            </w:pPr>
          </w:p>
        </w:tc>
        <w:tc>
          <w:tcPr>
            <w:tcW w:w="50" w:type="pct"/>
            <w:shd w:val="clear" w:color="auto" w:fill="auto"/>
            <w:vAlign w:val="bottom"/>
          </w:tcPr>
          <w:p w14:paraId="22CFD80B" w14:textId="77777777" w:rsidR="002661BA" w:rsidRDefault="002661BA">
            <w:pPr>
              <w:rPr>
                <w:rFonts w:ascii="宋体"/>
              </w:rPr>
            </w:pPr>
          </w:p>
        </w:tc>
        <w:tc>
          <w:tcPr>
            <w:tcW w:w="580" w:type="pct"/>
            <w:shd w:val="clear" w:color="auto" w:fill="auto"/>
            <w:vAlign w:val="bottom"/>
          </w:tcPr>
          <w:p w14:paraId="22CFD80C" w14:textId="77777777" w:rsidR="002661BA" w:rsidRDefault="002661BA">
            <w:pPr>
              <w:rPr>
                <w:rFonts w:ascii="宋体"/>
              </w:rPr>
            </w:pPr>
          </w:p>
        </w:tc>
        <w:tc>
          <w:tcPr>
            <w:tcW w:w="5" w:type="pct"/>
            <w:shd w:val="clear" w:color="auto" w:fill="auto"/>
            <w:vAlign w:val="bottom"/>
          </w:tcPr>
          <w:p w14:paraId="22CFD80D" w14:textId="77777777" w:rsidR="002661BA" w:rsidRDefault="002661BA">
            <w:pPr>
              <w:rPr>
                <w:rFonts w:ascii="宋体"/>
              </w:rPr>
            </w:pPr>
          </w:p>
        </w:tc>
        <w:tc>
          <w:tcPr>
            <w:tcW w:w="5" w:type="pct"/>
            <w:shd w:val="clear" w:color="auto" w:fill="auto"/>
            <w:vAlign w:val="bottom"/>
          </w:tcPr>
          <w:p w14:paraId="22CFD80E" w14:textId="77777777" w:rsidR="002661BA" w:rsidRDefault="002661BA">
            <w:pPr>
              <w:rPr>
                <w:rFonts w:ascii="宋体"/>
              </w:rPr>
            </w:pPr>
          </w:p>
        </w:tc>
        <w:tc>
          <w:tcPr>
            <w:tcW w:w="19" w:type="pct"/>
            <w:shd w:val="clear" w:color="auto" w:fill="auto"/>
            <w:vAlign w:val="bottom"/>
          </w:tcPr>
          <w:p w14:paraId="22CFD80F" w14:textId="77777777" w:rsidR="002661BA" w:rsidRDefault="002661BA">
            <w:pPr>
              <w:rPr>
                <w:rFonts w:ascii="宋体"/>
              </w:rPr>
            </w:pPr>
          </w:p>
        </w:tc>
        <w:tc>
          <w:tcPr>
            <w:tcW w:w="5" w:type="pct"/>
            <w:shd w:val="clear" w:color="auto" w:fill="auto"/>
            <w:vAlign w:val="bottom"/>
          </w:tcPr>
          <w:p w14:paraId="22CFD810" w14:textId="77777777" w:rsidR="002661BA" w:rsidRDefault="002661BA">
            <w:pPr>
              <w:rPr>
                <w:rFonts w:ascii="宋体"/>
              </w:rPr>
            </w:pPr>
          </w:p>
        </w:tc>
        <w:tc>
          <w:tcPr>
            <w:tcW w:w="50" w:type="pct"/>
            <w:shd w:val="clear" w:color="auto" w:fill="auto"/>
            <w:vAlign w:val="bottom"/>
          </w:tcPr>
          <w:p w14:paraId="22CFD811" w14:textId="77777777" w:rsidR="002661BA" w:rsidRDefault="002661BA">
            <w:pPr>
              <w:rPr>
                <w:rFonts w:ascii="宋体"/>
              </w:rPr>
            </w:pPr>
          </w:p>
        </w:tc>
        <w:tc>
          <w:tcPr>
            <w:tcW w:w="580" w:type="pct"/>
            <w:shd w:val="clear" w:color="auto" w:fill="auto"/>
            <w:vAlign w:val="bottom"/>
          </w:tcPr>
          <w:p w14:paraId="22CFD812" w14:textId="77777777" w:rsidR="002661BA" w:rsidRDefault="002661BA">
            <w:pPr>
              <w:rPr>
                <w:rFonts w:ascii="宋体"/>
              </w:rPr>
            </w:pPr>
          </w:p>
        </w:tc>
        <w:tc>
          <w:tcPr>
            <w:tcW w:w="5" w:type="pct"/>
            <w:shd w:val="clear" w:color="auto" w:fill="auto"/>
            <w:vAlign w:val="bottom"/>
          </w:tcPr>
          <w:p w14:paraId="22CFD813" w14:textId="77777777" w:rsidR="002661BA" w:rsidRDefault="002661BA">
            <w:pPr>
              <w:rPr>
                <w:rFonts w:ascii="宋体"/>
              </w:rPr>
            </w:pPr>
          </w:p>
        </w:tc>
        <w:tc>
          <w:tcPr>
            <w:tcW w:w="5" w:type="pct"/>
            <w:shd w:val="clear" w:color="auto" w:fill="auto"/>
            <w:vAlign w:val="bottom"/>
          </w:tcPr>
          <w:p w14:paraId="22CFD814" w14:textId="77777777" w:rsidR="002661BA" w:rsidRDefault="002661BA">
            <w:pPr>
              <w:rPr>
                <w:rFonts w:ascii="宋体"/>
              </w:rPr>
            </w:pPr>
          </w:p>
        </w:tc>
        <w:tc>
          <w:tcPr>
            <w:tcW w:w="19" w:type="pct"/>
            <w:shd w:val="clear" w:color="auto" w:fill="auto"/>
            <w:vAlign w:val="bottom"/>
          </w:tcPr>
          <w:p w14:paraId="22CFD815" w14:textId="77777777" w:rsidR="002661BA" w:rsidRDefault="002661BA">
            <w:pPr>
              <w:rPr>
                <w:rFonts w:ascii="宋体"/>
              </w:rPr>
            </w:pPr>
          </w:p>
        </w:tc>
        <w:tc>
          <w:tcPr>
            <w:tcW w:w="5" w:type="pct"/>
            <w:shd w:val="clear" w:color="auto" w:fill="auto"/>
            <w:vAlign w:val="bottom"/>
          </w:tcPr>
          <w:p w14:paraId="22CFD816" w14:textId="77777777" w:rsidR="002661BA" w:rsidRDefault="002661BA">
            <w:pPr>
              <w:rPr>
                <w:rFonts w:ascii="宋体"/>
              </w:rPr>
            </w:pPr>
          </w:p>
        </w:tc>
        <w:tc>
          <w:tcPr>
            <w:tcW w:w="50" w:type="pct"/>
            <w:shd w:val="clear" w:color="auto" w:fill="auto"/>
            <w:vAlign w:val="bottom"/>
          </w:tcPr>
          <w:p w14:paraId="22CFD817" w14:textId="77777777" w:rsidR="002661BA" w:rsidRDefault="002661BA">
            <w:pPr>
              <w:rPr>
                <w:rFonts w:ascii="宋体"/>
              </w:rPr>
            </w:pPr>
          </w:p>
        </w:tc>
        <w:tc>
          <w:tcPr>
            <w:tcW w:w="580" w:type="pct"/>
            <w:shd w:val="clear" w:color="auto" w:fill="auto"/>
            <w:vAlign w:val="bottom"/>
          </w:tcPr>
          <w:p w14:paraId="22CFD818" w14:textId="77777777" w:rsidR="002661BA" w:rsidRDefault="002661BA">
            <w:pPr>
              <w:rPr>
                <w:rFonts w:ascii="宋体"/>
              </w:rPr>
            </w:pPr>
          </w:p>
        </w:tc>
        <w:tc>
          <w:tcPr>
            <w:tcW w:w="5" w:type="pct"/>
            <w:shd w:val="clear" w:color="auto" w:fill="auto"/>
            <w:vAlign w:val="bottom"/>
          </w:tcPr>
          <w:p w14:paraId="22CFD819" w14:textId="77777777" w:rsidR="002661BA" w:rsidRDefault="002661BA">
            <w:pPr>
              <w:rPr>
                <w:rFonts w:ascii="宋体"/>
              </w:rPr>
            </w:pPr>
          </w:p>
        </w:tc>
        <w:tc>
          <w:tcPr>
            <w:tcW w:w="5" w:type="pct"/>
            <w:shd w:val="clear" w:color="auto" w:fill="auto"/>
            <w:vAlign w:val="bottom"/>
          </w:tcPr>
          <w:p w14:paraId="22CFD81A" w14:textId="77777777" w:rsidR="002661BA" w:rsidRDefault="002661BA">
            <w:pPr>
              <w:rPr>
                <w:rFonts w:ascii="宋体"/>
              </w:rPr>
            </w:pPr>
          </w:p>
        </w:tc>
        <w:tc>
          <w:tcPr>
            <w:tcW w:w="19" w:type="pct"/>
            <w:shd w:val="clear" w:color="auto" w:fill="auto"/>
            <w:vAlign w:val="bottom"/>
          </w:tcPr>
          <w:p w14:paraId="22CFD81B" w14:textId="77777777" w:rsidR="002661BA" w:rsidRDefault="002661BA">
            <w:pPr>
              <w:rPr>
                <w:rFonts w:ascii="宋体"/>
              </w:rPr>
            </w:pPr>
          </w:p>
        </w:tc>
        <w:tc>
          <w:tcPr>
            <w:tcW w:w="5" w:type="pct"/>
            <w:shd w:val="clear" w:color="auto" w:fill="auto"/>
            <w:vAlign w:val="bottom"/>
          </w:tcPr>
          <w:p w14:paraId="22CFD81C" w14:textId="77777777" w:rsidR="002661BA" w:rsidRDefault="002661BA">
            <w:pPr>
              <w:rPr>
                <w:rFonts w:ascii="宋体"/>
              </w:rPr>
            </w:pPr>
          </w:p>
        </w:tc>
        <w:tc>
          <w:tcPr>
            <w:tcW w:w="50" w:type="pct"/>
            <w:shd w:val="clear" w:color="auto" w:fill="auto"/>
            <w:vAlign w:val="bottom"/>
          </w:tcPr>
          <w:p w14:paraId="22CFD81D" w14:textId="77777777" w:rsidR="002661BA" w:rsidRDefault="002661BA">
            <w:pPr>
              <w:rPr>
                <w:rFonts w:ascii="宋体"/>
              </w:rPr>
            </w:pPr>
          </w:p>
        </w:tc>
        <w:tc>
          <w:tcPr>
            <w:tcW w:w="581" w:type="pct"/>
            <w:shd w:val="clear" w:color="auto" w:fill="auto"/>
            <w:vAlign w:val="bottom"/>
          </w:tcPr>
          <w:p w14:paraId="22CFD81E" w14:textId="77777777" w:rsidR="002661BA" w:rsidRDefault="002661BA">
            <w:pPr>
              <w:rPr>
                <w:rFonts w:ascii="宋体"/>
              </w:rPr>
            </w:pPr>
          </w:p>
        </w:tc>
        <w:tc>
          <w:tcPr>
            <w:tcW w:w="5" w:type="pct"/>
            <w:shd w:val="clear" w:color="auto" w:fill="auto"/>
            <w:vAlign w:val="bottom"/>
          </w:tcPr>
          <w:p w14:paraId="22CFD81F" w14:textId="77777777" w:rsidR="002661BA" w:rsidRDefault="002661BA">
            <w:pPr>
              <w:rPr>
                <w:rFonts w:ascii="宋体"/>
              </w:rPr>
            </w:pPr>
          </w:p>
        </w:tc>
      </w:tr>
      <w:tr w:rsidR="002661BA" w14:paraId="22CFD823" w14:textId="77777777">
        <w:tc>
          <w:tcPr>
            <w:tcW w:w="0" w:type="auto"/>
            <w:gridSpan w:val="3"/>
            <w:shd w:val="clear" w:color="auto" w:fill="auto"/>
            <w:tcMar>
              <w:top w:w="0" w:type="dxa"/>
              <w:left w:w="20" w:type="dxa"/>
              <w:bottom w:w="0" w:type="dxa"/>
              <w:right w:w="20" w:type="dxa"/>
            </w:tcMar>
            <w:vAlign w:val="bottom"/>
          </w:tcPr>
          <w:p w14:paraId="22CFD821" w14:textId="77777777" w:rsidR="002661BA" w:rsidRDefault="002661BA">
            <w:pPr>
              <w:rPr>
                <w:rFonts w:ascii="宋体"/>
              </w:rPr>
            </w:pPr>
          </w:p>
        </w:tc>
        <w:tc>
          <w:tcPr>
            <w:tcW w:w="0" w:type="auto"/>
            <w:gridSpan w:val="21"/>
            <w:shd w:val="clear" w:color="auto" w:fill="auto"/>
            <w:tcMar>
              <w:top w:w="40" w:type="dxa"/>
              <w:left w:w="20" w:type="dxa"/>
              <w:bottom w:w="40" w:type="dxa"/>
              <w:right w:w="20" w:type="dxa"/>
            </w:tcMar>
            <w:vAlign w:val="bottom"/>
          </w:tcPr>
          <w:p w14:paraId="22CFD822" w14:textId="77777777" w:rsidR="002661BA" w:rsidRDefault="00D972BC">
            <w:pPr>
              <w:jc w:val="center"/>
              <w:textAlignment w:val="bottom"/>
            </w:pPr>
            <w:r>
              <w:rPr>
                <w:rFonts w:ascii="Arial" w:eastAsia="宋体" w:hAnsi="Arial" w:cs="Arial"/>
                <w:b/>
                <w:bCs/>
                <w:color w:val="000000"/>
                <w:sz w:val="17"/>
                <w:szCs w:val="17"/>
              </w:rPr>
              <w:t>Quarter Ended</w:t>
            </w:r>
          </w:p>
        </w:tc>
      </w:tr>
      <w:tr w:rsidR="002661BA" w14:paraId="22CFD82C" w14:textId="77777777">
        <w:tc>
          <w:tcPr>
            <w:tcW w:w="0" w:type="auto"/>
            <w:gridSpan w:val="3"/>
            <w:shd w:val="clear" w:color="auto" w:fill="auto"/>
            <w:tcMar>
              <w:top w:w="0" w:type="dxa"/>
              <w:left w:w="20" w:type="dxa"/>
              <w:bottom w:w="0" w:type="dxa"/>
              <w:right w:w="20" w:type="dxa"/>
            </w:tcMar>
            <w:vAlign w:val="bottom"/>
          </w:tcPr>
          <w:p w14:paraId="22CFD824"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825" w14:textId="77777777" w:rsidR="002661BA" w:rsidRDefault="00D972BC">
            <w:pPr>
              <w:jc w:val="center"/>
              <w:textAlignment w:val="bottom"/>
            </w:pPr>
            <w:r>
              <w:rPr>
                <w:rFonts w:ascii="Arial" w:eastAsia="宋体" w:hAnsi="Arial" w:cs="Arial"/>
                <w:b/>
                <w:bCs/>
                <w:color w:val="000000"/>
                <w:sz w:val="17"/>
                <w:szCs w:val="17"/>
              </w:rPr>
              <w:t>March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D826"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827" w14:textId="77777777" w:rsidR="002661BA" w:rsidRDefault="00D972BC">
            <w:pPr>
              <w:jc w:val="center"/>
              <w:textAlignment w:val="bottom"/>
            </w:pPr>
            <w:r>
              <w:rPr>
                <w:rFonts w:ascii="Arial" w:eastAsia="宋体" w:hAnsi="Arial" w:cs="Arial"/>
                <w:b/>
                <w:bCs/>
                <w:color w:val="000000"/>
                <w:sz w:val="17"/>
                <w:szCs w:val="17"/>
              </w:rPr>
              <w:t>June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D828"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829" w14:textId="77777777" w:rsidR="002661BA" w:rsidRDefault="00D972BC">
            <w:pPr>
              <w:jc w:val="center"/>
              <w:textAlignment w:val="bottom"/>
            </w:pPr>
            <w:r>
              <w:rPr>
                <w:rFonts w:ascii="Arial" w:eastAsia="宋体" w:hAnsi="Arial" w:cs="Arial"/>
                <w:b/>
                <w:bCs/>
                <w:color w:val="000000"/>
                <w:sz w:val="17"/>
                <w:szCs w:val="17"/>
              </w:rPr>
              <w:t>September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D82A"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82B" w14:textId="77777777" w:rsidR="002661BA" w:rsidRDefault="00D972BC">
            <w:pPr>
              <w:jc w:val="center"/>
              <w:textAlignment w:val="bottom"/>
            </w:pPr>
            <w:r>
              <w:rPr>
                <w:rFonts w:ascii="Arial" w:eastAsia="宋体" w:hAnsi="Arial" w:cs="Arial"/>
                <w:b/>
                <w:bCs/>
                <w:color w:val="000000"/>
                <w:sz w:val="17"/>
                <w:szCs w:val="17"/>
              </w:rPr>
              <w:t>December 31</w:t>
            </w:r>
          </w:p>
        </w:tc>
      </w:tr>
      <w:tr w:rsidR="002661BA" w14:paraId="22CFD835" w14:textId="77777777">
        <w:tc>
          <w:tcPr>
            <w:tcW w:w="0" w:type="auto"/>
            <w:gridSpan w:val="3"/>
            <w:shd w:val="clear" w:color="auto" w:fill="E2E2E2"/>
            <w:tcMar>
              <w:top w:w="40" w:type="dxa"/>
              <w:left w:w="20" w:type="dxa"/>
              <w:bottom w:w="40" w:type="dxa"/>
              <w:right w:w="20" w:type="dxa"/>
            </w:tcMar>
            <w:vAlign w:val="bottom"/>
          </w:tcPr>
          <w:p w14:paraId="22CFD82D" w14:textId="77777777" w:rsidR="002661BA" w:rsidRDefault="00D972BC">
            <w:pPr>
              <w:textAlignment w:val="bottom"/>
            </w:pPr>
            <w:r>
              <w:rPr>
                <w:rFonts w:ascii="Arial" w:eastAsia="宋体" w:hAnsi="Arial" w:cs="Arial"/>
                <w:b/>
                <w:bCs/>
                <w:color w:val="000000"/>
                <w:sz w:val="18"/>
                <w:szCs w:val="18"/>
              </w:rPr>
              <w:t>2020</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D82E"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82F"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D830"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831"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D832"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833" w14:textId="77777777" w:rsidR="002661BA" w:rsidRDefault="002661B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22CFD834" w14:textId="77777777" w:rsidR="002661BA" w:rsidRDefault="002661BA">
            <w:pPr>
              <w:rPr>
                <w:rFonts w:ascii="宋体"/>
              </w:rPr>
            </w:pPr>
          </w:p>
        </w:tc>
      </w:tr>
      <w:tr w:rsidR="002661BA" w14:paraId="22CFD846" w14:textId="77777777">
        <w:tc>
          <w:tcPr>
            <w:tcW w:w="0" w:type="auto"/>
            <w:gridSpan w:val="3"/>
            <w:shd w:val="clear" w:color="auto" w:fill="FFFFFF"/>
            <w:tcMar>
              <w:top w:w="40" w:type="dxa"/>
              <w:left w:w="20" w:type="dxa"/>
              <w:bottom w:w="40" w:type="dxa"/>
              <w:right w:w="20" w:type="dxa"/>
            </w:tcMar>
            <w:vAlign w:val="bottom"/>
          </w:tcPr>
          <w:p w14:paraId="22CFD836" w14:textId="77777777" w:rsidR="002661BA" w:rsidRDefault="00D972BC">
            <w:pPr>
              <w:textAlignment w:val="bottom"/>
            </w:pPr>
            <w:r>
              <w:rPr>
                <w:rFonts w:ascii="Arial" w:eastAsia="宋体" w:hAnsi="Arial" w:cs="Arial"/>
                <w:color w:val="000000"/>
                <w:sz w:val="18"/>
                <w:szCs w:val="18"/>
              </w:rPr>
              <w:t>Net revenues</w:t>
            </w:r>
          </w:p>
        </w:tc>
        <w:tc>
          <w:tcPr>
            <w:tcW w:w="0" w:type="auto"/>
            <w:shd w:val="clear" w:color="auto" w:fill="FFFFFF"/>
            <w:tcMar>
              <w:top w:w="40" w:type="dxa"/>
              <w:left w:w="20" w:type="dxa"/>
              <w:bottom w:w="40" w:type="dxa"/>
              <w:right w:w="0" w:type="dxa"/>
            </w:tcMar>
            <w:vAlign w:val="bottom"/>
          </w:tcPr>
          <w:p w14:paraId="22CFD83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838" w14:textId="77777777" w:rsidR="002661BA" w:rsidRDefault="00D972BC">
            <w:pPr>
              <w:jc w:val="right"/>
              <w:textAlignment w:val="bottom"/>
            </w:pPr>
            <w:r>
              <w:rPr>
                <w:rFonts w:ascii="Arial" w:eastAsia="宋体" w:hAnsi="Arial" w:cs="Arial"/>
                <w:color w:val="000000"/>
                <w:sz w:val="18"/>
                <w:szCs w:val="18"/>
              </w:rPr>
              <w:t>1,821 </w:t>
            </w:r>
          </w:p>
        </w:tc>
        <w:tc>
          <w:tcPr>
            <w:tcW w:w="0" w:type="auto"/>
            <w:shd w:val="clear" w:color="auto" w:fill="FFFFFF"/>
            <w:tcMar>
              <w:top w:w="40" w:type="dxa"/>
              <w:left w:w="0" w:type="dxa"/>
              <w:bottom w:w="40" w:type="dxa"/>
              <w:right w:w="20" w:type="dxa"/>
            </w:tcMar>
            <w:vAlign w:val="bottom"/>
          </w:tcPr>
          <w:p w14:paraId="22CFD83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3A"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83B"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83C" w14:textId="77777777" w:rsidR="002661BA" w:rsidRDefault="00D972BC">
            <w:pPr>
              <w:jc w:val="right"/>
              <w:textAlignment w:val="bottom"/>
            </w:pPr>
            <w:r>
              <w:rPr>
                <w:rFonts w:ascii="Arial" w:eastAsia="宋体" w:hAnsi="Arial" w:cs="Arial"/>
                <w:color w:val="000000"/>
                <w:sz w:val="18"/>
                <w:szCs w:val="18"/>
              </w:rPr>
              <w:t>2,337 </w:t>
            </w:r>
          </w:p>
        </w:tc>
        <w:tc>
          <w:tcPr>
            <w:tcW w:w="0" w:type="auto"/>
            <w:shd w:val="clear" w:color="auto" w:fill="FFFFFF"/>
            <w:tcMar>
              <w:top w:w="40" w:type="dxa"/>
              <w:left w:w="0" w:type="dxa"/>
              <w:bottom w:w="40" w:type="dxa"/>
              <w:right w:w="20" w:type="dxa"/>
            </w:tcMar>
            <w:vAlign w:val="bottom"/>
          </w:tcPr>
          <w:p w14:paraId="22CFD83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3E"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83F"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840" w14:textId="77777777" w:rsidR="002661BA" w:rsidRDefault="00D972BC">
            <w:pPr>
              <w:jc w:val="right"/>
              <w:textAlignment w:val="bottom"/>
            </w:pPr>
            <w:r>
              <w:rPr>
                <w:rFonts w:ascii="Arial" w:eastAsia="宋体" w:hAnsi="Arial" w:cs="Arial"/>
                <w:color w:val="000000"/>
                <w:sz w:val="18"/>
                <w:szCs w:val="18"/>
              </w:rPr>
              <w:t>2,258 </w:t>
            </w:r>
          </w:p>
        </w:tc>
        <w:tc>
          <w:tcPr>
            <w:tcW w:w="0" w:type="auto"/>
            <w:shd w:val="clear" w:color="auto" w:fill="FFFFFF"/>
            <w:tcMar>
              <w:top w:w="40" w:type="dxa"/>
              <w:left w:w="0" w:type="dxa"/>
              <w:bottom w:w="40" w:type="dxa"/>
              <w:right w:w="20" w:type="dxa"/>
            </w:tcMar>
            <w:vAlign w:val="bottom"/>
          </w:tcPr>
          <w:p w14:paraId="22CFD84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42"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84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844" w14:textId="77777777" w:rsidR="002661BA" w:rsidRDefault="00D972BC">
            <w:pPr>
              <w:jc w:val="right"/>
              <w:textAlignment w:val="bottom"/>
            </w:pPr>
            <w:r>
              <w:rPr>
                <w:rFonts w:ascii="Arial" w:eastAsia="宋体" w:hAnsi="Arial" w:cs="Arial"/>
                <w:color w:val="000000"/>
                <w:sz w:val="18"/>
                <w:szCs w:val="18"/>
              </w:rPr>
              <w:t>2,478 </w:t>
            </w:r>
          </w:p>
        </w:tc>
        <w:tc>
          <w:tcPr>
            <w:tcW w:w="0" w:type="auto"/>
            <w:shd w:val="clear" w:color="auto" w:fill="FFFFFF"/>
            <w:tcMar>
              <w:top w:w="40" w:type="dxa"/>
              <w:left w:w="0" w:type="dxa"/>
              <w:bottom w:w="40" w:type="dxa"/>
              <w:right w:w="20" w:type="dxa"/>
            </w:tcMar>
            <w:vAlign w:val="bottom"/>
          </w:tcPr>
          <w:p w14:paraId="22CFD845" w14:textId="77777777" w:rsidR="002661BA" w:rsidRDefault="002661BA">
            <w:pPr>
              <w:jc w:val="right"/>
              <w:rPr>
                <w:rFonts w:ascii="宋体"/>
              </w:rPr>
            </w:pPr>
          </w:p>
        </w:tc>
      </w:tr>
      <w:tr w:rsidR="002661BA" w14:paraId="22CFD857" w14:textId="77777777">
        <w:tc>
          <w:tcPr>
            <w:tcW w:w="0" w:type="auto"/>
            <w:gridSpan w:val="3"/>
            <w:shd w:val="clear" w:color="auto" w:fill="E2E2E2"/>
            <w:tcMar>
              <w:top w:w="40" w:type="dxa"/>
              <w:left w:w="20" w:type="dxa"/>
              <w:bottom w:w="40" w:type="dxa"/>
              <w:right w:w="20" w:type="dxa"/>
            </w:tcMar>
            <w:vAlign w:val="bottom"/>
          </w:tcPr>
          <w:p w14:paraId="22CFD847" w14:textId="77777777" w:rsidR="002661BA" w:rsidRDefault="00D972BC">
            <w:pPr>
              <w:textAlignment w:val="bottom"/>
            </w:pPr>
            <w:r>
              <w:rPr>
                <w:rFonts w:ascii="Arial" w:eastAsia="宋体" w:hAnsi="Arial" w:cs="Arial"/>
                <w:color w:val="000000"/>
                <w:sz w:val="18"/>
                <w:szCs w:val="18"/>
              </w:rPr>
              <w:t>Gross profit</w:t>
            </w:r>
          </w:p>
        </w:tc>
        <w:tc>
          <w:tcPr>
            <w:tcW w:w="0" w:type="auto"/>
            <w:shd w:val="clear" w:color="auto" w:fill="E2E2E2"/>
            <w:tcMar>
              <w:top w:w="40" w:type="dxa"/>
              <w:left w:w="20" w:type="dxa"/>
              <w:bottom w:w="40" w:type="dxa"/>
              <w:right w:w="0" w:type="dxa"/>
            </w:tcMar>
            <w:vAlign w:val="bottom"/>
          </w:tcPr>
          <w:p w14:paraId="22CFD848"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849" w14:textId="77777777" w:rsidR="002661BA" w:rsidRDefault="00D972BC">
            <w:pPr>
              <w:jc w:val="right"/>
              <w:textAlignment w:val="bottom"/>
            </w:pPr>
            <w:r>
              <w:rPr>
                <w:rFonts w:ascii="Arial" w:eastAsia="宋体" w:hAnsi="Arial" w:cs="Arial"/>
                <w:color w:val="000000"/>
                <w:sz w:val="18"/>
                <w:szCs w:val="18"/>
              </w:rPr>
              <w:t>1,467 </w:t>
            </w:r>
          </w:p>
        </w:tc>
        <w:tc>
          <w:tcPr>
            <w:tcW w:w="0" w:type="auto"/>
            <w:shd w:val="clear" w:color="auto" w:fill="E2E2E2"/>
            <w:tcMar>
              <w:top w:w="40" w:type="dxa"/>
              <w:left w:w="0" w:type="dxa"/>
              <w:bottom w:w="40" w:type="dxa"/>
              <w:right w:w="20" w:type="dxa"/>
            </w:tcMar>
            <w:vAlign w:val="bottom"/>
          </w:tcPr>
          <w:p w14:paraId="22CFD84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84B"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D84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84D" w14:textId="77777777" w:rsidR="002661BA" w:rsidRDefault="00D972BC">
            <w:pPr>
              <w:jc w:val="right"/>
              <w:textAlignment w:val="bottom"/>
            </w:pPr>
            <w:r>
              <w:rPr>
                <w:rFonts w:ascii="Arial" w:eastAsia="宋体" w:hAnsi="Arial" w:cs="Arial"/>
                <w:color w:val="000000"/>
                <w:sz w:val="18"/>
                <w:szCs w:val="18"/>
              </w:rPr>
              <w:t>1,920 </w:t>
            </w:r>
          </w:p>
        </w:tc>
        <w:tc>
          <w:tcPr>
            <w:tcW w:w="0" w:type="auto"/>
            <w:shd w:val="clear" w:color="auto" w:fill="E2E2E2"/>
            <w:tcMar>
              <w:top w:w="40" w:type="dxa"/>
              <w:left w:w="0" w:type="dxa"/>
              <w:bottom w:w="40" w:type="dxa"/>
              <w:right w:w="20" w:type="dxa"/>
            </w:tcMar>
            <w:vAlign w:val="bottom"/>
          </w:tcPr>
          <w:p w14:paraId="22CFD84E"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84F"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D850"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851" w14:textId="77777777" w:rsidR="002661BA" w:rsidRDefault="00D972BC">
            <w:pPr>
              <w:jc w:val="right"/>
              <w:textAlignment w:val="bottom"/>
            </w:pPr>
            <w:r>
              <w:rPr>
                <w:rFonts w:ascii="Arial" w:eastAsia="宋体" w:hAnsi="Arial" w:cs="Arial"/>
                <w:color w:val="000000"/>
                <w:sz w:val="18"/>
                <w:szCs w:val="18"/>
              </w:rPr>
              <w:t>1,780 </w:t>
            </w:r>
          </w:p>
        </w:tc>
        <w:tc>
          <w:tcPr>
            <w:tcW w:w="0" w:type="auto"/>
            <w:shd w:val="clear" w:color="auto" w:fill="E2E2E2"/>
            <w:tcMar>
              <w:top w:w="40" w:type="dxa"/>
              <w:left w:w="0" w:type="dxa"/>
              <w:bottom w:w="40" w:type="dxa"/>
              <w:right w:w="20" w:type="dxa"/>
            </w:tcMar>
            <w:vAlign w:val="bottom"/>
          </w:tcPr>
          <w:p w14:paraId="22CFD85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853"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D854"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855" w14:textId="77777777" w:rsidR="002661BA" w:rsidRDefault="00D972BC">
            <w:pPr>
              <w:jc w:val="right"/>
              <w:textAlignment w:val="bottom"/>
            </w:pPr>
            <w:r>
              <w:rPr>
                <w:rFonts w:ascii="Arial" w:eastAsia="宋体" w:hAnsi="Arial" w:cs="Arial"/>
                <w:color w:val="000000"/>
                <w:sz w:val="18"/>
                <w:szCs w:val="18"/>
              </w:rPr>
              <w:t>1,930 </w:t>
            </w:r>
          </w:p>
        </w:tc>
        <w:tc>
          <w:tcPr>
            <w:tcW w:w="0" w:type="auto"/>
            <w:shd w:val="clear" w:color="auto" w:fill="E2E2E2"/>
            <w:tcMar>
              <w:top w:w="40" w:type="dxa"/>
              <w:left w:w="0" w:type="dxa"/>
              <w:bottom w:w="40" w:type="dxa"/>
              <w:right w:w="20" w:type="dxa"/>
            </w:tcMar>
            <w:vAlign w:val="bottom"/>
          </w:tcPr>
          <w:p w14:paraId="22CFD856" w14:textId="77777777" w:rsidR="002661BA" w:rsidRDefault="002661BA">
            <w:pPr>
              <w:jc w:val="right"/>
              <w:rPr>
                <w:rFonts w:ascii="宋体"/>
              </w:rPr>
            </w:pPr>
          </w:p>
        </w:tc>
      </w:tr>
      <w:tr w:rsidR="002661BA" w14:paraId="22CFD868" w14:textId="77777777">
        <w:tc>
          <w:tcPr>
            <w:tcW w:w="0" w:type="auto"/>
            <w:gridSpan w:val="3"/>
            <w:shd w:val="clear" w:color="auto" w:fill="FFFFFF"/>
            <w:tcMar>
              <w:top w:w="40" w:type="dxa"/>
              <w:left w:w="20" w:type="dxa"/>
              <w:bottom w:w="40" w:type="dxa"/>
              <w:right w:w="20" w:type="dxa"/>
            </w:tcMar>
            <w:vAlign w:val="bottom"/>
          </w:tcPr>
          <w:p w14:paraId="22CFD858" w14:textId="77777777" w:rsidR="002661BA" w:rsidRDefault="00D972BC">
            <w:pPr>
              <w:textAlignment w:val="bottom"/>
            </w:pPr>
            <w:r>
              <w:rPr>
                <w:rFonts w:ascii="Arial" w:eastAsia="宋体" w:hAnsi="Arial" w:cs="Arial"/>
                <w:color w:val="000000"/>
                <w:sz w:val="18"/>
                <w:szCs w:val="18"/>
              </w:rPr>
              <w:t>Income from continuing operations</w:t>
            </w:r>
          </w:p>
        </w:tc>
        <w:tc>
          <w:tcPr>
            <w:tcW w:w="0" w:type="auto"/>
            <w:shd w:val="clear" w:color="auto" w:fill="FFFFFF"/>
            <w:tcMar>
              <w:top w:w="40" w:type="dxa"/>
              <w:left w:w="20" w:type="dxa"/>
              <w:bottom w:w="40" w:type="dxa"/>
              <w:right w:w="0" w:type="dxa"/>
            </w:tcMar>
            <w:vAlign w:val="bottom"/>
          </w:tcPr>
          <w:p w14:paraId="22CFD85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85A" w14:textId="77777777" w:rsidR="002661BA" w:rsidRDefault="00D972BC">
            <w:pPr>
              <w:jc w:val="right"/>
              <w:textAlignment w:val="bottom"/>
            </w:pPr>
            <w:r>
              <w:rPr>
                <w:rFonts w:ascii="Arial" w:eastAsia="宋体" w:hAnsi="Arial" w:cs="Arial"/>
                <w:color w:val="000000"/>
                <w:sz w:val="18"/>
                <w:szCs w:val="18"/>
              </w:rPr>
              <w:t>421 </w:t>
            </w:r>
          </w:p>
        </w:tc>
        <w:tc>
          <w:tcPr>
            <w:tcW w:w="0" w:type="auto"/>
            <w:shd w:val="clear" w:color="auto" w:fill="FFFFFF"/>
            <w:tcMar>
              <w:top w:w="40" w:type="dxa"/>
              <w:left w:w="0" w:type="dxa"/>
              <w:bottom w:w="40" w:type="dxa"/>
              <w:right w:w="20" w:type="dxa"/>
            </w:tcMar>
            <w:vAlign w:val="bottom"/>
          </w:tcPr>
          <w:p w14:paraId="22CFD85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5C"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85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85E" w14:textId="77777777" w:rsidR="002661BA" w:rsidRDefault="00D972BC">
            <w:pPr>
              <w:jc w:val="right"/>
              <w:textAlignment w:val="bottom"/>
            </w:pPr>
            <w:r>
              <w:rPr>
                <w:rFonts w:ascii="Arial" w:eastAsia="宋体" w:hAnsi="Arial" w:cs="Arial"/>
                <w:color w:val="000000"/>
                <w:sz w:val="18"/>
                <w:szCs w:val="18"/>
              </w:rPr>
              <w:t>689 </w:t>
            </w:r>
          </w:p>
        </w:tc>
        <w:tc>
          <w:tcPr>
            <w:tcW w:w="0" w:type="auto"/>
            <w:shd w:val="clear" w:color="auto" w:fill="FFFFFF"/>
            <w:tcMar>
              <w:top w:w="40" w:type="dxa"/>
              <w:left w:w="0" w:type="dxa"/>
              <w:bottom w:w="40" w:type="dxa"/>
              <w:right w:w="20" w:type="dxa"/>
            </w:tcMar>
            <w:vAlign w:val="bottom"/>
          </w:tcPr>
          <w:p w14:paraId="22CFD85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60"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861"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862" w14:textId="77777777" w:rsidR="002661BA" w:rsidRDefault="00D972BC">
            <w:pPr>
              <w:jc w:val="right"/>
              <w:textAlignment w:val="bottom"/>
            </w:pPr>
            <w:r>
              <w:rPr>
                <w:rFonts w:ascii="Arial" w:eastAsia="宋体" w:hAnsi="Arial" w:cs="Arial"/>
                <w:color w:val="000000"/>
                <w:sz w:val="18"/>
                <w:szCs w:val="18"/>
              </w:rPr>
              <w:t>605 </w:t>
            </w:r>
          </w:p>
        </w:tc>
        <w:tc>
          <w:tcPr>
            <w:tcW w:w="0" w:type="auto"/>
            <w:shd w:val="clear" w:color="auto" w:fill="FFFFFF"/>
            <w:tcMar>
              <w:top w:w="40" w:type="dxa"/>
              <w:left w:w="0" w:type="dxa"/>
              <w:bottom w:w="40" w:type="dxa"/>
              <w:right w:w="20" w:type="dxa"/>
            </w:tcMar>
            <w:vAlign w:val="bottom"/>
          </w:tcPr>
          <w:p w14:paraId="22CFD86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64"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865"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866" w14:textId="77777777" w:rsidR="002661BA" w:rsidRDefault="00D972BC">
            <w:pPr>
              <w:jc w:val="right"/>
              <w:textAlignment w:val="bottom"/>
            </w:pPr>
            <w:r>
              <w:rPr>
                <w:rFonts w:ascii="Arial" w:eastAsia="宋体" w:hAnsi="Arial" w:cs="Arial"/>
                <w:color w:val="000000"/>
                <w:sz w:val="18"/>
                <w:szCs w:val="18"/>
              </w:rPr>
              <w:t>772 </w:t>
            </w:r>
          </w:p>
        </w:tc>
        <w:tc>
          <w:tcPr>
            <w:tcW w:w="0" w:type="auto"/>
            <w:shd w:val="clear" w:color="auto" w:fill="FFFFFF"/>
            <w:tcMar>
              <w:top w:w="40" w:type="dxa"/>
              <w:left w:w="0" w:type="dxa"/>
              <w:bottom w:w="40" w:type="dxa"/>
              <w:right w:w="20" w:type="dxa"/>
            </w:tcMar>
            <w:vAlign w:val="bottom"/>
          </w:tcPr>
          <w:p w14:paraId="22CFD867" w14:textId="77777777" w:rsidR="002661BA" w:rsidRDefault="002661BA">
            <w:pPr>
              <w:jc w:val="right"/>
              <w:rPr>
                <w:rFonts w:ascii="宋体"/>
              </w:rPr>
            </w:pPr>
          </w:p>
        </w:tc>
      </w:tr>
      <w:tr w:rsidR="002661BA" w14:paraId="22CFD879" w14:textId="77777777">
        <w:tc>
          <w:tcPr>
            <w:tcW w:w="0" w:type="auto"/>
            <w:gridSpan w:val="3"/>
            <w:shd w:val="clear" w:color="auto" w:fill="E2E2E2"/>
            <w:tcMar>
              <w:top w:w="40" w:type="dxa"/>
              <w:left w:w="20" w:type="dxa"/>
              <w:bottom w:w="40" w:type="dxa"/>
              <w:right w:w="20" w:type="dxa"/>
            </w:tcMar>
            <w:vAlign w:val="bottom"/>
          </w:tcPr>
          <w:p w14:paraId="22CFD869" w14:textId="77777777" w:rsidR="002661BA" w:rsidRDefault="00D972BC">
            <w:pPr>
              <w:ind w:hanging="270"/>
              <w:textAlignment w:val="bottom"/>
            </w:pPr>
            <w:r>
              <w:rPr>
                <w:rFonts w:ascii="Arial" w:eastAsia="宋体" w:hAnsi="Arial" w:cs="Arial"/>
                <w:color w:val="000000"/>
                <w:sz w:val="18"/>
                <w:szCs w:val="18"/>
              </w:rPr>
              <w:t>Income (loss) from discontinued operations, net of income taxes</w:t>
            </w:r>
          </w:p>
        </w:tc>
        <w:tc>
          <w:tcPr>
            <w:tcW w:w="0" w:type="auto"/>
            <w:shd w:val="clear" w:color="auto" w:fill="E2E2E2"/>
            <w:tcMar>
              <w:top w:w="40" w:type="dxa"/>
              <w:left w:w="20" w:type="dxa"/>
              <w:bottom w:w="40" w:type="dxa"/>
              <w:right w:w="0" w:type="dxa"/>
            </w:tcMar>
            <w:vAlign w:val="bottom"/>
          </w:tcPr>
          <w:p w14:paraId="22CFD86A"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86B" w14:textId="77777777" w:rsidR="002661BA" w:rsidRDefault="00D972BC">
            <w:pPr>
              <w:jc w:val="right"/>
              <w:textAlignment w:val="bottom"/>
            </w:pPr>
            <w:r>
              <w:rPr>
                <w:rFonts w:ascii="Arial" w:eastAsia="宋体" w:hAnsi="Arial" w:cs="Arial"/>
                <w:color w:val="000000"/>
                <w:sz w:val="18"/>
                <w:szCs w:val="18"/>
              </w:rPr>
              <w:t>2,991 </w:t>
            </w:r>
          </w:p>
        </w:tc>
        <w:tc>
          <w:tcPr>
            <w:tcW w:w="0" w:type="auto"/>
            <w:shd w:val="clear" w:color="auto" w:fill="E2E2E2"/>
            <w:tcMar>
              <w:top w:w="40" w:type="dxa"/>
              <w:left w:w="0" w:type="dxa"/>
              <w:bottom w:w="40" w:type="dxa"/>
              <w:right w:w="20" w:type="dxa"/>
            </w:tcMar>
            <w:vAlign w:val="bottom"/>
          </w:tcPr>
          <w:p w14:paraId="22CFD86C"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86D"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D86E"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86F" w14:textId="77777777" w:rsidR="002661BA" w:rsidRDefault="00D972BC">
            <w:pPr>
              <w:jc w:val="right"/>
              <w:textAlignment w:val="bottom"/>
            </w:pPr>
            <w:r>
              <w:rPr>
                <w:rFonts w:ascii="Arial" w:eastAsia="宋体" w:hAnsi="Arial" w:cs="Arial"/>
                <w:color w:val="000000"/>
                <w:sz w:val="18"/>
                <w:szCs w:val="18"/>
              </w:rPr>
              <w:t>57 </w:t>
            </w:r>
          </w:p>
        </w:tc>
        <w:tc>
          <w:tcPr>
            <w:tcW w:w="0" w:type="auto"/>
            <w:shd w:val="clear" w:color="auto" w:fill="E2E2E2"/>
            <w:tcMar>
              <w:top w:w="40" w:type="dxa"/>
              <w:left w:w="0" w:type="dxa"/>
              <w:bottom w:w="40" w:type="dxa"/>
              <w:right w:w="20" w:type="dxa"/>
            </w:tcMar>
            <w:vAlign w:val="bottom"/>
          </w:tcPr>
          <w:p w14:paraId="22CFD870"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871"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D872"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873" w14:textId="77777777" w:rsidR="002661BA" w:rsidRDefault="00D972BC">
            <w:pPr>
              <w:jc w:val="right"/>
              <w:textAlignment w:val="bottom"/>
            </w:pPr>
            <w:r>
              <w:rPr>
                <w:rFonts w:ascii="Arial" w:eastAsia="宋体" w:hAnsi="Arial" w:cs="Arial"/>
                <w:color w:val="000000"/>
                <w:sz w:val="18"/>
                <w:szCs w:val="18"/>
              </w:rPr>
              <w:t>59 </w:t>
            </w:r>
          </w:p>
        </w:tc>
        <w:tc>
          <w:tcPr>
            <w:tcW w:w="0" w:type="auto"/>
            <w:shd w:val="clear" w:color="auto" w:fill="E2E2E2"/>
            <w:tcMar>
              <w:top w:w="40" w:type="dxa"/>
              <w:left w:w="0" w:type="dxa"/>
              <w:bottom w:w="40" w:type="dxa"/>
              <w:right w:w="20" w:type="dxa"/>
            </w:tcMar>
            <w:vAlign w:val="bottom"/>
          </w:tcPr>
          <w:p w14:paraId="22CFD874"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875" w14:textId="77777777" w:rsidR="002661BA" w:rsidRDefault="002661BA">
            <w:pPr>
              <w:rPr>
                <w:rFonts w:ascii="宋体"/>
              </w:rPr>
            </w:pPr>
          </w:p>
        </w:tc>
        <w:tc>
          <w:tcPr>
            <w:tcW w:w="0" w:type="auto"/>
            <w:shd w:val="clear" w:color="auto" w:fill="E2E2E2"/>
            <w:tcMar>
              <w:top w:w="40" w:type="dxa"/>
              <w:left w:w="20" w:type="dxa"/>
              <w:bottom w:w="40" w:type="dxa"/>
              <w:right w:w="0" w:type="dxa"/>
            </w:tcMar>
            <w:vAlign w:val="bottom"/>
          </w:tcPr>
          <w:p w14:paraId="22CFD87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22CFD877" w14:textId="77777777" w:rsidR="002661BA" w:rsidRDefault="00D972BC">
            <w:pPr>
              <w:jc w:val="right"/>
              <w:textAlignment w:val="bottom"/>
            </w:pPr>
            <w:r>
              <w:rPr>
                <w:rFonts w:ascii="Arial" w:eastAsia="宋体" w:hAnsi="Arial" w:cs="Arial"/>
                <w:color w:val="000000"/>
                <w:sz w:val="18"/>
                <w:szCs w:val="18"/>
              </w:rPr>
              <w:t>73 </w:t>
            </w:r>
          </w:p>
        </w:tc>
        <w:tc>
          <w:tcPr>
            <w:tcW w:w="0" w:type="auto"/>
            <w:shd w:val="clear" w:color="auto" w:fill="E2E2E2"/>
            <w:tcMar>
              <w:top w:w="40" w:type="dxa"/>
              <w:left w:w="0" w:type="dxa"/>
              <w:bottom w:w="40" w:type="dxa"/>
              <w:right w:w="20" w:type="dxa"/>
            </w:tcMar>
            <w:vAlign w:val="bottom"/>
          </w:tcPr>
          <w:p w14:paraId="22CFD878" w14:textId="77777777" w:rsidR="002661BA" w:rsidRDefault="002661BA">
            <w:pPr>
              <w:jc w:val="right"/>
              <w:rPr>
                <w:rFonts w:ascii="宋体"/>
              </w:rPr>
            </w:pPr>
          </w:p>
        </w:tc>
      </w:tr>
      <w:tr w:rsidR="002661BA" w14:paraId="22CFD88A" w14:textId="77777777">
        <w:tc>
          <w:tcPr>
            <w:tcW w:w="0" w:type="auto"/>
            <w:gridSpan w:val="3"/>
            <w:shd w:val="clear" w:color="auto" w:fill="FFFFFF"/>
            <w:tcMar>
              <w:top w:w="40" w:type="dxa"/>
              <w:left w:w="20" w:type="dxa"/>
              <w:bottom w:w="40" w:type="dxa"/>
              <w:right w:w="20" w:type="dxa"/>
            </w:tcMar>
            <w:vAlign w:val="bottom"/>
          </w:tcPr>
          <w:p w14:paraId="22CFD87A" w14:textId="77777777" w:rsidR="002661BA" w:rsidRDefault="00D972BC">
            <w:pPr>
              <w:textAlignment w:val="bottom"/>
            </w:pPr>
            <w:r>
              <w:rPr>
                <w:rFonts w:ascii="Arial" w:eastAsia="宋体" w:hAnsi="Arial" w:cs="Arial"/>
                <w:color w:val="000000"/>
                <w:sz w:val="18"/>
                <w:szCs w:val="18"/>
              </w:rPr>
              <w:t>Net income (loss)</w:t>
            </w:r>
          </w:p>
        </w:tc>
        <w:tc>
          <w:tcPr>
            <w:tcW w:w="0" w:type="auto"/>
            <w:shd w:val="clear" w:color="auto" w:fill="FFFFFF"/>
            <w:tcMar>
              <w:top w:w="40" w:type="dxa"/>
              <w:left w:w="20" w:type="dxa"/>
              <w:bottom w:w="40" w:type="dxa"/>
              <w:right w:w="0" w:type="dxa"/>
            </w:tcMar>
            <w:vAlign w:val="bottom"/>
          </w:tcPr>
          <w:p w14:paraId="22CFD87B"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87C" w14:textId="77777777" w:rsidR="002661BA" w:rsidRDefault="00D972BC">
            <w:pPr>
              <w:jc w:val="right"/>
              <w:textAlignment w:val="bottom"/>
            </w:pPr>
            <w:r>
              <w:rPr>
                <w:rFonts w:ascii="Arial" w:eastAsia="宋体" w:hAnsi="Arial" w:cs="Arial"/>
                <w:color w:val="000000"/>
                <w:sz w:val="18"/>
                <w:szCs w:val="18"/>
              </w:rPr>
              <w:t>3,412 </w:t>
            </w:r>
          </w:p>
        </w:tc>
        <w:tc>
          <w:tcPr>
            <w:tcW w:w="0" w:type="auto"/>
            <w:shd w:val="clear" w:color="auto" w:fill="FFFFFF"/>
            <w:tcMar>
              <w:top w:w="40" w:type="dxa"/>
              <w:left w:w="0" w:type="dxa"/>
              <w:bottom w:w="40" w:type="dxa"/>
              <w:right w:w="20" w:type="dxa"/>
            </w:tcMar>
            <w:vAlign w:val="bottom"/>
          </w:tcPr>
          <w:p w14:paraId="22CFD87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7E"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87F"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880" w14:textId="77777777" w:rsidR="002661BA" w:rsidRDefault="00D972BC">
            <w:pPr>
              <w:jc w:val="right"/>
              <w:textAlignment w:val="bottom"/>
            </w:pPr>
            <w:r>
              <w:rPr>
                <w:rFonts w:ascii="Arial" w:eastAsia="宋体" w:hAnsi="Arial" w:cs="Arial"/>
                <w:color w:val="000000"/>
                <w:sz w:val="18"/>
                <w:szCs w:val="18"/>
              </w:rPr>
              <w:t>746 </w:t>
            </w:r>
          </w:p>
        </w:tc>
        <w:tc>
          <w:tcPr>
            <w:tcW w:w="0" w:type="auto"/>
            <w:shd w:val="clear" w:color="auto" w:fill="FFFFFF"/>
            <w:tcMar>
              <w:top w:w="40" w:type="dxa"/>
              <w:left w:w="0" w:type="dxa"/>
              <w:bottom w:w="40" w:type="dxa"/>
              <w:right w:w="20" w:type="dxa"/>
            </w:tcMar>
            <w:vAlign w:val="bottom"/>
          </w:tcPr>
          <w:p w14:paraId="22CFD88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82"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88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884" w14:textId="77777777" w:rsidR="002661BA" w:rsidRDefault="00D972BC">
            <w:pPr>
              <w:jc w:val="right"/>
              <w:textAlignment w:val="bottom"/>
            </w:pPr>
            <w:r>
              <w:rPr>
                <w:rFonts w:ascii="Arial" w:eastAsia="宋体" w:hAnsi="Arial" w:cs="Arial"/>
                <w:color w:val="000000"/>
                <w:sz w:val="18"/>
                <w:szCs w:val="18"/>
              </w:rPr>
              <w:t>664 </w:t>
            </w:r>
          </w:p>
        </w:tc>
        <w:tc>
          <w:tcPr>
            <w:tcW w:w="0" w:type="auto"/>
            <w:shd w:val="clear" w:color="auto" w:fill="FFFFFF"/>
            <w:tcMar>
              <w:top w:w="40" w:type="dxa"/>
              <w:left w:w="0" w:type="dxa"/>
              <w:bottom w:w="40" w:type="dxa"/>
              <w:right w:w="20" w:type="dxa"/>
            </w:tcMar>
            <w:vAlign w:val="bottom"/>
          </w:tcPr>
          <w:p w14:paraId="22CFD88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86"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88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888" w14:textId="77777777" w:rsidR="002661BA" w:rsidRDefault="00D972BC">
            <w:pPr>
              <w:jc w:val="right"/>
              <w:textAlignment w:val="bottom"/>
            </w:pPr>
            <w:r>
              <w:rPr>
                <w:rFonts w:ascii="Arial" w:eastAsia="宋体" w:hAnsi="Arial" w:cs="Arial"/>
                <w:color w:val="000000"/>
                <w:sz w:val="18"/>
                <w:szCs w:val="18"/>
              </w:rPr>
              <w:t>845 </w:t>
            </w:r>
          </w:p>
        </w:tc>
        <w:tc>
          <w:tcPr>
            <w:tcW w:w="0" w:type="auto"/>
            <w:shd w:val="clear" w:color="auto" w:fill="FFFFFF"/>
            <w:tcMar>
              <w:top w:w="40" w:type="dxa"/>
              <w:left w:w="0" w:type="dxa"/>
              <w:bottom w:w="40" w:type="dxa"/>
              <w:right w:w="20" w:type="dxa"/>
            </w:tcMar>
            <w:vAlign w:val="bottom"/>
          </w:tcPr>
          <w:p w14:paraId="22CFD889" w14:textId="77777777" w:rsidR="002661BA" w:rsidRDefault="002661BA">
            <w:pPr>
              <w:jc w:val="right"/>
              <w:rPr>
                <w:rFonts w:ascii="宋体"/>
              </w:rPr>
            </w:pPr>
          </w:p>
        </w:tc>
      </w:tr>
      <w:tr w:rsidR="002661BA" w14:paraId="22CFD893" w14:textId="77777777">
        <w:tc>
          <w:tcPr>
            <w:tcW w:w="0" w:type="auto"/>
            <w:gridSpan w:val="3"/>
            <w:shd w:val="clear" w:color="auto" w:fill="E2E2E2"/>
            <w:tcMar>
              <w:top w:w="40" w:type="dxa"/>
              <w:left w:w="20" w:type="dxa"/>
              <w:bottom w:w="40" w:type="dxa"/>
              <w:right w:w="20" w:type="dxa"/>
            </w:tcMar>
            <w:vAlign w:val="bottom"/>
          </w:tcPr>
          <w:p w14:paraId="22CFD88B" w14:textId="77777777" w:rsidR="002661BA" w:rsidRDefault="00D972BC">
            <w:pPr>
              <w:textAlignment w:val="bottom"/>
            </w:pPr>
            <w:r>
              <w:rPr>
                <w:rFonts w:ascii="Arial" w:eastAsia="宋体" w:hAnsi="Arial" w:cs="Arial"/>
                <w:color w:val="000000"/>
                <w:sz w:val="18"/>
                <w:szCs w:val="18"/>
              </w:rPr>
              <w:t>Income per share - basi</w:t>
            </w:r>
            <w:r>
              <w:rPr>
                <w:rFonts w:ascii="Arial" w:eastAsia="宋体" w:hAnsi="Arial" w:cs="Arial"/>
                <w:color w:val="000000"/>
                <w:sz w:val="18"/>
                <w:szCs w:val="18"/>
              </w:rPr>
              <w:t>c:</w:t>
            </w:r>
          </w:p>
        </w:tc>
        <w:tc>
          <w:tcPr>
            <w:tcW w:w="0" w:type="auto"/>
            <w:gridSpan w:val="3"/>
            <w:shd w:val="clear" w:color="auto" w:fill="E2E2E2"/>
            <w:tcMar>
              <w:top w:w="0" w:type="dxa"/>
              <w:left w:w="20" w:type="dxa"/>
              <w:bottom w:w="0" w:type="dxa"/>
              <w:right w:w="20" w:type="dxa"/>
            </w:tcMar>
            <w:vAlign w:val="bottom"/>
          </w:tcPr>
          <w:p w14:paraId="22CFD88C"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88D"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88E"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88F"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890"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891"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892" w14:textId="77777777" w:rsidR="002661BA" w:rsidRDefault="002661BA">
            <w:pPr>
              <w:rPr>
                <w:rFonts w:ascii="宋体"/>
              </w:rPr>
            </w:pPr>
          </w:p>
        </w:tc>
      </w:tr>
      <w:tr w:rsidR="002661BA" w14:paraId="22CFD8A4" w14:textId="77777777">
        <w:tc>
          <w:tcPr>
            <w:tcW w:w="0" w:type="auto"/>
            <w:gridSpan w:val="3"/>
            <w:shd w:val="clear" w:color="auto" w:fill="FFFFFF"/>
            <w:tcMar>
              <w:top w:w="40" w:type="dxa"/>
              <w:left w:w="380" w:type="dxa"/>
              <w:bottom w:w="40" w:type="dxa"/>
              <w:right w:w="20" w:type="dxa"/>
            </w:tcMar>
            <w:vAlign w:val="bottom"/>
          </w:tcPr>
          <w:p w14:paraId="22CFD894" w14:textId="77777777" w:rsidR="002661BA" w:rsidRDefault="00D972BC">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right w:w="0" w:type="dxa"/>
            </w:tcMar>
            <w:vAlign w:val="bottom"/>
          </w:tcPr>
          <w:p w14:paraId="22CFD895"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896" w14:textId="77777777" w:rsidR="002661BA" w:rsidRDefault="00D972BC">
            <w:pPr>
              <w:jc w:val="right"/>
              <w:textAlignment w:val="bottom"/>
            </w:pPr>
            <w:r>
              <w:rPr>
                <w:rFonts w:ascii="Arial" w:eastAsia="宋体" w:hAnsi="Arial" w:cs="Arial"/>
                <w:color w:val="000000"/>
                <w:sz w:val="18"/>
                <w:szCs w:val="18"/>
              </w:rPr>
              <w:t>0.56 </w:t>
            </w:r>
          </w:p>
        </w:tc>
        <w:tc>
          <w:tcPr>
            <w:tcW w:w="0" w:type="auto"/>
            <w:shd w:val="clear" w:color="auto" w:fill="FFFFFF"/>
            <w:tcMar>
              <w:top w:w="40" w:type="dxa"/>
              <w:left w:w="0" w:type="dxa"/>
              <w:bottom w:w="40" w:type="dxa"/>
              <w:right w:w="20" w:type="dxa"/>
            </w:tcMar>
            <w:vAlign w:val="bottom"/>
          </w:tcPr>
          <w:p w14:paraId="22CFD89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98"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89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89A" w14:textId="77777777" w:rsidR="002661BA" w:rsidRDefault="00D972BC">
            <w:pPr>
              <w:jc w:val="right"/>
              <w:textAlignment w:val="bottom"/>
            </w:pPr>
            <w:r>
              <w:rPr>
                <w:rFonts w:ascii="Arial" w:eastAsia="宋体" w:hAnsi="Arial" w:cs="Arial"/>
                <w:color w:val="000000"/>
                <w:sz w:val="18"/>
                <w:szCs w:val="18"/>
              </w:rPr>
              <w:t>0.98 </w:t>
            </w:r>
          </w:p>
        </w:tc>
        <w:tc>
          <w:tcPr>
            <w:tcW w:w="0" w:type="auto"/>
            <w:shd w:val="clear" w:color="auto" w:fill="FFFFFF"/>
            <w:tcMar>
              <w:top w:w="40" w:type="dxa"/>
              <w:left w:w="0" w:type="dxa"/>
              <w:bottom w:w="40" w:type="dxa"/>
              <w:right w:w="20" w:type="dxa"/>
            </w:tcMar>
            <w:vAlign w:val="bottom"/>
          </w:tcPr>
          <w:p w14:paraId="22CFD89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9C"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89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89E" w14:textId="77777777" w:rsidR="002661BA" w:rsidRDefault="00D972BC">
            <w:pPr>
              <w:jc w:val="right"/>
              <w:textAlignment w:val="bottom"/>
            </w:pPr>
            <w:r>
              <w:rPr>
                <w:rFonts w:ascii="Arial" w:eastAsia="宋体" w:hAnsi="Arial" w:cs="Arial"/>
                <w:color w:val="000000"/>
                <w:sz w:val="18"/>
                <w:szCs w:val="18"/>
              </w:rPr>
              <w:t>0.87 </w:t>
            </w:r>
          </w:p>
        </w:tc>
        <w:tc>
          <w:tcPr>
            <w:tcW w:w="0" w:type="auto"/>
            <w:shd w:val="clear" w:color="auto" w:fill="FFFFFF"/>
            <w:tcMar>
              <w:top w:w="40" w:type="dxa"/>
              <w:left w:w="0" w:type="dxa"/>
              <w:bottom w:w="40" w:type="dxa"/>
              <w:right w:w="20" w:type="dxa"/>
            </w:tcMar>
            <w:vAlign w:val="bottom"/>
          </w:tcPr>
          <w:p w14:paraId="22CFD89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A0"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8A1"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8A2" w14:textId="77777777" w:rsidR="002661BA" w:rsidRDefault="00D972BC">
            <w:pPr>
              <w:jc w:val="right"/>
              <w:textAlignment w:val="bottom"/>
            </w:pPr>
            <w:r>
              <w:rPr>
                <w:rFonts w:ascii="Arial" w:eastAsia="宋体" w:hAnsi="Arial" w:cs="Arial"/>
                <w:color w:val="000000"/>
                <w:sz w:val="18"/>
                <w:szCs w:val="18"/>
              </w:rPr>
              <w:t>1.12 </w:t>
            </w:r>
          </w:p>
        </w:tc>
        <w:tc>
          <w:tcPr>
            <w:tcW w:w="0" w:type="auto"/>
            <w:shd w:val="clear" w:color="auto" w:fill="FFFFFF"/>
            <w:tcMar>
              <w:top w:w="40" w:type="dxa"/>
              <w:left w:w="0" w:type="dxa"/>
              <w:bottom w:w="40" w:type="dxa"/>
              <w:right w:w="20" w:type="dxa"/>
            </w:tcMar>
            <w:vAlign w:val="bottom"/>
          </w:tcPr>
          <w:p w14:paraId="22CFD8A3" w14:textId="77777777" w:rsidR="002661BA" w:rsidRDefault="002661BA">
            <w:pPr>
              <w:jc w:val="right"/>
              <w:rPr>
                <w:rFonts w:ascii="宋体"/>
              </w:rPr>
            </w:pPr>
          </w:p>
        </w:tc>
      </w:tr>
      <w:tr w:rsidR="002661BA" w14:paraId="22CFD8B1" w14:textId="77777777">
        <w:tc>
          <w:tcPr>
            <w:tcW w:w="0" w:type="auto"/>
            <w:gridSpan w:val="3"/>
            <w:shd w:val="clear" w:color="auto" w:fill="E2E2E2"/>
            <w:tcMar>
              <w:top w:w="40" w:type="dxa"/>
              <w:left w:w="380" w:type="dxa"/>
              <w:bottom w:w="40" w:type="dxa"/>
              <w:right w:w="20" w:type="dxa"/>
            </w:tcMar>
            <w:vAlign w:val="bottom"/>
          </w:tcPr>
          <w:p w14:paraId="22CFD8A5" w14:textId="77777777" w:rsidR="002661BA" w:rsidRDefault="00D972BC">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22CFD8A6" w14:textId="77777777" w:rsidR="002661BA" w:rsidRDefault="00D972BC">
            <w:pPr>
              <w:jc w:val="right"/>
              <w:textAlignment w:val="bottom"/>
            </w:pPr>
            <w:r>
              <w:rPr>
                <w:rFonts w:ascii="Arial" w:eastAsia="宋体" w:hAnsi="Arial" w:cs="Arial"/>
                <w:color w:val="000000"/>
                <w:sz w:val="18"/>
                <w:szCs w:val="18"/>
              </w:rPr>
              <w:t>3.97 </w:t>
            </w:r>
          </w:p>
        </w:tc>
        <w:tc>
          <w:tcPr>
            <w:tcW w:w="0" w:type="auto"/>
            <w:shd w:val="clear" w:color="auto" w:fill="E2E2E2"/>
            <w:tcMar>
              <w:top w:w="40" w:type="dxa"/>
              <w:left w:w="0" w:type="dxa"/>
              <w:bottom w:w="40" w:type="dxa"/>
              <w:right w:w="20" w:type="dxa"/>
            </w:tcMar>
            <w:vAlign w:val="bottom"/>
          </w:tcPr>
          <w:p w14:paraId="22CFD8A7"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8A8"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8A9" w14:textId="77777777" w:rsidR="002661BA" w:rsidRDefault="00D972BC">
            <w:pPr>
              <w:jc w:val="right"/>
              <w:textAlignment w:val="bottom"/>
            </w:pPr>
            <w:r>
              <w:rPr>
                <w:rFonts w:ascii="Arial" w:eastAsia="宋体" w:hAnsi="Arial" w:cs="Arial"/>
                <w:color w:val="000000"/>
                <w:sz w:val="18"/>
                <w:szCs w:val="18"/>
              </w:rPr>
              <w:t>0.08 </w:t>
            </w:r>
          </w:p>
        </w:tc>
        <w:tc>
          <w:tcPr>
            <w:tcW w:w="0" w:type="auto"/>
            <w:shd w:val="clear" w:color="auto" w:fill="E2E2E2"/>
            <w:tcMar>
              <w:top w:w="40" w:type="dxa"/>
              <w:left w:w="0" w:type="dxa"/>
              <w:bottom w:w="40" w:type="dxa"/>
              <w:right w:w="20" w:type="dxa"/>
            </w:tcMar>
            <w:vAlign w:val="bottom"/>
          </w:tcPr>
          <w:p w14:paraId="22CFD8AA"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8AB"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8AC" w14:textId="77777777" w:rsidR="002661BA" w:rsidRDefault="00D972BC">
            <w:pPr>
              <w:jc w:val="right"/>
              <w:textAlignment w:val="bottom"/>
            </w:pPr>
            <w:r>
              <w:rPr>
                <w:rFonts w:ascii="Arial" w:eastAsia="宋体" w:hAnsi="Arial" w:cs="Arial"/>
                <w:color w:val="000000"/>
                <w:sz w:val="18"/>
                <w:szCs w:val="18"/>
              </w:rPr>
              <w:t>0.08 </w:t>
            </w:r>
          </w:p>
        </w:tc>
        <w:tc>
          <w:tcPr>
            <w:tcW w:w="0" w:type="auto"/>
            <w:shd w:val="clear" w:color="auto" w:fill="E2E2E2"/>
            <w:tcMar>
              <w:top w:w="40" w:type="dxa"/>
              <w:left w:w="0" w:type="dxa"/>
              <w:bottom w:w="40" w:type="dxa"/>
              <w:right w:w="20" w:type="dxa"/>
            </w:tcMar>
            <w:vAlign w:val="bottom"/>
          </w:tcPr>
          <w:p w14:paraId="22CFD8AD"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8AE"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8AF" w14:textId="77777777" w:rsidR="002661BA" w:rsidRDefault="00D972BC">
            <w:pPr>
              <w:jc w:val="right"/>
              <w:textAlignment w:val="bottom"/>
            </w:pPr>
            <w:r>
              <w:rPr>
                <w:rFonts w:ascii="Arial" w:eastAsia="宋体" w:hAnsi="Arial" w:cs="Arial"/>
                <w:color w:val="000000"/>
                <w:sz w:val="18"/>
                <w:szCs w:val="18"/>
              </w:rPr>
              <w:t>0.11 </w:t>
            </w:r>
          </w:p>
        </w:tc>
        <w:tc>
          <w:tcPr>
            <w:tcW w:w="0" w:type="auto"/>
            <w:shd w:val="clear" w:color="auto" w:fill="E2E2E2"/>
            <w:tcMar>
              <w:top w:w="40" w:type="dxa"/>
              <w:left w:w="0" w:type="dxa"/>
              <w:bottom w:w="40" w:type="dxa"/>
              <w:right w:w="20" w:type="dxa"/>
            </w:tcMar>
            <w:vAlign w:val="bottom"/>
          </w:tcPr>
          <w:p w14:paraId="22CFD8B0" w14:textId="77777777" w:rsidR="002661BA" w:rsidRDefault="002661BA">
            <w:pPr>
              <w:jc w:val="right"/>
              <w:rPr>
                <w:rFonts w:ascii="宋体"/>
              </w:rPr>
            </w:pPr>
          </w:p>
        </w:tc>
      </w:tr>
      <w:tr w:rsidR="002661BA" w14:paraId="22CFD8C2" w14:textId="77777777">
        <w:tc>
          <w:tcPr>
            <w:tcW w:w="0" w:type="auto"/>
            <w:gridSpan w:val="3"/>
            <w:shd w:val="clear" w:color="auto" w:fill="FFFFFF"/>
            <w:tcMar>
              <w:top w:w="40" w:type="dxa"/>
              <w:left w:w="20" w:type="dxa"/>
              <w:bottom w:w="40" w:type="dxa"/>
              <w:right w:w="20" w:type="dxa"/>
            </w:tcMar>
            <w:vAlign w:val="bottom"/>
          </w:tcPr>
          <w:p w14:paraId="22CFD8B2" w14:textId="77777777" w:rsidR="002661BA" w:rsidRDefault="00D972BC">
            <w:pPr>
              <w:textAlignment w:val="bottom"/>
            </w:pPr>
            <w:r>
              <w:rPr>
                <w:rFonts w:ascii="Arial" w:eastAsia="宋体" w:hAnsi="Arial" w:cs="Arial"/>
                <w:color w:val="000000"/>
                <w:sz w:val="18"/>
                <w:szCs w:val="18"/>
              </w:rPr>
              <w:t>Net income (loss) per share - basic</w:t>
            </w:r>
          </w:p>
        </w:tc>
        <w:tc>
          <w:tcPr>
            <w:tcW w:w="0" w:type="auto"/>
            <w:tcBorders>
              <w:top w:val="single" w:sz="8" w:space="0" w:color="000000"/>
            </w:tcBorders>
            <w:shd w:val="clear" w:color="auto" w:fill="FFFFFF"/>
            <w:tcMar>
              <w:top w:w="40" w:type="dxa"/>
              <w:left w:w="20" w:type="dxa"/>
              <w:bottom w:w="40" w:type="dxa"/>
              <w:right w:w="0" w:type="dxa"/>
            </w:tcMar>
            <w:vAlign w:val="bottom"/>
          </w:tcPr>
          <w:p w14:paraId="22CFD8B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D8B4" w14:textId="77777777" w:rsidR="002661BA" w:rsidRDefault="00D972BC">
            <w:pPr>
              <w:jc w:val="right"/>
              <w:textAlignment w:val="bottom"/>
            </w:pPr>
            <w:r>
              <w:rPr>
                <w:rFonts w:ascii="Arial" w:eastAsia="宋体" w:hAnsi="Arial" w:cs="Arial"/>
                <w:color w:val="000000"/>
                <w:sz w:val="18"/>
                <w:szCs w:val="18"/>
              </w:rPr>
              <w:t>4.53 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8B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B6"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D8B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D8B8" w14:textId="77777777" w:rsidR="002661BA" w:rsidRDefault="00D972BC">
            <w:pPr>
              <w:jc w:val="right"/>
              <w:textAlignment w:val="bottom"/>
            </w:pPr>
            <w:r>
              <w:rPr>
                <w:rFonts w:ascii="Arial" w:eastAsia="宋体" w:hAnsi="Arial" w:cs="Arial"/>
                <w:color w:val="000000"/>
                <w:sz w:val="18"/>
                <w:szCs w:val="18"/>
              </w:rPr>
              <w:t>1.06 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8B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BA"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D8BB"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D8BC" w14:textId="77777777" w:rsidR="002661BA" w:rsidRDefault="00D972BC">
            <w:pPr>
              <w:jc w:val="right"/>
              <w:textAlignment w:val="bottom"/>
            </w:pPr>
            <w:r>
              <w:rPr>
                <w:rFonts w:ascii="Arial" w:eastAsia="宋体" w:hAnsi="Arial" w:cs="Arial"/>
                <w:color w:val="000000"/>
                <w:sz w:val="18"/>
                <w:szCs w:val="18"/>
              </w:rPr>
              <w:t>0.95 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8B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BE"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D8B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D8C0" w14:textId="77777777" w:rsidR="002661BA" w:rsidRDefault="00D972BC">
            <w:pPr>
              <w:jc w:val="right"/>
              <w:textAlignment w:val="bottom"/>
            </w:pPr>
            <w:r>
              <w:rPr>
                <w:rFonts w:ascii="Arial" w:eastAsia="宋体" w:hAnsi="Arial" w:cs="Arial"/>
                <w:color w:val="000000"/>
                <w:sz w:val="18"/>
                <w:szCs w:val="18"/>
              </w:rPr>
              <w:t>1.23 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8C1" w14:textId="77777777" w:rsidR="002661BA" w:rsidRDefault="002661BA">
            <w:pPr>
              <w:jc w:val="right"/>
              <w:rPr>
                <w:rFonts w:ascii="宋体"/>
              </w:rPr>
            </w:pPr>
          </w:p>
        </w:tc>
      </w:tr>
      <w:tr w:rsidR="002661BA" w14:paraId="22CFD8CB" w14:textId="77777777">
        <w:tc>
          <w:tcPr>
            <w:tcW w:w="0" w:type="auto"/>
            <w:gridSpan w:val="3"/>
            <w:shd w:val="clear" w:color="auto" w:fill="E2E2E2"/>
            <w:tcMar>
              <w:top w:w="40" w:type="dxa"/>
              <w:left w:w="20" w:type="dxa"/>
              <w:bottom w:w="40" w:type="dxa"/>
              <w:right w:w="20" w:type="dxa"/>
            </w:tcMar>
            <w:vAlign w:val="bottom"/>
          </w:tcPr>
          <w:p w14:paraId="22CFD8C3" w14:textId="77777777" w:rsidR="002661BA" w:rsidRDefault="00D972BC">
            <w:pPr>
              <w:textAlignment w:val="bottom"/>
            </w:pPr>
            <w:r>
              <w:rPr>
                <w:rFonts w:ascii="Arial" w:eastAsia="宋体" w:hAnsi="Arial" w:cs="Arial"/>
                <w:color w:val="000000"/>
                <w:sz w:val="18"/>
                <w:szCs w:val="18"/>
              </w:rPr>
              <w:t xml:space="preserve">Income (loss) per share - </w:t>
            </w:r>
            <w:r>
              <w:rPr>
                <w:rFonts w:ascii="Arial" w:eastAsia="宋体" w:hAnsi="Arial" w:cs="Arial"/>
                <w:color w:val="000000"/>
                <w:sz w:val="18"/>
                <w:szCs w:val="18"/>
              </w:rPr>
              <w:t>diluted:</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D8C4"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8C5" w14:textId="77777777" w:rsidR="002661BA" w:rsidRDefault="002661B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D8C6"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8C7" w14:textId="77777777" w:rsidR="002661BA" w:rsidRDefault="002661B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D8C8"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8C9" w14:textId="77777777" w:rsidR="002661BA" w:rsidRDefault="002661B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D8CA" w14:textId="77777777" w:rsidR="002661BA" w:rsidRDefault="002661BA">
            <w:pPr>
              <w:rPr>
                <w:rFonts w:ascii="宋体"/>
              </w:rPr>
            </w:pPr>
          </w:p>
        </w:tc>
      </w:tr>
      <w:tr w:rsidR="002661BA" w14:paraId="22CFD8DC" w14:textId="77777777">
        <w:tc>
          <w:tcPr>
            <w:tcW w:w="0" w:type="auto"/>
            <w:gridSpan w:val="3"/>
            <w:shd w:val="clear" w:color="auto" w:fill="FFFFFF"/>
            <w:tcMar>
              <w:top w:w="40" w:type="dxa"/>
              <w:left w:w="380" w:type="dxa"/>
              <w:bottom w:w="40" w:type="dxa"/>
              <w:right w:w="20" w:type="dxa"/>
            </w:tcMar>
            <w:vAlign w:val="bottom"/>
          </w:tcPr>
          <w:p w14:paraId="22CFD8CC" w14:textId="77777777" w:rsidR="002661BA" w:rsidRDefault="00D972BC">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right w:w="0" w:type="dxa"/>
            </w:tcMar>
            <w:vAlign w:val="bottom"/>
          </w:tcPr>
          <w:p w14:paraId="22CFD8C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8CE" w14:textId="77777777" w:rsidR="002661BA" w:rsidRDefault="00D972BC">
            <w:pPr>
              <w:jc w:val="right"/>
              <w:textAlignment w:val="bottom"/>
            </w:pPr>
            <w:r>
              <w:rPr>
                <w:rFonts w:ascii="Arial" w:eastAsia="宋体" w:hAnsi="Arial" w:cs="Arial"/>
                <w:color w:val="000000"/>
                <w:sz w:val="18"/>
                <w:szCs w:val="18"/>
              </w:rPr>
              <w:t>0.56 </w:t>
            </w:r>
          </w:p>
        </w:tc>
        <w:tc>
          <w:tcPr>
            <w:tcW w:w="0" w:type="auto"/>
            <w:shd w:val="clear" w:color="auto" w:fill="FFFFFF"/>
            <w:tcMar>
              <w:top w:w="40" w:type="dxa"/>
              <w:left w:w="0" w:type="dxa"/>
              <w:bottom w:w="40" w:type="dxa"/>
              <w:right w:w="20" w:type="dxa"/>
            </w:tcMar>
            <w:vAlign w:val="bottom"/>
          </w:tcPr>
          <w:p w14:paraId="22CFD8C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D0"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8D1"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8D2" w14:textId="77777777" w:rsidR="002661BA" w:rsidRDefault="00D972BC">
            <w:pPr>
              <w:jc w:val="right"/>
              <w:textAlignment w:val="bottom"/>
            </w:pPr>
            <w:r>
              <w:rPr>
                <w:rFonts w:ascii="Arial" w:eastAsia="宋体" w:hAnsi="Arial" w:cs="Arial"/>
                <w:color w:val="000000"/>
                <w:sz w:val="18"/>
                <w:szCs w:val="18"/>
              </w:rPr>
              <w:t>0.97 </w:t>
            </w:r>
          </w:p>
        </w:tc>
        <w:tc>
          <w:tcPr>
            <w:tcW w:w="0" w:type="auto"/>
            <w:shd w:val="clear" w:color="auto" w:fill="FFFFFF"/>
            <w:tcMar>
              <w:top w:w="40" w:type="dxa"/>
              <w:left w:w="0" w:type="dxa"/>
              <w:bottom w:w="40" w:type="dxa"/>
              <w:right w:w="20" w:type="dxa"/>
            </w:tcMar>
            <w:vAlign w:val="bottom"/>
          </w:tcPr>
          <w:p w14:paraId="22CFD8D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D4"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8D5"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8D6" w14:textId="77777777" w:rsidR="002661BA" w:rsidRDefault="00D972BC">
            <w:pPr>
              <w:jc w:val="right"/>
              <w:textAlignment w:val="bottom"/>
            </w:pPr>
            <w:r>
              <w:rPr>
                <w:rFonts w:ascii="Arial" w:eastAsia="宋体" w:hAnsi="Arial" w:cs="Arial"/>
                <w:color w:val="000000"/>
                <w:sz w:val="18"/>
                <w:szCs w:val="18"/>
              </w:rPr>
              <w:t>0.86 </w:t>
            </w:r>
          </w:p>
        </w:tc>
        <w:tc>
          <w:tcPr>
            <w:tcW w:w="0" w:type="auto"/>
            <w:shd w:val="clear" w:color="auto" w:fill="FFFFFF"/>
            <w:tcMar>
              <w:top w:w="40" w:type="dxa"/>
              <w:left w:w="0" w:type="dxa"/>
              <w:bottom w:w="40" w:type="dxa"/>
              <w:right w:w="20" w:type="dxa"/>
            </w:tcMar>
            <w:vAlign w:val="bottom"/>
          </w:tcPr>
          <w:p w14:paraId="22CFD8D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D8"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8D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8DA" w14:textId="77777777" w:rsidR="002661BA" w:rsidRDefault="00D972BC">
            <w:pPr>
              <w:jc w:val="right"/>
              <w:textAlignment w:val="bottom"/>
            </w:pPr>
            <w:r>
              <w:rPr>
                <w:rFonts w:ascii="Arial" w:eastAsia="宋体" w:hAnsi="Arial" w:cs="Arial"/>
                <w:color w:val="000000"/>
                <w:sz w:val="18"/>
                <w:szCs w:val="18"/>
              </w:rPr>
              <w:t>1.11 </w:t>
            </w:r>
          </w:p>
        </w:tc>
        <w:tc>
          <w:tcPr>
            <w:tcW w:w="0" w:type="auto"/>
            <w:shd w:val="clear" w:color="auto" w:fill="FFFFFF"/>
            <w:tcMar>
              <w:top w:w="40" w:type="dxa"/>
              <w:left w:w="0" w:type="dxa"/>
              <w:bottom w:w="40" w:type="dxa"/>
              <w:right w:w="20" w:type="dxa"/>
            </w:tcMar>
            <w:vAlign w:val="bottom"/>
          </w:tcPr>
          <w:p w14:paraId="22CFD8DB" w14:textId="77777777" w:rsidR="002661BA" w:rsidRDefault="002661BA">
            <w:pPr>
              <w:jc w:val="right"/>
              <w:rPr>
                <w:rFonts w:ascii="宋体"/>
              </w:rPr>
            </w:pPr>
          </w:p>
        </w:tc>
      </w:tr>
      <w:tr w:rsidR="002661BA" w14:paraId="22CFD8E9" w14:textId="77777777">
        <w:tc>
          <w:tcPr>
            <w:tcW w:w="0" w:type="auto"/>
            <w:gridSpan w:val="3"/>
            <w:shd w:val="clear" w:color="auto" w:fill="E2E2E2"/>
            <w:tcMar>
              <w:top w:w="40" w:type="dxa"/>
              <w:left w:w="380" w:type="dxa"/>
              <w:bottom w:w="40" w:type="dxa"/>
              <w:right w:w="20" w:type="dxa"/>
            </w:tcMar>
            <w:vAlign w:val="bottom"/>
          </w:tcPr>
          <w:p w14:paraId="22CFD8DD" w14:textId="77777777" w:rsidR="002661BA" w:rsidRDefault="00D972BC">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22CFD8DE" w14:textId="77777777" w:rsidR="002661BA" w:rsidRDefault="00D972BC">
            <w:pPr>
              <w:jc w:val="right"/>
              <w:textAlignment w:val="bottom"/>
            </w:pPr>
            <w:r>
              <w:rPr>
                <w:rFonts w:ascii="Arial" w:eastAsia="宋体" w:hAnsi="Arial" w:cs="Arial"/>
                <w:color w:val="000000"/>
                <w:sz w:val="18"/>
                <w:szCs w:val="18"/>
              </w:rPr>
              <w:t>3.95 </w:t>
            </w:r>
          </w:p>
        </w:tc>
        <w:tc>
          <w:tcPr>
            <w:tcW w:w="0" w:type="auto"/>
            <w:shd w:val="clear" w:color="auto" w:fill="E2E2E2"/>
            <w:tcMar>
              <w:top w:w="40" w:type="dxa"/>
              <w:left w:w="0" w:type="dxa"/>
              <w:bottom w:w="40" w:type="dxa"/>
              <w:right w:w="20" w:type="dxa"/>
            </w:tcMar>
            <w:vAlign w:val="bottom"/>
          </w:tcPr>
          <w:p w14:paraId="22CFD8DF"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8E0"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8E1" w14:textId="77777777" w:rsidR="002661BA" w:rsidRDefault="00D972BC">
            <w:pPr>
              <w:jc w:val="right"/>
              <w:textAlignment w:val="bottom"/>
            </w:pPr>
            <w:r>
              <w:rPr>
                <w:rFonts w:ascii="Arial" w:eastAsia="宋体" w:hAnsi="Arial" w:cs="Arial"/>
                <w:color w:val="000000"/>
                <w:sz w:val="18"/>
                <w:szCs w:val="18"/>
              </w:rPr>
              <w:t>0.08 </w:t>
            </w:r>
          </w:p>
        </w:tc>
        <w:tc>
          <w:tcPr>
            <w:tcW w:w="0" w:type="auto"/>
            <w:shd w:val="clear" w:color="auto" w:fill="E2E2E2"/>
            <w:tcMar>
              <w:top w:w="40" w:type="dxa"/>
              <w:left w:w="0" w:type="dxa"/>
              <w:bottom w:w="40" w:type="dxa"/>
              <w:right w:w="20" w:type="dxa"/>
            </w:tcMar>
            <w:vAlign w:val="bottom"/>
          </w:tcPr>
          <w:p w14:paraId="22CFD8E2"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8E3"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8E4" w14:textId="77777777" w:rsidR="002661BA" w:rsidRDefault="00D972BC">
            <w:pPr>
              <w:jc w:val="right"/>
              <w:textAlignment w:val="bottom"/>
            </w:pPr>
            <w:r>
              <w:rPr>
                <w:rFonts w:ascii="Arial" w:eastAsia="宋体" w:hAnsi="Arial" w:cs="Arial"/>
                <w:color w:val="000000"/>
                <w:sz w:val="18"/>
                <w:szCs w:val="18"/>
              </w:rPr>
              <w:t>0.08 </w:t>
            </w:r>
          </w:p>
        </w:tc>
        <w:tc>
          <w:tcPr>
            <w:tcW w:w="0" w:type="auto"/>
            <w:shd w:val="clear" w:color="auto" w:fill="E2E2E2"/>
            <w:tcMar>
              <w:top w:w="40" w:type="dxa"/>
              <w:left w:w="0" w:type="dxa"/>
              <w:bottom w:w="40" w:type="dxa"/>
              <w:right w:w="20" w:type="dxa"/>
            </w:tcMar>
            <w:vAlign w:val="bottom"/>
          </w:tcPr>
          <w:p w14:paraId="22CFD8E5"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8E6"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8E7" w14:textId="77777777" w:rsidR="002661BA" w:rsidRDefault="00D972BC">
            <w:pPr>
              <w:jc w:val="right"/>
              <w:textAlignment w:val="bottom"/>
            </w:pPr>
            <w:r>
              <w:rPr>
                <w:rFonts w:ascii="Arial" w:eastAsia="宋体" w:hAnsi="Arial" w:cs="Arial"/>
                <w:color w:val="000000"/>
                <w:sz w:val="18"/>
                <w:szCs w:val="18"/>
              </w:rPr>
              <w:t>0.10 </w:t>
            </w:r>
          </w:p>
        </w:tc>
        <w:tc>
          <w:tcPr>
            <w:tcW w:w="0" w:type="auto"/>
            <w:shd w:val="clear" w:color="auto" w:fill="E2E2E2"/>
            <w:tcMar>
              <w:top w:w="40" w:type="dxa"/>
              <w:left w:w="0" w:type="dxa"/>
              <w:bottom w:w="40" w:type="dxa"/>
              <w:right w:w="20" w:type="dxa"/>
            </w:tcMar>
            <w:vAlign w:val="bottom"/>
          </w:tcPr>
          <w:p w14:paraId="22CFD8E8" w14:textId="77777777" w:rsidR="002661BA" w:rsidRDefault="002661BA">
            <w:pPr>
              <w:jc w:val="right"/>
              <w:rPr>
                <w:rFonts w:ascii="宋体"/>
              </w:rPr>
            </w:pPr>
          </w:p>
        </w:tc>
      </w:tr>
      <w:tr w:rsidR="002661BA" w14:paraId="22CFD8FA" w14:textId="77777777">
        <w:tc>
          <w:tcPr>
            <w:tcW w:w="0" w:type="auto"/>
            <w:gridSpan w:val="3"/>
            <w:shd w:val="clear" w:color="auto" w:fill="FFFFFF"/>
            <w:tcMar>
              <w:top w:w="40" w:type="dxa"/>
              <w:left w:w="20" w:type="dxa"/>
              <w:bottom w:w="40" w:type="dxa"/>
              <w:right w:w="20" w:type="dxa"/>
            </w:tcMar>
            <w:vAlign w:val="bottom"/>
          </w:tcPr>
          <w:p w14:paraId="22CFD8EA" w14:textId="77777777" w:rsidR="002661BA" w:rsidRDefault="00D972BC">
            <w:pPr>
              <w:textAlignment w:val="bottom"/>
            </w:pPr>
            <w:r>
              <w:rPr>
                <w:rFonts w:ascii="Arial" w:eastAsia="宋体" w:hAnsi="Arial" w:cs="Arial"/>
                <w:color w:val="000000"/>
                <w:sz w:val="18"/>
                <w:szCs w:val="18"/>
              </w:rPr>
              <w:t>Net income (loss) per share - diluted</w:t>
            </w:r>
          </w:p>
        </w:tc>
        <w:tc>
          <w:tcPr>
            <w:tcW w:w="0" w:type="auto"/>
            <w:tcBorders>
              <w:top w:val="single" w:sz="8" w:space="0" w:color="000000"/>
            </w:tcBorders>
            <w:shd w:val="clear" w:color="auto" w:fill="FFFFFF"/>
            <w:tcMar>
              <w:top w:w="40" w:type="dxa"/>
              <w:left w:w="20" w:type="dxa"/>
              <w:bottom w:w="40" w:type="dxa"/>
              <w:right w:w="0" w:type="dxa"/>
            </w:tcMar>
            <w:vAlign w:val="bottom"/>
          </w:tcPr>
          <w:p w14:paraId="22CFD8EB"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D8EC" w14:textId="77777777" w:rsidR="002661BA" w:rsidRDefault="00D972BC">
            <w:pPr>
              <w:jc w:val="right"/>
              <w:textAlignment w:val="bottom"/>
            </w:pPr>
            <w:r>
              <w:rPr>
                <w:rFonts w:ascii="Arial" w:eastAsia="宋体" w:hAnsi="Arial" w:cs="Arial"/>
                <w:color w:val="000000"/>
                <w:sz w:val="18"/>
                <w:szCs w:val="18"/>
              </w:rPr>
              <w:t>4.51 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8E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EE"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D8EF"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D8F0" w14:textId="77777777" w:rsidR="002661BA" w:rsidRDefault="00D972BC">
            <w:pPr>
              <w:jc w:val="right"/>
              <w:textAlignment w:val="bottom"/>
            </w:pPr>
            <w:r>
              <w:rPr>
                <w:rFonts w:ascii="Arial" w:eastAsia="宋体" w:hAnsi="Arial" w:cs="Arial"/>
                <w:color w:val="000000"/>
                <w:sz w:val="18"/>
                <w:szCs w:val="18"/>
              </w:rPr>
              <w:t>1.05 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8F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F2"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D8F3"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D8F4" w14:textId="77777777" w:rsidR="002661BA" w:rsidRDefault="00D972BC">
            <w:pPr>
              <w:jc w:val="right"/>
              <w:textAlignment w:val="bottom"/>
            </w:pPr>
            <w:r>
              <w:rPr>
                <w:rFonts w:ascii="Arial" w:eastAsia="宋体" w:hAnsi="Arial" w:cs="Arial"/>
                <w:color w:val="000000"/>
                <w:sz w:val="18"/>
                <w:szCs w:val="18"/>
              </w:rPr>
              <w:t>0.94 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8F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8F6" w14:textId="77777777" w:rsidR="002661BA" w:rsidRDefault="002661B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2CFD8F7" w14:textId="77777777" w:rsidR="002661BA" w:rsidRDefault="00D972BC">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2CFD8F8" w14:textId="77777777" w:rsidR="002661BA" w:rsidRDefault="00D972BC">
            <w:pPr>
              <w:jc w:val="right"/>
              <w:textAlignment w:val="bottom"/>
            </w:pPr>
            <w:r>
              <w:rPr>
                <w:rFonts w:ascii="Arial" w:eastAsia="宋体" w:hAnsi="Arial" w:cs="Arial"/>
                <w:color w:val="000000"/>
                <w:sz w:val="18"/>
                <w:szCs w:val="18"/>
              </w:rPr>
              <w:t>1.21 </w:t>
            </w:r>
          </w:p>
        </w:tc>
        <w:tc>
          <w:tcPr>
            <w:tcW w:w="0" w:type="auto"/>
            <w:tcBorders>
              <w:top w:val="single" w:sz="8" w:space="0" w:color="000000"/>
            </w:tcBorders>
            <w:shd w:val="clear" w:color="auto" w:fill="FFFFFF"/>
            <w:tcMar>
              <w:top w:w="40" w:type="dxa"/>
              <w:left w:w="0" w:type="dxa"/>
              <w:bottom w:w="40" w:type="dxa"/>
              <w:right w:w="20" w:type="dxa"/>
            </w:tcMar>
            <w:vAlign w:val="bottom"/>
          </w:tcPr>
          <w:p w14:paraId="22CFD8F9" w14:textId="77777777" w:rsidR="002661BA" w:rsidRDefault="002661BA">
            <w:pPr>
              <w:jc w:val="right"/>
              <w:rPr>
                <w:rFonts w:ascii="宋体"/>
              </w:rPr>
            </w:pPr>
          </w:p>
        </w:tc>
      </w:tr>
      <w:tr w:rsidR="002661BA" w14:paraId="22CFD903" w14:textId="77777777">
        <w:tc>
          <w:tcPr>
            <w:tcW w:w="0" w:type="auto"/>
            <w:gridSpan w:val="3"/>
            <w:shd w:val="clear" w:color="auto" w:fill="E2E2E2"/>
            <w:tcMar>
              <w:top w:w="40" w:type="dxa"/>
              <w:left w:w="20" w:type="dxa"/>
              <w:bottom w:w="40" w:type="dxa"/>
              <w:right w:w="20" w:type="dxa"/>
            </w:tcMar>
            <w:vAlign w:val="bottom"/>
          </w:tcPr>
          <w:p w14:paraId="22CFD8FB" w14:textId="77777777" w:rsidR="002661BA" w:rsidRDefault="00D972BC">
            <w:pPr>
              <w:textAlignment w:val="bottom"/>
            </w:pPr>
            <w:r>
              <w:rPr>
                <w:rFonts w:ascii="Arial" w:eastAsia="宋体" w:hAnsi="Arial" w:cs="Arial"/>
                <w:color w:val="000000"/>
                <w:sz w:val="18"/>
                <w:szCs w:val="18"/>
              </w:rPr>
              <w:t>Weighted-average shares:</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D8FC"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8FD" w14:textId="77777777" w:rsidR="002661BA" w:rsidRDefault="002661B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D8FE"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8FF" w14:textId="77777777" w:rsidR="002661BA" w:rsidRDefault="002661B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D900" w14:textId="77777777" w:rsidR="002661BA" w:rsidRDefault="002661BA">
            <w:pPr>
              <w:rPr>
                <w:rFonts w:ascii="宋体"/>
              </w:rPr>
            </w:pPr>
          </w:p>
        </w:tc>
        <w:tc>
          <w:tcPr>
            <w:tcW w:w="0" w:type="auto"/>
            <w:gridSpan w:val="3"/>
            <w:shd w:val="clear" w:color="auto" w:fill="E2E2E2"/>
            <w:tcMar>
              <w:top w:w="0" w:type="dxa"/>
              <w:left w:w="20" w:type="dxa"/>
              <w:bottom w:w="0" w:type="dxa"/>
              <w:right w:w="20" w:type="dxa"/>
            </w:tcMar>
            <w:vAlign w:val="bottom"/>
          </w:tcPr>
          <w:p w14:paraId="22CFD901" w14:textId="77777777" w:rsidR="002661BA" w:rsidRDefault="002661B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22CFD902" w14:textId="77777777" w:rsidR="002661BA" w:rsidRDefault="002661BA">
            <w:pPr>
              <w:rPr>
                <w:rFonts w:ascii="宋体"/>
              </w:rPr>
            </w:pPr>
          </w:p>
        </w:tc>
      </w:tr>
      <w:tr w:rsidR="002661BA" w14:paraId="22CFD910" w14:textId="77777777">
        <w:tc>
          <w:tcPr>
            <w:tcW w:w="0" w:type="auto"/>
            <w:gridSpan w:val="3"/>
            <w:shd w:val="clear" w:color="auto" w:fill="FFFFFF"/>
            <w:tcMar>
              <w:top w:w="40" w:type="dxa"/>
              <w:left w:w="515" w:type="dxa"/>
              <w:bottom w:w="40" w:type="dxa"/>
              <w:right w:w="20" w:type="dxa"/>
            </w:tcMar>
            <w:vAlign w:val="bottom"/>
          </w:tcPr>
          <w:p w14:paraId="22CFD904" w14:textId="77777777" w:rsidR="002661BA" w:rsidRDefault="00D972BC">
            <w:pPr>
              <w:textAlignment w:val="bottom"/>
            </w:pPr>
            <w:r>
              <w:rPr>
                <w:rFonts w:ascii="Arial" w:eastAsia="宋体" w:hAnsi="Arial" w:cs="Arial"/>
                <w:color w:val="000000"/>
                <w:sz w:val="18"/>
                <w:szCs w:val="18"/>
              </w:rPr>
              <w:t>Basic</w:t>
            </w:r>
          </w:p>
        </w:tc>
        <w:tc>
          <w:tcPr>
            <w:tcW w:w="0" w:type="auto"/>
            <w:gridSpan w:val="2"/>
            <w:shd w:val="clear" w:color="auto" w:fill="FFFFFF"/>
            <w:tcMar>
              <w:top w:w="40" w:type="dxa"/>
              <w:left w:w="20" w:type="dxa"/>
              <w:bottom w:w="40" w:type="dxa"/>
              <w:right w:w="0" w:type="dxa"/>
            </w:tcMar>
            <w:vAlign w:val="bottom"/>
          </w:tcPr>
          <w:p w14:paraId="22CFD905" w14:textId="77777777" w:rsidR="002661BA" w:rsidRDefault="00D972BC">
            <w:pPr>
              <w:jc w:val="right"/>
              <w:textAlignment w:val="bottom"/>
            </w:pPr>
            <w:r>
              <w:rPr>
                <w:rFonts w:ascii="Arial" w:eastAsia="宋体" w:hAnsi="Arial" w:cs="Arial"/>
                <w:color w:val="000000"/>
                <w:sz w:val="18"/>
                <w:szCs w:val="18"/>
              </w:rPr>
              <w:t>753 </w:t>
            </w:r>
          </w:p>
        </w:tc>
        <w:tc>
          <w:tcPr>
            <w:tcW w:w="0" w:type="auto"/>
            <w:shd w:val="clear" w:color="auto" w:fill="FFFFFF"/>
            <w:tcMar>
              <w:top w:w="40" w:type="dxa"/>
              <w:left w:w="0" w:type="dxa"/>
              <w:bottom w:w="40" w:type="dxa"/>
              <w:right w:w="20" w:type="dxa"/>
            </w:tcMar>
            <w:vAlign w:val="bottom"/>
          </w:tcPr>
          <w:p w14:paraId="22CFD906"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907"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908" w14:textId="77777777" w:rsidR="002661BA" w:rsidRDefault="00D972BC">
            <w:pPr>
              <w:jc w:val="right"/>
              <w:textAlignment w:val="bottom"/>
            </w:pPr>
            <w:r>
              <w:rPr>
                <w:rFonts w:ascii="Arial" w:eastAsia="宋体" w:hAnsi="Arial" w:cs="Arial"/>
                <w:color w:val="000000"/>
                <w:sz w:val="18"/>
                <w:szCs w:val="18"/>
              </w:rPr>
              <w:t>703 </w:t>
            </w:r>
          </w:p>
        </w:tc>
        <w:tc>
          <w:tcPr>
            <w:tcW w:w="0" w:type="auto"/>
            <w:shd w:val="clear" w:color="auto" w:fill="FFFFFF"/>
            <w:tcMar>
              <w:top w:w="40" w:type="dxa"/>
              <w:left w:w="0" w:type="dxa"/>
              <w:bottom w:w="40" w:type="dxa"/>
              <w:right w:w="20" w:type="dxa"/>
            </w:tcMar>
            <w:vAlign w:val="bottom"/>
          </w:tcPr>
          <w:p w14:paraId="22CFD90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90A"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90B" w14:textId="77777777" w:rsidR="002661BA" w:rsidRDefault="00D972BC">
            <w:pPr>
              <w:jc w:val="right"/>
              <w:textAlignment w:val="bottom"/>
            </w:pPr>
            <w:r>
              <w:rPr>
                <w:rFonts w:ascii="Arial" w:eastAsia="宋体" w:hAnsi="Arial" w:cs="Arial"/>
                <w:color w:val="000000"/>
                <w:sz w:val="18"/>
                <w:szCs w:val="18"/>
              </w:rPr>
              <w:t>696 </w:t>
            </w:r>
          </w:p>
        </w:tc>
        <w:tc>
          <w:tcPr>
            <w:tcW w:w="0" w:type="auto"/>
            <w:shd w:val="clear" w:color="auto" w:fill="FFFFFF"/>
            <w:tcMar>
              <w:top w:w="40" w:type="dxa"/>
              <w:left w:w="0" w:type="dxa"/>
              <w:bottom w:w="40" w:type="dxa"/>
              <w:right w:w="20" w:type="dxa"/>
            </w:tcMar>
            <w:vAlign w:val="bottom"/>
          </w:tcPr>
          <w:p w14:paraId="22CFD90C"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90D" w14:textId="77777777" w:rsidR="002661BA" w:rsidRDefault="002661BA">
            <w:pPr>
              <w:rPr>
                <w:rFonts w:ascii="宋体"/>
              </w:rPr>
            </w:pPr>
          </w:p>
        </w:tc>
        <w:tc>
          <w:tcPr>
            <w:tcW w:w="0" w:type="auto"/>
            <w:gridSpan w:val="2"/>
            <w:shd w:val="clear" w:color="auto" w:fill="FFFFFF"/>
            <w:tcMar>
              <w:top w:w="40" w:type="dxa"/>
              <w:left w:w="20" w:type="dxa"/>
              <w:bottom w:w="40" w:type="dxa"/>
              <w:right w:w="0" w:type="dxa"/>
            </w:tcMar>
            <w:vAlign w:val="bottom"/>
          </w:tcPr>
          <w:p w14:paraId="22CFD90E" w14:textId="77777777" w:rsidR="002661BA" w:rsidRDefault="00D972BC">
            <w:pPr>
              <w:jc w:val="right"/>
              <w:textAlignment w:val="bottom"/>
            </w:pPr>
            <w:r>
              <w:rPr>
                <w:rFonts w:ascii="Arial" w:eastAsia="宋体" w:hAnsi="Arial" w:cs="Arial"/>
                <w:color w:val="000000"/>
                <w:sz w:val="18"/>
                <w:szCs w:val="18"/>
              </w:rPr>
              <w:t>688 </w:t>
            </w:r>
          </w:p>
        </w:tc>
        <w:tc>
          <w:tcPr>
            <w:tcW w:w="0" w:type="auto"/>
            <w:shd w:val="clear" w:color="auto" w:fill="FFFFFF"/>
            <w:tcMar>
              <w:top w:w="40" w:type="dxa"/>
              <w:left w:w="0" w:type="dxa"/>
              <w:bottom w:w="40" w:type="dxa"/>
              <w:right w:w="20" w:type="dxa"/>
            </w:tcMar>
            <w:vAlign w:val="bottom"/>
          </w:tcPr>
          <w:p w14:paraId="22CFD90F" w14:textId="77777777" w:rsidR="002661BA" w:rsidRDefault="002661BA">
            <w:pPr>
              <w:jc w:val="right"/>
              <w:rPr>
                <w:rFonts w:ascii="宋体"/>
              </w:rPr>
            </w:pPr>
          </w:p>
        </w:tc>
      </w:tr>
      <w:tr w:rsidR="002661BA" w14:paraId="22CFD91D" w14:textId="77777777">
        <w:tc>
          <w:tcPr>
            <w:tcW w:w="0" w:type="auto"/>
            <w:gridSpan w:val="3"/>
            <w:shd w:val="clear" w:color="auto" w:fill="E2E2E2"/>
            <w:tcMar>
              <w:top w:w="40" w:type="dxa"/>
              <w:left w:w="515" w:type="dxa"/>
              <w:bottom w:w="40" w:type="dxa"/>
              <w:right w:w="20" w:type="dxa"/>
            </w:tcMar>
            <w:vAlign w:val="bottom"/>
          </w:tcPr>
          <w:p w14:paraId="22CFD911" w14:textId="77777777" w:rsidR="002661BA" w:rsidRDefault="00D972BC">
            <w:pPr>
              <w:textAlignment w:val="bottom"/>
            </w:pPr>
            <w:r>
              <w:rPr>
                <w:rFonts w:ascii="Arial" w:eastAsia="宋体" w:hAnsi="Arial" w:cs="Arial"/>
                <w:color w:val="000000"/>
                <w:sz w:val="18"/>
                <w:szCs w:val="18"/>
              </w:rPr>
              <w:t>Diluted</w:t>
            </w:r>
          </w:p>
        </w:tc>
        <w:tc>
          <w:tcPr>
            <w:tcW w:w="0" w:type="auto"/>
            <w:gridSpan w:val="2"/>
            <w:shd w:val="clear" w:color="auto" w:fill="E2E2E2"/>
            <w:tcMar>
              <w:top w:w="40" w:type="dxa"/>
              <w:left w:w="20" w:type="dxa"/>
              <w:bottom w:w="40" w:type="dxa"/>
              <w:right w:w="0" w:type="dxa"/>
            </w:tcMar>
            <w:vAlign w:val="bottom"/>
          </w:tcPr>
          <w:p w14:paraId="22CFD912" w14:textId="77777777" w:rsidR="002661BA" w:rsidRDefault="00D972BC">
            <w:pPr>
              <w:jc w:val="right"/>
              <w:textAlignment w:val="bottom"/>
            </w:pPr>
            <w:r>
              <w:rPr>
                <w:rFonts w:ascii="Arial" w:eastAsia="宋体" w:hAnsi="Arial" w:cs="Arial"/>
                <w:color w:val="000000"/>
                <w:sz w:val="18"/>
                <w:szCs w:val="18"/>
              </w:rPr>
              <w:t>757 </w:t>
            </w:r>
          </w:p>
        </w:tc>
        <w:tc>
          <w:tcPr>
            <w:tcW w:w="0" w:type="auto"/>
            <w:shd w:val="clear" w:color="auto" w:fill="E2E2E2"/>
            <w:tcMar>
              <w:top w:w="40" w:type="dxa"/>
              <w:left w:w="0" w:type="dxa"/>
              <w:bottom w:w="40" w:type="dxa"/>
              <w:right w:w="20" w:type="dxa"/>
            </w:tcMar>
            <w:vAlign w:val="bottom"/>
          </w:tcPr>
          <w:p w14:paraId="22CFD913"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914"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915" w14:textId="77777777" w:rsidR="002661BA" w:rsidRDefault="00D972BC">
            <w:pPr>
              <w:jc w:val="right"/>
              <w:textAlignment w:val="bottom"/>
            </w:pPr>
            <w:r>
              <w:rPr>
                <w:rFonts w:ascii="Arial" w:eastAsia="宋体" w:hAnsi="Arial" w:cs="Arial"/>
                <w:color w:val="000000"/>
                <w:sz w:val="18"/>
                <w:szCs w:val="18"/>
              </w:rPr>
              <w:t>711 </w:t>
            </w:r>
          </w:p>
        </w:tc>
        <w:tc>
          <w:tcPr>
            <w:tcW w:w="0" w:type="auto"/>
            <w:shd w:val="clear" w:color="auto" w:fill="E2E2E2"/>
            <w:tcMar>
              <w:top w:w="40" w:type="dxa"/>
              <w:left w:w="0" w:type="dxa"/>
              <w:bottom w:w="40" w:type="dxa"/>
              <w:right w:w="20" w:type="dxa"/>
            </w:tcMar>
            <w:vAlign w:val="bottom"/>
          </w:tcPr>
          <w:p w14:paraId="22CFD916"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917"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918" w14:textId="77777777" w:rsidR="002661BA" w:rsidRDefault="00D972BC">
            <w:pPr>
              <w:jc w:val="right"/>
              <w:textAlignment w:val="bottom"/>
            </w:pPr>
            <w:r>
              <w:rPr>
                <w:rFonts w:ascii="Arial" w:eastAsia="宋体" w:hAnsi="Arial" w:cs="Arial"/>
                <w:color w:val="000000"/>
                <w:sz w:val="18"/>
                <w:szCs w:val="18"/>
              </w:rPr>
              <w:t>708 </w:t>
            </w:r>
          </w:p>
        </w:tc>
        <w:tc>
          <w:tcPr>
            <w:tcW w:w="0" w:type="auto"/>
            <w:shd w:val="clear" w:color="auto" w:fill="E2E2E2"/>
            <w:tcMar>
              <w:top w:w="40" w:type="dxa"/>
              <w:left w:w="0" w:type="dxa"/>
              <w:bottom w:w="40" w:type="dxa"/>
              <w:right w:w="20" w:type="dxa"/>
            </w:tcMar>
            <w:vAlign w:val="bottom"/>
          </w:tcPr>
          <w:p w14:paraId="22CFD919" w14:textId="77777777" w:rsidR="002661BA" w:rsidRDefault="002661BA">
            <w:pPr>
              <w:jc w:val="right"/>
              <w:rPr>
                <w:rFonts w:ascii="宋体"/>
              </w:rPr>
            </w:pPr>
          </w:p>
        </w:tc>
        <w:tc>
          <w:tcPr>
            <w:tcW w:w="0" w:type="auto"/>
            <w:gridSpan w:val="3"/>
            <w:shd w:val="clear" w:color="auto" w:fill="E2E2E2"/>
            <w:tcMar>
              <w:top w:w="0" w:type="dxa"/>
              <w:left w:w="20" w:type="dxa"/>
              <w:bottom w:w="0" w:type="dxa"/>
              <w:right w:w="20" w:type="dxa"/>
            </w:tcMar>
            <w:vAlign w:val="bottom"/>
          </w:tcPr>
          <w:p w14:paraId="22CFD91A" w14:textId="77777777" w:rsidR="002661BA" w:rsidRDefault="002661BA">
            <w:pPr>
              <w:rPr>
                <w:rFonts w:ascii="宋体"/>
              </w:rPr>
            </w:pPr>
          </w:p>
        </w:tc>
        <w:tc>
          <w:tcPr>
            <w:tcW w:w="0" w:type="auto"/>
            <w:gridSpan w:val="2"/>
            <w:shd w:val="clear" w:color="auto" w:fill="E2E2E2"/>
            <w:tcMar>
              <w:top w:w="40" w:type="dxa"/>
              <w:left w:w="20" w:type="dxa"/>
              <w:bottom w:w="40" w:type="dxa"/>
              <w:right w:w="0" w:type="dxa"/>
            </w:tcMar>
            <w:vAlign w:val="bottom"/>
          </w:tcPr>
          <w:p w14:paraId="22CFD91B" w14:textId="77777777" w:rsidR="002661BA" w:rsidRDefault="00D972BC">
            <w:pPr>
              <w:jc w:val="right"/>
              <w:textAlignment w:val="bottom"/>
            </w:pPr>
            <w:r>
              <w:rPr>
                <w:rFonts w:ascii="Arial" w:eastAsia="宋体" w:hAnsi="Arial" w:cs="Arial"/>
                <w:color w:val="000000"/>
                <w:sz w:val="18"/>
                <w:szCs w:val="18"/>
              </w:rPr>
              <w:t>697 </w:t>
            </w:r>
          </w:p>
        </w:tc>
        <w:tc>
          <w:tcPr>
            <w:tcW w:w="0" w:type="auto"/>
            <w:shd w:val="clear" w:color="auto" w:fill="E2E2E2"/>
            <w:tcMar>
              <w:top w:w="40" w:type="dxa"/>
              <w:left w:w="0" w:type="dxa"/>
              <w:bottom w:w="40" w:type="dxa"/>
              <w:right w:w="20" w:type="dxa"/>
            </w:tcMar>
            <w:vAlign w:val="bottom"/>
          </w:tcPr>
          <w:p w14:paraId="22CFD91C" w14:textId="77777777" w:rsidR="002661BA" w:rsidRDefault="002661BA">
            <w:pPr>
              <w:jc w:val="right"/>
              <w:rPr>
                <w:rFonts w:ascii="宋体"/>
              </w:rPr>
            </w:pPr>
          </w:p>
        </w:tc>
      </w:tr>
    </w:tbl>
    <w:p w14:paraId="22CFD91E" w14:textId="77777777" w:rsidR="002661BA" w:rsidRDefault="00D972BC">
      <w:pPr>
        <w:jc w:val="center"/>
      </w:pPr>
      <w:r>
        <w:rPr>
          <w:rFonts w:ascii="Arial" w:eastAsia="宋体" w:hAnsi="Arial" w:cs="Arial"/>
          <w:color w:val="000000"/>
          <w:sz w:val="18"/>
          <w:szCs w:val="18"/>
        </w:rPr>
        <w:t>114</w:t>
      </w:r>
    </w:p>
    <w:p w14:paraId="22CFD91F" w14:textId="77777777" w:rsidR="002661BA" w:rsidRDefault="00D972BC">
      <w:r>
        <w:pict w14:anchorId="22CFE523">
          <v:rect id="_x0000_i1138" style="width:415.3pt;height:1.5pt" o:hralign="center" o:hrstd="t" o:hr="t" fillcolor="#a0a0a0" stroked="f"/>
        </w:pict>
      </w:r>
    </w:p>
    <w:p w14:paraId="22CFD920" w14:textId="77777777" w:rsidR="002661BA" w:rsidRDefault="00D972BC">
      <w:hyperlink r:id="rId149" w:anchor="id0d7a71b05ce452ea9fdb54f3cb359c7_7" w:history="1">
        <w:r>
          <w:rPr>
            <w:rStyle w:val="a5"/>
            <w:rFonts w:ascii="Arial" w:eastAsia="宋体" w:hAnsi="Arial" w:cs="Arial"/>
            <w:sz w:val="18"/>
            <w:szCs w:val="18"/>
          </w:rPr>
          <w:t>Table of Contents</w:t>
        </w:r>
      </w:hyperlink>
    </w:p>
    <w:p w14:paraId="22CFD921" w14:textId="77777777" w:rsidR="002661BA" w:rsidRDefault="00D972BC">
      <w:pPr>
        <w:jc w:val="both"/>
      </w:pPr>
      <w:r>
        <w:rPr>
          <w:rFonts w:ascii="Arial" w:eastAsia="宋体" w:hAnsi="Arial" w:cs="Arial"/>
          <w:b/>
          <w:bCs/>
          <w:color w:val="000000"/>
          <w:sz w:val="20"/>
          <w:szCs w:val="20"/>
        </w:rPr>
        <w:t xml:space="preserve">eBay Inc. </w:t>
      </w:r>
    </w:p>
    <w:p w14:paraId="22CFD922" w14:textId="77777777" w:rsidR="002661BA" w:rsidRDefault="00D972BC">
      <w:pPr>
        <w:spacing w:before="80" w:after="120"/>
        <w:jc w:val="both"/>
      </w:pPr>
      <w:r>
        <w:rPr>
          <w:rFonts w:ascii="Arial" w:eastAsia="宋体" w:hAnsi="Arial" w:cs="Arial"/>
          <w:b/>
          <w:bCs/>
          <w:color w:val="000000"/>
          <w:sz w:val="20"/>
          <w:szCs w:val="20"/>
        </w:rPr>
        <w:t xml:space="preserve">FINANCIAL STATEMENT SCHEDULE </w:t>
      </w:r>
    </w:p>
    <w:p w14:paraId="22CFD923" w14:textId="77777777" w:rsidR="002661BA" w:rsidRDefault="00D972BC">
      <w:pPr>
        <w:spacing w:after="120"/>
        <w:jc w:val="both"/>
      </w:pPr>
      <w:r>
        <w:rPr>
          <w:rFonts w:ascii="Arial" w:eastAsia="宋体" w:hAnsi="Arial" w:cs="Arial"/>
          <w:color w:val="000000"/>
          <w:sz w:val="20"/>
          <w:szCs w:val="20"/>
        </w:rPr>
        <w:t xml:space="preserve">The Financial Statement Schedule II — VALUATION AND QUALIFYING ACCOUNTS for continuing operations as of and for the years ended December 31, 2021, 2020 and 2019. </w:t>
      </w:r>
    </w:p>
    <w:tbl>
      <w:tblPr>
        <w:tblW w:w="5000" w:type="pct"/>
        <w:tblCellMar>
          <w:top w:w="15" w:type="dxa"/>
          <w:left w:w="15" w:type="dxa"/>
          <w:bottom w:w="15" w:type="dxa"/>
          <w:right w:w="15" w:type="dxa"/>
        </w:tblCellMar>
        <w:tblLook w:val="04A0" w:firstRow="1" w:lastRow="0" w:firstColumn="1" w:lastColumn="0" w:noHBand="0" w:noVBand="1"/>
      </w:tblPr>
      <w:tblGrid>
        <w:gridCol w:w="38"/>
        <w:gridCol w:w="2623"/>
        <w:gridCol w:w="37"/>
        <w:gridCol w:w="122"/>
        <w:gridCol w:w="883"/>
        <w:gridCol w:w="36"/>
        <w:gridCol w:w="36"/>
        <w:gridCol w:w="36"/>
        <w:gridCol w:w="36"/>
        <w:gridCol w:w="122"/>
        <w:gridCol w:w="883"/>
        <w:gridCol w:w="36"/>
        <w:gridCol w:w="36"/>
        <w:gridCol w:w="36"/>
        <w:gridCol w:w="36"/>
        <w:gridCol w:w="122"/>
        <w:gridCol w:w="883"/>
        <w:gridCol w:w="36"/>
        <w:gridCol w:w="36"/>
        <w:gridCol w:w="36"/>
        <w:gridCol w:w="36"/>
        <w:gridCol w:w="122"/>
        <w:gridCol w:w="883"/>
        <w:gridCol w:w="36"/>
        <w:gridCol w:w="36"/>
        <w:gridCol w:w="36"/>
        <w:gridCol w:w="36"/>
        <w:gridCol w:w="122"/>
        <w:gridCol w:w="884"/>
        <w:gridCol w:w="36"/>
      </w:tblGrid>
      <w:tr w:rsidR="002661BA" w14:paraId="22CFD942" w14:textId="77777777">
        <w:tc>
          <w:tcPr>
            <w:tcW w:w="50" w:type="pct"/>
            <w:shd w:val="clear" w:color="auto" w:fill="auto"/>
            <w:vAlign w:val="bottom"/>
          </w:tcPr>
          <w:p w14:paraId="22CFD924" w14:textId="77777777" w:rsidR="002661BA" w:rsidRDefault="002661BA">
            <w:pPr>
              <w:rPr>
                <w:rFonts w:ascii="宋体"/>
              </w:rPr>
            </w:pPr>
          </w:p>
        </w:tc>
        <w:tc>
          <w:tcPr>
            <w:tcW w:w="1648" w:type="pct"/>
            <w:shd w:val="clear" w:color="auto" w:fill="auto"/>
            <w:vAlign w:val="bottom"/>
          </w:tcPr>
          <w:p w14:paraId="22CFD925" w14:textId="77777777" w:rsidR="002661BA" w:rsidRDefault="002661BA">
            <w:pPr>
              <w:rPr>
                <w:rFonts w:ascii="宋体"/>
              </w:rPr>
            </w:pPr>
          </w:p>
        </w:tc>
        <w:tc>
          <w:tcPr>
            <w:tcW w:w="5" w:type="pct"/>
            <w:shd w:val="clear" w:color="auto" w:fill="auto"/>
            <w:vAlign w:val="bottom"/>
          </w:tcPr>
          <w:p w14:paraId="22CFD926" w14:textId="77777777" w:rsidR="002661BA" w:rsidRDefault="002661BA">
            <w:pPr>
              <w:rPr>
                <w:rFonts w:ascii="宋体"/>
              </w:rPr>
            </w:pPr>
          </w:p>
        </w:tc>
        <w:tc>
          <w:tcPr>
            <w:tcW w:w="50" w:type="pct"/>
            <w:shd w:val="clear" w:color="auto" w:fill="auto"/>
            <w:vAlign w:val="bottom"/>
          </w:tcPr>
          <w:p w14:paraId="22CFD927" w14:textId="77777777" w:rsidR="002661BA" w:rsidRDefault="002661BA">
            <w:pPr>
              <w:rPr>
                <w:rFonts w:ascii="宋体"/>
              </w:rPr>
            </w:pPr>
          </w:p>
        </w:tc>
        <w:tc>
          <w:tcPr>
            <w:tcW w:w="580" w:type="pct"/>
            <w:shd w:val="clear" w:color="auto" w:fill="auto"/>
            <w:vAlign w:val="bottom"/>
          </w:tcPr>
          <w:p w14:paraId="22CFD928" w14:textId="77777777" w:rsidR="002661BA" w:rsidRDefault="002661BA">
            <w:pPr>
              <w:rPr>
                <w:rFonts w:ascii="宋体"/>
              </w:rPr>
            </w:pPr>
          </w:p>
        </w:tc>
        <w:tc>
          <w:tcPr>
            <w:tcW w:w="5" w:type="pct"/>
            <w:shd w:val="clear" w:color="auto" w:fill="auto"/>
            <w:vAlign w:val="bottom"/>
          </w:tcPr>
          <w:p w14:paraId="22CFD929" w14:textId="77777777" w:rsidR="002661BA" w:rsidRDefault="002661BA">
            <w:pPr>
              <w:rPr>
                <w:rFonts w:ascii="宋体"/>
              </w:rPr>
            </w:pPr>
          </w:p>
        </w:tc>
        <w:tc>
          <w:tcPr>
            <w:tcW w:w="5" w:type="pct"/>
            <w:shd w:val="clear" w:color="auto" w:fill="auto"/>
            <w:vAlign w:val="bottom"/>
          </w:tcPr>
          <w:p w14:paraId="22CFD92A" w14:textId="77777777" w:rsidR="002661BA" w:rsidRDefault="002661BA">
            <w:pPr>
              <w:rPr>
                <w:rFonts w:ascii="宋体"/>
              </w:rPr>
            </w:pPr>
          </w:p>
        </w:tc>
        <w:tc>
          <w:tcPr>
            <w:tcW w:w="19" w:type="pct"/>
            <w:shd w:val="clear" w:color="auto" w:fill="auto"/>
            <w:vAlign w:val="bottom"/>
          </w:tcPr>
          <w:p w14:paraId="22CFD92B" w14:textId="77777777" w:rsidR="002661BA" w:rsidRDefault="002661BA">
            <w:pPr>
              <w:rPr>
                <w:rFonts w:ascii="宋体"/>
              </w:rPr>
            </w:pPr>
          </w:p>
        </w:tc>
        <w:tc>
          <w:tcPr>
            <w:tcW w:w="5" w:type="pct"/>
            <w:shd w:val="clear" w:color="auto" w:fill="auto"/>
            <w:vAlign w:val="bottom"/>
          </w:tcPr>
          <w:p w14:paraId="22CFD92C" w14:textId="77777777" w:rsidR="002661BA" w:rsidRDefault="002661BA">
            <w:pPr>
              <w:rPr>
                <w:rFonts w:ascii="宋体"/>
              </w:rPr>
            </w:pPr>
          </w:p>
        </w:tc>
        <w:tc>
          <w:tcPr>
            <w:tcW w:w="50" w:type="pct"/>
            <w:shd w:val="clear" w:color="auto" w:fill="auto"/>
            <w:vAlign w:val="bottom"/>
          </w:tcPr>
          <w:p w14:paraId="22CFD92D" w14:textId="77777777" w:rsidR="002661BA" w:rsidRDefault="002661BA">
            <w:pPr>
              <w:rPr>
                <w:rFonts w:ascii="宋体"/>
              </w:rPr>
            </w:pPr>
          </w:p>
        </w:tc>
        <w:tc>
          <w:tcPr>
            <w:tcW w:w="580" w:type="pct"/>
            <w:shd w:val="clear" w:color="auto" w:fill="auto"/>
            <w:vAlign w:val="bottom"/>
          </w:tcPr>
          <w:p w14:paraId="22CFD92E" w14:textId="77777777" w:rsidR="002661BA" w:rsidRDefault="002661BA">
            <w:pPr>
              <w:rPr>
                <w:rFonts w:ascii="宋体"/>
              </w:rPr>
            </w:pPr>
          </w:p>
        </w:tc>
        <w:tc>
          <w:tcPr>
            <w:tcW w:w="5" w:type="pct"/>
            <w:shd w:val="clear" w:color="auto" w:fill="auto"/>
            <w:vAlign w:val="bottom"/>
          </w:tcPr>
          <w:p w14:paraId="22CFD92F" w14:textId="77777777" w:rsidR="002661BA" w:rsidRDefault="002661BA">
            <w:pPr>
              <w:rPr>
                <w:rFonts w:ascii="宋体"/>
              </w:rPr>
            </w:pPr>
          </w:p>
        </w:tc>
        <w:tc>
          <w:tcPr>
            <w:tcW w:w="5" w:type="pct"/>
            <w:shd w:val="clear" w:color="auto" w:fill="auto"/>
            <w:vAlign w:val="bottom"/>
          </w:tcPr>
          <w:p w14:paraId="22CFD930" w14:textId="77777777" w:rsidR="002661BA" w:rsidRDefault="002661BA">
            <w:pPr>
              <w:rPr>
                <w:rFonts w:ascii="宋体"/>
              </w:rPr>
            </w:pPr>
          </w:p>
        </w:tc>
        <w:tc>
          <w:tcPr>
            <w:tcW w:w="19" w:type="pct"/>
            <w:shd w:val="clear" w:color="auto" w:fill="auto"/>
            <w:vAlign w:val="bottom"/>
          </w:tcPr>
          <w:p w14:paraId="22CFD931" w14:textId="77777777" w:rsidR="002661BA" w:rsidRDefault="002661BA">
            <w:pPr>
              <w:rPr>
                <w:rFonts w:ascii="宋体"/>
              </w:rPr>
            </w:pPr>
          </w:p>
        </w:tc>
        <w:tc>
          <w:tcPr>
            <w:tcW w:w="5" w:type="pct"/>
            <w:shd w:val="clear" w:color="auto" w:fill="auto"/>
            <w:vAlign w:val="bottom"/>
          </w:tcPr>
          <w:p w14:paraId="22CFD932" w14:textId="77777777" w:rsidR="002661BA" w:rsidRDefault="002661BA">
            <w:pPr>
              <w:rPr>
                <w:rFonts w:ascii="宋体"/>
              </w:rPr>
            </w:pPr>
          </w:p>
        </w:tc>
        <w:tc>
          <w:tcPr>
            <w:tcW w:w="50" w:type="pct"/>
            <w:shd w:val="clear" w:color="auto" w:fill="auto"/>
            <w:vAlign w:val="bottom"/>
          </w:tcPr>
          <w:p w14:paraId="22CFD933" w14:textId="77777777" w:rsidR="002661BA" w:rsidRDefault="002661BA">
            <w:pPr>
              <w:rPr>
                <w:rFonts w:ascii="宋体"/>
              </w:rPr>
            </w:pPr>
          </w:p>
        </w:tc>
        <w:tc>
          <w:tcPr>
            <w:tcW w:w="580" w:type="pct"/>
            <w:shd w:val="clear" w:color="auto" w:fill="auto"/>
            <w:vAlign w:val="bottom"/>
          </w:tcPr>
          <w:p w14:paraId="22CFD934" w14:textId="77777777" w:rsidR="002661BA" w:rsidRDefault="002661BA">
            <w:pPr>
              <w:rPr>
                <w:rFonts w:ascii="宋体"/>
              </w:rPr>
            </w:pPr>
          </w:p>
        </w:tc>
        <w:tc>
          <w:tcPr>
            <w:tcW w:w="5" w:type="pct"/>
            <w:shd w:val="clear" w:color="auto" w:fill="auto"/>
            <w:vAlign w:val="bottom"/>
          </w:tcPr>
          <w:p w14:paraId="22CFD935" w14:textId="77777777" w:rsidR="002661BA" w:rsidRDefault="002661BA">
            <w:pPr>
              <w:rPr>
                <w:rFonts w:ascii="宋体"/>
              </w:rPr>
            </w:pPr>
          </w:p>
        </w:tc>
        <w:tc>
          <w:tcPr>
            <w:tcW w:w="5" w:type="pct"/>
            <w:shd w:val="clear" w:color="auto" w:fill="auto"/>
            <w:vAlign w:val="bottom"/>
          </w:tcPr>
          <w:p w14:paraId="22CFD936" w14:textId="77777777" w:rsidR="002661BA" w:rsidRDefault="002661BA">
            <w:pPr>
              <w:rPr>
                <w:rFonts w:ascii="宋体"/>
              </w:rPr>
            </w:pPr>
          </w:p>
        </w:tc>
        <w:tc>
          <w:tcPr>
            <w:tcW w:w="19" w:type="pct"/>
            <w:shd w:val="clear" w:color="auto" w:fill="auto"/>
            <w:vAlign w:val="bottom"/>
          </w:tcPr>
          <w:p w14:paraId="22CFD937" w14:textId="77777777" w:rsidR="002661BA" w:rsidRDefault="002661BA">
            <w:pPr>
              <w:rPr>
                <w:rFonts w:ascii="宋体"/>
              </w:rPr>
            </w:pPr>
          </w:p>
        </w:tc>
        <w:tc>
          <w:tcPr>
            <w:tcW w:w="5" w:type="pct"/>
            <w:shd w:val="clear" w:color="auto" w:fill="auto"/>
            <w:vAlign w:val="bottom"/>
          </w:tcPr>
          <w:p w14:paraId="22CFD938" w14:textId="77777777" w:rsidR="002661BA" w:rsidRDefault="002661BA">
            <w:pPr>
              <w:rPr>
                <w:rFonts w:ascii="宋体"/>
              </w:rPr>
            </w:pPr>
          </w:p>
        </w:tc>
        <w:tc>
          <w:tcPr>
            <w:tcW w:w="50" w:type="pct"/>
            <w:shd w:val="clear" w:color="auto" w:fill="auto"/>
            <w:vAlign w:val="bottom"/>
          </w:tcPr>
          <w:p w14:paraId="22CFD939" w14:textId="77777777" w:rsidR="002661BA" w:rsidRDefault="002661BA">
            <w:pPr>
              <w:rPr>
                <w:rFonts w:ascii="宋体"/>
              </w:rPr>
            </w:pPr>
          </w:p>
        </w:tc>
        <w:tc>
          <w:tcPr>
            <w:tcW w:w="580" w:type="pct"/>
            <w:shd w:val="clear" w:color="auto" w:fill="auto"/>
            <w:vAlign w:val="bottom"/>
          </w:tcPr>
          <w:p w14:paraId="22CFD93A" w14:textId="77777777" w:rsidR="002661BA" w:rsidRDefault="002661BA">
            <w:pPr>
              <w:rPr>
                <w:rFonts w:ascii="宋体"/>
              </w:rPr>
            </w:pPr>
          </w:p>
        </w:tc>
        <w:tc>
          <w:tcPr>
            <w:tcW w:w="5" w:type="pct"/>
            <w:shd w:val="clear" w:color="auto" w:fill="auto"/>
            <w:vAlign w:val="bottom"/>
          </w:tcPr>
          <w:p w14:paraId="22CFD93B" w14:textId="77777777" w:rsidR="002661BA" w:rsidRDefault="002661BA">
            <w:pPr>
              <w:rPr>
                <w:rFonts w:ascii="宋体"/>
              </w:rPr>
            </w:pPr>
          </w:p>
        </w:tc>
        <w:tc>
          <w:tcPr>
            <w:tcW w:w="5" w:type="pct"/>
            <w:shd w:val="clear" w:color="auto" w:fill="auto"/>
            <w:vAlign w:val="bottom"/>
          </w:tcPr>
          <w:p w14:paraId="22CFD93C" w14:textId="77777777" w:rsidR="002661BA" w:rsidRDefault="002661BA">
            <w:pPr>
              <w:rPr>
                <w:rFonts w:ascii="宋体"/>
              </w:rPr>
            </w:pPr>
          </w:p>
        </w:tc>
        <w:tc>
          <w:tcPr>
            <w:tcW w:w="19" w:type="pct"/>
            <w:shd w:val="clear" w:color="auto" w:fill="auto"/>
            <w:vAlign w:val="bottom"/>
          </w:tcPr>
          <w:p w14:paraId="22CFD93D" w14:textId="77777777" w:rsidR="002661BA" w:rsidRDefault="002661BA">
            <w:pPr>
              <w:rPr>
                <w:rFonts w:ascii="宋体"/>
              </w:rPr>
            </w:pPr>
          </w:p>
        </w:tc>
        <w:tc>
          <w:tcPr>
            <w:tcW w:w="5" w:type="pct"/>
            <w:shd w:val="clear" w:color="auto" w:fill="auto"/>
            <w:vAlign w:val="bottom"/>
          </w:tcPr>
          <w:p w14:paraId="22CFD93E" w14:textId="77777777" w:rsidR="002661BA" w:rsidRDefault="002661BA">
            <w:pPr>
              <w:rPr>
                <w:rFonts w:ascii="宋体"/>
              </w:rPr>
            </w:pPr>
          </w:p>
        </w:tc>
        <w:tc>
          <w:tcPr>
            <w:tcW w:w="50" w:type="pct"/>
            <w:shd w:val="clear" w:color="auto" w:fill="auto"/>
            <w:vAlign w:val="bottom"/>
          </w:tcPr>
          <w:p w14:paraId="22CFD93F" w14:textId="77777777" w:rsidR="002661BA" w:rsidRDefault="002661BA">
            <w:pPr>
              <w:rPr>
                <w:rFonts w:ascii="宋体"/>
              </w:rPr>
            </w:pPr>
          </w:p>
        </w:tc>
        <w:tc>
          <w:tcPr>
            <w:tcW w:w="581" w:type="pct"/>
            <w:shd w:val="clear" w:color="auto" w:fill="auto"/>
            <w:vAlign w:val="bottom"/>
          </w:tcPr>
          <w:p w14:paraId="22CFD940" w14:textId="77777777" w:rsidR="002661BA" w:rsidRDefault="002661BA">
            <w:pPr>
              <w:rPr>
                <w:rFonts w:ascii="宋体"/>
              </w:rPr>
            </w:pPr>
          </w:p>
        </w:tc>
        <w:tc>
          <w:tcPr>
            <w:tcW w:w="5" w:type="pct"/>
            <w:shd w:val="clear" w:color="auto" w:fill="auto"/>
            <w:vAlign w:val="bottom"/>
          </w:tcPr>
          <w:p w14:paraId="22CFD941" w14:textId="77777777" w:rsidR="002661BA" w:rsidRDefault="002661BA">
            <w:pPr>
              <w:rPr>
                <w:rFonts w:ascii="宋体"/>
              </w:rPr>
            </w:pPr>
          </w:p>
        </w:tc>
      </w:tr>
      <w:tr w:rsidR="002661BA" w14:paraId="22CFD94D" w14:textId="77777777">
        <w:tc>
          <w:tcPr>
            <w:tcW w:w="0" w:type="auto"/>
            <w:gridSpan w:val="3"/>
            <w:shd w:val="clear" w:color="auto" w:fill="auto"/>
            <w:tcMar>
              <w:top w:w="0" w:type="dxa"/>
              <w:left w:w="20" w:type="dxa"/>
              <w:bottom w:w="0" w:type="dxa"/>
              <w:right w:w="20" w:type="dxa"/>
            </w:tcMar>
            <w:vAlign w:val="bottom"/>
          </w:tcPr>
          <w:p w14:paraId="22CFD94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944" w14:textId="77777777" w:rsidR="002661BA" w:rsidRDefault="00D972BC">
            <w:pPr>
              <w:jc w:val="center"/>
              <w:textAlignment w:val="bottom"/>
            </w:pPr>
            <w:r>
              <w:rPr>
                <w:rFonts w:ascii="Arial" w:eastAsia="宋体" w:hAnsi="Arial" w:cs="Arial"/>
                <w:b/>
                <w:bCs/>
                <w:color w:val="000000"/>
                <w:sz w:val="17"/>
                <w:szCs w:val="17"/>
              </w:rPr>
              <w:t>Balance at Beginning of Period</w:t>
            </w:r>
          </w:p>
        </w:tc>
        <w:tc>
          <w:tcPr>
            <w:tcW w:w="0" w:type="auto"/>
            <w:gridSpan w:val="3"/>
            <w:shd w:val="clear" w:color="auto" w:fill="auto"/>
            <w:tcMar>
              <w:top w:w="0" w:type="dxa"/>
              <w:left w:w="20" w:type="dxa"/>
              <w:bottom w:w="0" w:type="dxa"/>
              <w:right w:w="20" w:type="dxa"/>
            </w:tcMar>
            <w:vAlign w:val="bottom"/>
          </w:tcPr>
          <w:p w14:paraId="22CFD945" w14:textId="77777777" w:rsidR="002661BA" w:rsidRDefault="002661B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2CFD946" w14:textId="77777777" w:rsidR="002661BA" w:rsidRDefault="00D972BC">
            <w:pPr>
              <w:jc w:val="center"/>
              <w:textAlignment w:val="bottom"/>
            </w:pPr>
            <w:r>
              <w:rPr>
                <w:rFonts w:ascii="Arial" w:eastAsia="宋体" w:hAnsi="Arial" w:cs="Arial"/>
                <w:b/>
                <w:bCs/>
                <w:color w:val="000000"/>
                <w:sz w:val="17"/>
                <w:szCs w:val="17"/>
              </w:rPr>
              <w:t>Charged/ Credited to Net Income</w:t>
            </w:r>
          </w:p>
        </w:tc>
        <w:tc>
          <w:tcPr>
            <w:tcW w:w="0" w:type="auto"/>
            <w:gridSpan w:val="3"/>
            <w:shd w:val="clear" w:color="auto" w:fill="auto"/>
            <w:tcMar>
              <w:top w:w="0" w:type="dxa"/>
              <w:left w:w="20" w:type="dxa"/>
              <w:bottom w:w="0" w:type="dxa"/>
              <w:right w:w="20" w:type="dxa"/>
            </w:tcMar>
            <w:vAlign w:val="bottom"/>
          </w:tcPr>
          <w:p w14:paraId="22CFD947" w14:textId="77777777" w:rsidR="002661BA" w:rsidRDefault="002661B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2CFD948" w14:textId="77777777" w:rsidR="002661BA" w:rsidRDefault="00D972BC">
            <w:pPr>
              <w:jc w:val="center"/>
              <w:textAlignment w:val="bottom"/>
            </w:pPr>
            <w:r>
              <w:rPr>
                <w:rFonts w:ascii="Arial" w:eastAsia="宋体" w:hAnsi="Arial" w:cs="Arial"/>
                <w:b/>
                <w:bCs/>
                <w:color w:val="000000"/>
                <w:sz w:val="17"/>
                <w:szCs w:val="17"/>
              </w:rPr>
              <w:t>Charged to Other Account</w:t>
            </w:r>
          </w:p>
        </w:tc>
        <w:tc>
          <w:tcPr>
            <w:tcW w:w="0" w:type="auto"/>
            <w:gridSpan w:val="3"/>
            <w:shd w:val="clear" w:color="auto" w:fill="auto"/>
            <w:tcMar>
              <w:top w:w="0" w:type="dxa"/>
              <w:left w:w="20" w:type="dxa"/>
              <w:bottom w:w="0" w:type="dxa"/>
              <w:right w:w="20" w:type="dxa"/>
            </w:tcMar>
            <w:vAlign w:val="bottom"/>
          </w:tcPr>
          <w:p w14:paraId="22CFD949" w14:textId="77777777" w:rsidR="002661BA" w:rsidRDefault="002661B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2CFD94A" w14:textId="77777777" w:rsidR="002661BA" w:rsidRDefault="00D972BC">
            <w:pPr>
              <w:jc w:val="center"/>
              <w:textAlignment w:val="bottom"/>
            </w:pPr>
            <w:r>
              <w:rPr>
                <w:rFonts w:ascii="Arial" w:eastAsia="宋体" w:hAnsi="Arial" w:cs="Arial"/>
                <w:b/>
                <w:bCs/>
                <w:color w:val="000000"/>
                <w:sz w:val="17"/>
                <w:szCs w:val="17"/>
              </w:rPr>
              <w:t>Charges Utilized/ Write-offs</w:t>
            </w:r>
          </w:p>
        </w:tc>
        <w:tc>
          <w:tcPr>
            <w:tcW w:w="0" w:type="auto"/>
            <w:gridSpan w:val="3"/>
            <w:shd w:val="clear" w:color="auto" w:fill="auto"/>
            <w:tcMar>
              <w:top w:w="0" w:type="dxa"/>
              <w:left w:w="20" w:type="dxa"/>
              <w:bottom w:w="0" w:type="dxa"/>
              <w:right w:w="20" w:type="dxa"/>
            </w:tcMar>
            <w:vAlign w:val="bottom"/>
          </w:tcPr>
          <w:p w14:paraId="22CFD94B" w14:textId="77777777" w:rsidR="002661BA" w:rsidRDefault="002661B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2CFD94C" w14:textId="77777777" w:rsidR="002661BA" w:rsidRDefault="00D972BC">
            <w:pPr>
              <w:jc w:val="center"/>
              <w:textAlignment w:val="bottom"/>
            </w:pPr>
            <w:r>
              <w:rPr>
                <w:rFonts w:ascii="Arial" w:eastAsia="宋体" w:hAnsi="Arial" w:cs="Arial"/>
                <w:b/>
                <w:bCs/>
                <w:color w:val="000000"/>
                <w:sz w:val="17"/>
                <w:szCs w:val="17"/>
              </w:rPr>
              <w:t>Balance at End of Period</w:t>
            </w:r>
          </w:p>
        </w:tc>
      </w:tr>
      <w:tr w:rsidR="002661BA" w14:paraId="22CFD950" w14:textId="77777777">
        <w:tc>
          <w:tcPr>
            <w:tcW w:w="0" w:type="auto"/>
            <w:gridSpan w:val="3"/>
            <w:shd w:val="clear" w:color="auto" w:fill="auto"/>
            <w:tcMar>
              <w:top w:w="0" w:type="dxa"/>
              <w:left w:w="20" w:type="dxa"/>
              <w:bottom w:w="0" w:type="dxa"/>
              <w:right w:w="20" w:type="dxa"/>
            </w:tcMar>
            <w:vAlign w:val="bottom"/>
          </w:tcPr>
          <w:p w14:paraId="22CFD94E" w14:textId="77777777" w:rsidR="002661BA" w:rsidRDefault="002661BA">
            <w:pPr>
              <w:rPr>
                <w:rFonts w:ascii="宋体"/>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22CFD94F" w14:textId="77777777" w:rsidR="002661BA" w:rsidRDefault="00D972BC">
            <w:pPr>
              <w:jc w:val="center"/>
              <w:textAlignment w:val="bottom"/>
            </w:pPr>
            <w:r>
              <w:rPr>
                <w:rFonts w:ascii="Arial" w:eastAsia="宋体" w:hAnsi="Arial" w:cs="Arial"/>
                <w:b/>
                <w:bCs/>
                <w:color w:val="000000"/>
                <w:sz w:val="17"/>
                <w:szCs w:val="17"/>
              </w:rPr>
              <w:t xml:space="preserve">(In </w:t>
            </w:r>
            <w:r>
              <w:rPr>
                <w:rFonts w:ascii="Arial" w:eastAsia="宋体" w:hAnsi="Arial" w:cs="Arial"/>
                <w:b/>
                <w:bCs/>
                <w:color w:val="000000"/>
                <w:sz w:val="17"/>
                <w:szCs w:val="17"/>
              </w:rPr>
              <w:t>millions)</w:t>
            </w:r>
          </w:p>
        </w:tc>
      </w:tr>
      <w:tr w:rsidR="002661BA" w14:paraId="22CFD95B" w14:textId="77777777">
        <w:tc>
          <w:tcPr>
            <w:tcW w:w="0" w:type="auto"/>
            <w:gridSpan w:val="3"/>
            <w:shd w:val="clear" w:color="auto" w:fill="DBDBDB"/>
            <w:tcMar>
              <w:top w:w="40" w:type="dxa"/>
              <w:left w:w="20" w:type="dxa"/>
              <w:bottom w:w="40" w:type="dxa"/>
              <w:right w:w="20" w:type="dxa"/>
            </w:tcMar>
            <w:vAlign w:val="bottom"/>
          </w:tcPr>
          <w:p w14:paraId="22CFD951" w14:textId="77777777" w:rsidR="002661BA" w:rsidRDefault="00D972BC">
            <w:pPr>
              <w:textAlignment w:val="bottom"/>
            </w:pPr>
            <w:r>
              <w:rPr>
                <w:rFonts w:ascii="Arial" w:eastAsia="宋体" w:hAnsi="Arial" w:cs="Arial"/>
                <w:b/>
                <w:bCs/>
                <w:color w:val="000000"/>
                <w:sz w:val="18"/>
                <w:szCs w:val="18"/>
              </w:rPr>
              <w:t>Allowances for Doubtful Accounts</w:t>
            </w:r>
          </w:p>
        </w:tc>
        <w:tc>
          <w:tcPr>
            <w:tcW w:w="0" w:type="auto"/>
            <w:gridSpan w:val="3"/>
            <w:shd w:val="clear" w:color="auto" w:fill="DBDBDB"/>
            <w:tcMar>
              <w:top w:w="0" w:type="dxa"/>
              <w:left w:w="20" w:type="dxa"/>
              <w:bottom w:w="0" w:type="dxa"/>
              <w:right w:w="20" w:type="dxa"/>
            </w:tcMar>
            <w:vAlign w:val="bottom"/>
          </w:tcPr>
          <w:p w14:paraId="22CFD952"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953"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954"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955"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956"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957"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958"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959"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95A" w14:textId="77777777" w:rsidR="002661BA" w:rsidRDefault="002661BA">
            <w:pPr>
              <w:rPr>
                <w:rFonts w:ascii="宋体"/>
              </w:rPr>
            </w:pPr>
          </w:p>
        </w:tc>
      </w:tr>
      <w:tr w:rsidR="002661BA" w14:paraId="22CFD970" w14:textId="77777777">
        <w:tc>
          <w:tcPr>
            <w:tcW w:w="0" w:type="auto"/>
            <w:gridSpan w:val="3"/>
            <w:shd w:val="clear" w:color="auto" w:fill="FFFFFF"/>
            <w:tcMar>
              <w:top w:w="40" w:type="dxa"/>
              <w:left w:w="275" w:type="dxa"/>
              <w:bottom w:w="40" w:type="dxa"/>
              <w:right w:w="20" w:type="dxa"/>
            </w:tcMar>
            <w:vAlign w:val="bottom"/>
          </w:tcPr>
          <w:p w14:paraId="22CFD95C" w14:textId="77777777" w:rsidR="002661BA" w:rsidRDefault="00D972BC">
            <w:pPr>
              <w:textAlignment w:val="bottom"/>
            </w:pPr>
            <w:r>
              <w:rPr>
                <w:rFonts w:ascii="Arial" w:eastAsia="宋体" w:hAnsi="Arial" w:cs="Arial"/>
                <w:color w:val="000000"/>
                <w:sz w:val="18"/>
                <w:szCs w:val="18"/>
              </w:rPr>
              <w:t>Year Ended December 31, 2019</w:t>
            </w:r>
          </w:p>
        </w:tc>
        <w:tc>
          <w:tcPr>
            <w:tcW w:w="0" w:type="auto"/>
            <w:shd w:val="clear" w:color="auto" w:fill="FFFFFF"/>
            <w:tcMar>
              <w:top w:w="40" w:type="dxa"/>
              <w:left w:w="20" w:type="dxa"/>
              <w:bottom w:w="40" w:type="dxa"/>
              <w:right w:w="0" w:type="dxa"/>
            </w:tcMar>
            <w:vAlign w:val="bottom"/>
          </w:tcPr>
          <w:p w14:paraId="22CFD95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95E" w14:textId="77777777" w:rsidR="002661BA" w:rsidRDefault="00D972BC">
            <w:pPr>
              <w:jc w:val="right"/>
              <w:textAlignment w:val="bottom"/>
            </w:pPr>
            <w:r>
              <w:rPr>
                <w:rFonts w:ascii="Arial" w:eastAsia="宋体" w:hAnsi="Arial" w:cs="Arial"/>
                <w:color w:val="000000"/>
                <w:sz w:val="18"/>
                <w:szCs w:val="18"/>
              </w:rPr>
              <w:t>63 </w:t>
            </w:r>
          </w:p>
        </w:tc>
        <w:tc>
          <w:tcPr>
            <w:tcW w:w="0" w:type="auto"/>
            <w:shd w:val="clear" w:color="auto" w:fill="FFFFFF"/>
            <w:tcMar>
              <w:top w:w="40" w:type="dxa"/>
              <w:left w:w="0" w:type="dxa"/>
              <w:bottom w:w="40" w:type="dxa"/>
              <w:right w:w="20" w:type="dxa"/>
            </w:tcMar>
            <w:vAlign w:val="bottom"/>
          </w:tcPr>
          <w:p w14:paraId="22CFD95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960"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961"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962" w14:textId="77777777" w:rsidR="002661BA" w:rsidRDefault="00D972BC">
            <w:pPr>
              <w:jc w:val="right"/>
              <w:textAlignment w:val="bottom"/>
            </w:pPr>
            <w:r>
              <w:rPr>
                <w:rFonts w:ascii="Arial" w:eastAsia="宋体" w:hAnsi="Arial" w:cs="Arial"/>
                <w:color w:val="000000"/>
                <w:sz w:val="18"/>
                <w:szCs w:val="18"/>
              </w:rPr>
              <w:t>109 </w:t>
            </w:r>
          </w:p>
        </w:tc>
        <w:tc>
          <w:tcPr>
            <w:tcW w:w="0" w:type="auto"/>
            <w:shd w:val="clear" w:color="auto" w:fill="FFFFFF"/>
            <w:tcMar>
              <w:top w:w="40" w:type="dxa"/>
              <w:left w:w="0" w:type="dxa"/>
              <w:bottom w:w="40" w:type="dxa"/>
              <w:right w:w="20" w:type="dxa"/>
            </w:tcMar>
            <w:vAlign w:val="bottom"/>
          </w:tcPr>
          <w:p w14:paraId="22CFD96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964"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965"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966"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96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968"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96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96A" w14:textId="77777777" w:rsidR="002661BA" w:rsidRDefault="00D972BC">
            <w:pPr>
              <w:jc w:val="right"/>
              <w:textAlignment w:val="bottom"/>
            </w:pPr>
            <w:r>
              <w:rPr>
                <w:rFonts w:ascii="Arial" w:eastAsia="宋体" w:hAnsi="Arial" w:cs="Arial"/>
                <w:color w:val="000000"/>
                <w:sz w:val="18"/>
                <w:szCs w:val="18"/>
              </w:rPr>
              <w:t>(91)</w:t>
            </w:r>
          </w:p>
        </w:tc>
        <w:tc>
          <w:tcPr>
            <w:tcW w:w="0" w:type="auto"/>
            <w:shd w:val="clear" w:color="auto" w:fill="FFFFFF"/>
            <w:tcMar>
              <w:top w:w="40" w:type="dxa"/>
              <w:left w:w="0" w:type="dxa"/>
              <w:bottom w:w="40" w:type="dxa"/>
              <w:right w:w="20" w:type="dxa"/>
            </w:tcMar>
            <w:vAlign w:val="bottom"/>
          </w:tcPr>
          <w:p w14:paraId="22CFD96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96C"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96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96E" w14:textId="77777777" w:rsidR="002661BA" w:rsidRDefault="00D972BC">
            <w:pPr>
              <w:jc w:val="right"/>
              <w:textAlignment w:val="bottom"/>
            </w:pPr>
            <w:r>
              <w:rPr>
                <w:rFonts w:ascii="Arial" w:eastAsia="宋体" w:hAnsi="Arial" w:cs="Arial"/>
                <w:color w:val="000000"/>
                <w:sz w:val="18"/>
                <w:szCs w:val="18"/>
              </w:rPr>
              <w:t>81 </w:t>
            </w:r>
          </w:p>
        </w:tc>
        <w:tc>
          <w:tcPr>
            <w:tcW w:w="0" w:type="auto"/>
            <w:shd w:val="clear" w:color="auto" w:fill="FFFFFF"/>
            <w:tcMar>
              <w:top w:w="40" w:type="dxa"/>
              <w:left w:w="0" w:type="dxa"/>
              <w:bottom w:w="40" w:type="dxa"/>
              <w:right w:w="20" w:type="dxa"/>
            </w:tcMar>
            <w:vAlign w:val="bottom"/>
          </w:tcPr>
          <w:p w14:paraId="22CFD96F" w14:textId="77777777" w:rsidR="002661BA" w:rsidRDefault="002661BA">
            <w:pPr>
              <w:jc w:val="right"/>
              <w:rPr>
                <w:rFonts w:ascii="宋体"/>
              </w:rPr>
            </w:pPr>
          </w:p>
        </w:tc>
      </w:tr>
      <w:tr w:rsidR="002661BA" w14:paraId="22CFD985" w14:textId="77777777">
        <w:tc>
          <w:tcPr>
            <w:tcW w:w="0" w:type="auto"/>
            <w:gridSpan w:val="3"/>
            <w:shd w:val="clear" w:color="auto" w:fill="DBDBDB"/>
            <w:tcMar>
              <w:top w:w="40" w:type="dxa"/>
              <w:left w:w="275" w:type="dxa"/>
              <w:bottom w:w="40" w:type="dxa"/>
              <w:right w:w="20" w:type="dxa"/>
            </w:tcMar>
            <w:vAlign w:val="bottom"/>
          </w:tcPr>
          <w:p w14:paraId="22CFD971" w14:textId="77777777" w:rsidR="002661BA" w:rsidRDefault="00D972BC">
            <w:pPr>
              <w:textAlignment w:val="bottom"/>
            </w:pPr>
            <w:r>
              <w:rPr>
                <w:rFonts w:ascii="Arial" w:eastAsia="宋体" w:hAnsi="Arial" w:cs="Arial"/>
                <w:color w:val="000000"/>
                <w:sz w:val="18"/>
                <w:szCs w:val="18"/>
              </w:rPr>
              <w:t>Year Ended December 31, 2020</w:t>
            </w:r>
          </w:p>
        </w:tc>
        <w:tc>
          <w:tcPr>
            <w:tcW w:w="0" w:type="auto"/>
            <w:shd w:val="clear" w:color="auto" w:fill="DBDBDB"/>
            <w:tcMar>
              <w:top w:w="40" w:type="dxa"/>
              <w:left w:w="20" w:type="dxa"/>
              <w:bottom w:w="40" w:type="dxa"/>
              <w:right w:w="0" w:type="dxa"/>
            </w:tcMar>
            <w:vAlign w:val="bottom"/>
          </w:tcPr>
          <w:p w14:paraId="22CFD972"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973" w14:textId="77777777" w:rsidR="002661BA" w:rsidRDefault="00D972BC">
            <w:pPr>
              <w:jc w:val="right"/>
              <w:textAlignment w:val="bottom"/>
            </w:pPr>
            <w:r>
              <w:rPr>
                <w:rFonts w:ascii="Arial" w:eastAsia="宋体" w:hAnsi="Arial" w:cs="Arial"/>
                <w:color w:val="000000"/>
                <w:sz w:val="18"/>
                <w:szCs w:val="18"/>
              </w:rPr>
              <w:t>81 </w:t>
            </w:r>
          </w:p>
        </w:tc>
        <w:tc>
          <w:tcPr>
            <w:tcW w:w="0" w:type="auto"/>
            <w:shd w:val="clear" w:color="auto" w:fill="DBDBDB"/>
            <w:tcMar>
              <w:top w:w="40" w:type="dxa"/>
              <w:left w:w="0" w:type="dxa"/>
              <w:bottom w:w="40" w:type="dxa"/>
              <w:right w:w="20" w:type="dxa"/>
            </w:tcMar>
            <w:vAlign w:val="bottom"/>
          </w:tcPr>
          <w:p w14:paraId="22CFD974"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975"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97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977" w14:textId="77777777" w:rsidR="002661BA" w:rsidRDefault="00D972BC">
            <w:pPr>
              <w:jc w:val="right"/>
              <w:textAlignment w:val="bottom"/>
            </w:pPr>
            <w:r>
              <w:rPr>
                <w:rFonts w:ascii="Arial" w:eastAsia="宋体" w:hAnsi="Arial" w:cs="Arial"/>
                <w:color w:val="000000"/>
                <w:sz w:val="18"/>
                <w:szCs w:val="18"/>
              </w:rPr>
              <w:t>132 </w:t>
            </w:r>
          </w:p>
        </w:tc>
        <w:tc>
          <w:tcPr>
            <w:tcW w:w="0" w:type="auto"/>
            <w:shd w:val="clear" w:color="auto" w:fill="DBDBDB"/>
            <w:tcMar>
              <w:top w:w="40" w:type="dxa"/>
              <w:left w:w="0" w:type="dxa"/>
              <w:bottom w:w="40" w:type="dxa"/>
              <w:right w:w="20" w:type="dxa"/>
            </w:tcMar>
            <w:vAlign w:val="bottom"/>
          </w:tcPr>
          <w:p w14:paraId="22CFD978"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979"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97A"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97B"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D97C"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97D"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97E"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97F" w14:textId="77777777" w:rsidR="002661BA" w:rsidRDefault="00D972BC">
            <w:pPr>
              <w:jc w:val="right"/>
              <w:textAlignment w:val="bottom"/>
            </w:pPr>
            <w:r>
              <w:rPr>
                <w:rFonts w:ascii="Arial" w:eastAsia="宋体" w:hAnsi="Arial" w:cs="Arial"/>
                <w:color w:val="000000"/>
                <w:sz w:val="18"/>
                <w:szCs w:val="18"/>
              </w:rPr>
              <w:t>(116)</w:t>
            </w:r>
          </w:p>
        </w:tc>
        <w:tc>
          <w:tcPr>
            <w:tcW w:w="0" w:type="auto"/>
            <w:shd w:val="clear" w:color="auto" w:fill="DBDBDB"/>
            <w:tcMar>
              <w:top w:w="40" w:type="dxa"/>
              <w:left w:w="0" w:type="dxa"/>
              <w:bottom w:w="40" w:type="dxa"/>
              <w:right w:w="20" w:type="dxa"/>
            </w:tcMar>
            <w:vAlign w:val="bottom"/>
          </w:tcPr>
          <w:p w14:paraId="22CFD980"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981"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982"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983" w14:textId="77777777" w:rsidR="002661BA" w:rsidRDefault="00D972BC">
            <w:pPr>
              <w:jc w:val="right"/>
              <w:textAlignment w:val="bottom"/>
            </w:pPr>
            <w:r>
              <w:rPr>
                <w:rFonts w:ascii="Arial" w:eastAsia="宋体" w:hAnsi="Arial" w:cs="Arial"/>
                <w:color w:val="000000"/>
                <w:sz w:val="18"/>
                <w:szCs w:val="18"/>
              </w:rPr>
              <w:t>97 </w:t>
            </w:r>
          </w:p>
        </w:tc>
        <w:tc>
          <w:tcPr>
            <w:tcW w:w="0" w:type="auto"/>
            <w:shd w:val="clear" w:color="auto" w:fill="DBDBDB"/>
            <w:tcMar>
              <w:top w:w="40" w:type="dxa"/>
              <w:left w:w="0" w:type="dxa"/>
              <w:bottom w:w="40" w:type="dxa"/>
              <w:right w:w="20" w:type="dxa"/>
            </w:tcMar>
            <w:vAlign w:val="bottom"/>
          </w:tcPr>
          <w:p w14:paraId="22CFD984" w14:textId="77777777" w:rsidR="002661BA" w:rsidRDefault="002661BA">
            <w:pPr>
              <w:jc w:val="right"/>
              <w:rPr>
                <w:rFonts w:ascii="宋体"/>
              </w:rPr>
            </w:pPr>
          </w:p>
        </w:tc>
      </w:tr>
      <w:tr w:rsidR="002661BA" w14:paraId="22CFD99A" w14:textId="77777777">
        <w:tc>
          <w:tcPr>
            <w:tcW w:w="0" w:type="auto"/>
            <w:gridSpan w:val="3"/>
            <w:shd w:val="clear" w:color="auto" w:fill="FFFFFF"/>
            <w:tcMar>
              <w:top w:w="40" w:type="dxa"/>
              <w:left w:w="275" w:type="dxa"/>
              <w:bottom w:w="40" w:type="dxa"/>
              <w:right w:w="20" w:type="dxa"/>
            </w:tcMar>
            <w:vAlign w:val="bottom"/>
          </w:tcPr>
          <w:p w14:paraId="22CFD986" w14:textId="77777777" w:rsidR="002661BA" w:rsidRDefault="00D972BC">
            <w:pPr>
              <w:textAlignment w:val="bottom"/>
            </w:pPr>
            <w:r>
              <w:rPr>
                <w:rFonts w:ascii="Arial" w:eastAsia="宋体" w:hAnsi="Arial" w:cs="Arial"/>
                <w:color w:val="000000"/>
                <w:sz w:val="18"/>
                <w:szCs w:val="18"/>
              </w:rPr>
              <w:t>Year Ended December 31, 2021</w:t>
            </w:r>
          </w:p>
        </w:tc>
        <w:tc>
          <w:tcPr>
            <w:tcW w:w="0" w:type="auto"/>
            <w:shd w:val="clear" w:color="auto" w:fill="FFFFFF"/>
            <w:tcMar>
              <w:top w:w="40" w:type="dxa"/>
              <w:left w:w="20" w:type="dxa"/>
              <w:bottom w:w="40" w:type="dxa"/>
              <w:right w:w="0" w:type="dxa"/>
            </w:tcMar>
            <w:vAlign w:val="bottom"/>
          </w:tcPr>
          <w:p w14:paraId="22CFD98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988" w14:textId="77777777" w:rsidR="002661BA" w:rsidRDefault="00D972BC">
            <w:pPr>
              <w:jc w:val="right"/>
              <w:textAlignment w:val="bottom"/>
            </w:pPr>
            <w:r>
              <w:rPr>
                <w:rFonts w:ascii="Arial" w:eastAsia="宋体" w:hAnsi="Arial" w:cs="Arial"/>
                <w:color w:val="000000"/>
                <w:sz w:val="18"/>
                <w:szCs w:val="18"/>
              </w:rPr>
              <w:t>97 </w:t>
            </w:r>
          </w:p>
        </w:tc>
        <w:tc>
          <w:tcPr>
            <w:tcW w:w="0" w:type="auto"/>
            <w:shd w:val="clear" w:color="auto" w:fill="FFFFFF"/>
            <w:tcMar>
              <w:top w:w="40" w:type="dxa"/>
              <w:left w:w="0" w:type="dxa"/>
              <w:bottom w:w="40" w:type="dxa"/>
              <w:right w:w="20" w:type="dxa"/>
            </w:tcMar>
            <w:vAlign w:val="bottom"/>
          </w:tcPr>
          <w:p w14:paraId="22CFD98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98A"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98B"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98C" w14:textId="77777777" w:rsidR="002661BA" w:rsidRDefault="00D972BC">
            <w:pPr>
              <w:jc w:val="right"/>
              <w:textAlignment w:val="bottom"/>
            </w:pPr>
            <w:r>
              <w:rPr>
                <w:rFonts w:ascii="Arial" w:eastAsia="宋体" w:hAnsi="Arial" w:cs="Arial"/>
                <w:color w:val="000000"/>
                <w:sz w:val="18"/>
                <w:szCs w:val="18"/>
              </w:rPr>
              <w:t>79 </w:t>
            </w:r>
          </w:p>
        </w:tc>
        <w:tc>
          <w:tcPr>
            <w:tcW w:w="0" w:type="auto"/>
            <w:shd w:val="clear" w:color="auto" w:fill="FFFFFF"/>
            <w:tcMar>
              <w:top w:w="40" w:type="dxa"/>
              <w:left w:w="0" w:type="dxa"/>
              <w:bottom w:w="40" w:type="dxa"/>
              <w:right w:w="20" w:type="dxa"/>
            </w:tcMar>
            <w:vAlign w:val="bottom"/>
          </w:tcPr>
          <w:p w14:paraId="22CFD98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98E"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98F"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990"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99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992"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99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994" w14:textId="77777777" w:rsidR="002661BA" w:rsidRDefault="00D972BC">
            <w:pPr>
              <w:jc w:val="right"/>
              <w:textAlignment w:val="bottom"/>
            </w:pPr>
            <w:r>
              <w:rPr>
                <w:rFonts w:ascii="Arial" w:eastAsia="宋体" w:hAnsi="Arial" w:cs="Arial"/>
                <w:color w:val="000000"/>
                <w:sz w:val="18"/>
                <w:szCs w:val="18"/>
              </w:rPr>
              <w:t>(134)</w:t>
            </w:r>
          </w:p>
        </w:tc>
        <w:tc>
          <w:tcPr>
            <w:tcW w:w="0" w:type="auto"/>
            <w:shd w:val="clear" w:color="auto" w:fill="FFFFFF"/>
            <w:tcMar>
              <w:top w:w="40" w:type="dxa"/>
              <w:left w:w="0" w:type="dxa"/>
              <w:bottom w:w="40" w:type="dxa"/>
              <w:right w:w="20" w:type="dxa"/>
            </w:tcMar>
            <w:vAlign w:val="bottom"/>
          </w:tcPr>
          <w:p w14:paraId="22CFD99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996"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99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998" w14:textId="77777777" w:rsidR="002661BA" w:rsidRDefault="00D972BC">
            <w:pPr>
              <w:jc w:val="right"/>
              <w:textAlignment w:val="bottom"/>
            </w:pPr>
            <w:r>
              <w:rPr>
                <w:rFonts w:ascii="Arial" w:eastAsia="宋体" w:hAnsi="Arial" w:cs="Arial"/>
                <w:color w:val="000000"/>
                <w:sz w:val="18"/>
                <w:szCs w:val="18"/>
              </w:rPr>
              <w:t>42 </w:t>
            </w:r>
          </w:p>
        </w:tc>
        <w:tc>
          <w:tcPr>
            <w:tcW w:w="0" w:type="auto"/>
            <w:shd w:val="clear" w:color="auto" w:fill="FFFFFF"/>
            <w:tcMar>
              <w:top w:w="40" w:type="dxa"/>
              <w:left w:w="0" w:type="dxa"/>
              <w:bottom w:w="40" w:type="dxa"/>
              <w:right w:w="20" w:type="dxa"/>
            </w:tcMar>
            <w:vAlign w:val="bottom"/>
          </w:tcPr>
          <w:p w14:paraId="22CFD999" w14:textId="77777777" w:rsidR="002661BA" w:rsidRDefault="002661BA">
            <w:pPr>
              <w:jc w:val="right"/>
              <w:rPr>
                <w:rFonts w:ascii="宋体"/>
              </w:rPr>
            </w:pPr>
          </w:p>
        </w:tc>
      </w:tr>
      <w:tr w:rsidR="002661BA" w14:paraId="22CFD9A5" w14:textId="77777777">
        <w:trPr>
          <w:trHeight w:val="280"/>
        </w:trPr>
        <w:tc>
          <w:tcPr>
            <w:tcW w:w="0" w:type="auto"/>
            <w:gridSpan w:val="3"/>
            <w:shd w:val="clear" w:color="auto" w:fill="DBDBDB"/>
            <w:tcMar>
              <w:top w:w="0" w:type="dxa"/>
              <w:left w:w="20" w:type="dxa"/>
              <w:bottom w:w="0" w:type="dxa"/>
              <w:right w:w="20" w:type="dxa"/>
            </w:tcMar>
            <w:vAlign w:val="bottom"/>
          </w:tcPr>
          <w:p w14:paraId="22CFD99B"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99C"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99D"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99E"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99F"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9A0"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9A1"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9A2"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9A3"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9A4" w14:textId="77777777" w:rsidR="002661BA" w:rsidRDefault="002661BA">
            <w:pPr>
              <w:rPr>
                <w:rFonts w:ascii="宋体"/>
              </w:rPr>
            </w:pPr>
          </w:p>
        </w:tc>
      </w:tr>
      <w:tr w:rsidR="002661BA" w14:paraId="22CFD9B0" w14:textId="77777777">
        <w:tc>
          <w:tcPr>
            <w:tcW w:w="0" w:type="auto"/>
            <w:gridSpan w:val="3"/>
            <w:shd w:val="clear" w:color="auto" w:fill="FFFFFF"/>
            <w:tcMar>
              <w:top w:w="40" w:type="dxa"/>
              <w:left w:w="20" w:type="dxa"/>
              <w:bottom w:w="40" w:type="dxa"/>
              <w:right w:w="20" w:type="dxa"/>
            </w:tcMar>
            <w:vAlign w:val="bottom"/>
          </w:tcPr>
          <w:p w14:paraId="22CFD9A6" w14:textId="77777777" w:rsidR="002661BA" w:rsidRDefault="00D972BC">
            <w:pPr>
              <w:textAlignment w:val="bottom"/>
            </w:pPr>
            <w:r>
              <w:rPr>
                <w:rFonts w:ascii="Arial" w:eastAsia="宋体" w:hAnsi="Arial" w:cs="Arial"/>
                <w:b/>
                <w:bCs/>
                <w:color w:val="000000"/>
                <w:sz w:val="18"/>
                <w:szCs w:val="18"/>
              </w:rPr>
              <w:t>Allowance for Authorized Credits</w:t>
            </w:r>
          </w:p>
        </w:tc>
        <w:tc>
          <w:tcPr>
            <w:tcW w:w="0" w:type="auto"/>
            <w:gridSpan w:val="3"/>
            <w:shd w:val="clear" w:color="auto" w:fill="FFFFFF"/>
            <w:tcMar>
              <w:top w:w="0" w:type="dxa"/>
              <w:left w:w="20" w:type="dxa"/>
              <w:bottom w:w="0" w:type="dxa"/>
              <w:right w:w="20" w:type="dxa"/>
            </w:tcMar>
            <w:vAlign w:val="bottom"/>
          </w:tcPr>
          <w:p w14:paraId="22CFD9A7"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9A8"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9A9"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9AA"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9AB"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9AC"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9AD"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9AE"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9AF" w14:textId="77777777" w:rsidR="002661BA" w:rsidRDefault="002661BA">
            <w:pPr>
              <w:rPr>
                <w:rFonts w:ascii="宋体"/>
              </w:rPr>
            </w:pPr>
          </w:p>
        </w:tc>
      </w:tr>
      <w:tr w:rsidR="002661BA" w14:paraId="22CFD9C5" w14:textId="77777777">
        <w:tc>
          <w:tcPr>
            <w:tcW w:w="0" w:type="auto"/>
            <w:gridSpan w:val="3"/>
            <w:shd w:val="clear" w:color="auto" w:fill="DBDBDB"/>
            <w:tcMar>
              <w:top w:w="40" w:type="dxa"/>
              <w:left w:w="275" w:type="dxa"/>
              <w:bottom w:w="40" w:type="dxa"/>
              <w:right w:w="20" w:type="dxa"/>
            </w:tcMar>
            <w:vAlign w:val="bottom"/>
          </w:tcPr>
          <w:p w14:paraId="22CFD9B1" w14:textId="77777777" w:rsidR="002661BA" w:rsidRDefault="00D972BC">
            <w:pPr>
              <w:textAlignment w:val="bottom"/>
            </w:pPr>
            <w:r>
              <w:rPr>
                <w:rFonts w:ascii="Arial" w:eastAsia="宋体" w:hAnsi="Arial" w:cs="Arial"/>
                <w:color w:val="000000"/>
                <w:sz w:val="18"/>
                <w:szCs w:val="18"/>
              </w:rPr>
              <w:t xml:space="preserve">Year Ended December 31, </w:t>
            </w:r>
            <w:r>
              <w:rPr>
                <w:rFonts w:ascii="Arial" w:eastAsia="宋体" w:hAnsi="Arial" w:cs="Arial"/>
                <w:color w:val="000000"/>
                <w:sz w:val="18"/>
                <w:szCs w:val="18"/>
              </w:rPr>
              <w:t>2019</w:t>
            </w:r>
          </w:p>
        </w:tc>
        <w:tc>
          <w:tcPr>
            <w:tcW w:w="0" w:type="auto"/>
            <w:shd w:val="clear" w:color="auto" w:fill="DBDBDB"/>
            <w:tcMar>
              <w:top w:w="40" w:type="dxa"/>
              <w:left w:w="20" w:type="dxa"/>
              <w:bottom w:w="40" w:type="dxa"/>
              <w:right w:w="0" w:type="dxa"/>
            </w:tcMar>
            <w:vAlign w:val="bottom"/>
          </w:tcPr>
          <w:p w14:paraId="22CFD9B2"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9B3" w14:textId="77777777" w:rsidR="002661BA" w:rsidRDefault="00D972BC">
            <w:pPr>
              <w:jc w:val="right"/>
              <w:textAlignment w:val="bottom"/>
            </w:pPr>
            <w:r>
              <w:rPr>
                <w:rFonts w:ascii="Arial" w:eastAsia="宋体" w:hAnsi="Arial" w:cs="Arial"/>
                <w:color w:val="000000"/>
                <w:sz w:val="18"/>
                <w:szCs w:val="18"/>
              </w:rPr>
              <w:t>31 </w:t>
            </w:r>
          </w:p>
        </w:tc>
        <w:tc>
          <w:tcPr>
            <w:tcW w:w="0" w:type="auto"/>
            <w:shd w:val="clear" w:color="auto" w:fill="DBDBDB"/>
            <w:tcMar>
              <w:top w:w="40" w:type="dxa"/>
              <w:left w:w="0" w:type="dxa"/>
              <w:bottom w:w="40" w:type="dxa"/>
              <w:right w:w="20" w:type="dxa"/>
            </w:tcMar>
            <w:vAlign w:val="bottom"/>
          </w:tcPr>
          <w:p w14:paraId="22CFD9B4"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9B5"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9B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9B7" w14:textId="77777777" w:rsidR="002661BA" w:rsidRDefault="00D972BC">
            <w:pPr>
              <w:jc w:val="right"/>
              <w:textAlignment w:val="bottom"/>
            </w:pPr>
            <w:r>
              <w:rPr>
                <w:rFonts w:ascii="Arial" w:eastAsia="宋体" w:hAnsi="Arial" w:cs="Arial"/>
                <w:color w:val="000000"/>
                <w:sz w:val="18"/>
                <w:szCs w:val="18"/>
              </w:rPr>
              <w:t>(3)</w:t>
            </w:r>
          </w:p>
        </w:tc>
        <w:tc>
          <w:tcPr>
            <w:tcW w:w="0" w:type="auto"/>
            <w:shd w:val="clear" w:color="auto" w:fill="DBDBDB"/>
            <w:tcMar>
              <w:top w:w="40" w:type="dxa"/>
              <w:left w:w="0" w:type="dxa"/>
              <w:bottom w:w="40" w:type="dxa"/>
              <w:right w:w="20" w:type="dxa"/>
            </w:tcMar>
            <w:vAlign w:val="bottom"/>
          </w:tcPr>
          <w:p w14:paraId="22CFD9B8"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9B9"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9BA"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9BB"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D9BC"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9BD"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9BE"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9BF"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D9C0"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9C1"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9C2"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9C3" w14:textId="77777777" w:rsidR="002661BA" w:rsidRDefault="00D972BC">
            <w:pPr>
              <w:jc w:val="right"/>
              <w:textAlignment w:val="bottom"/>
            </w:pPr>
            <w:r>
              <w:rPr>
                <w:rFonts w:ascii="Arial" w:eastAsia="宋体" w:hAnsi="Arial" w:cs="Arial"/>
                <w:color w:val="000000"/>
                <w:sz w:val="18"/>
                <w:szCs w:val="18"/>
              </w:rPr>
              <w:t>28 </w:t>
            </w:r>
          </w:p>
        </w:tc>
        <w:tc>
          <w:tcPr>
            <w:tcW w:w="0" w:type="auto"/>
            <w:shd w:val="clear" w:color="auto" w:fill="DBDBDB"/>
            <w:tcMar>
              <w:top w:w="40" w:type="dxa"/>
              <w:left w:w="0" w:type="dxa"/>
              <w:bottom w:w="40" w:type="dxa"/>
              <w:right w:w="20" w:type="dxa"/>
            </w:tcMar>
            <w:vAlign w:val="bottom"/>
          </w:tcPr>
          <w:p w14:paraId="22CFD9C4" w14:textId="77777777" w:rsidR="002661BA" w:rsidRDefault="002661BA">
            <w:pPr>
              <w:jc w:val="right"/>
              <w:rPr>
                <w:rFonts w:ascii="宋体"/>
              </w:rPr>
            </w:pPr>
          </w:p>
        </w:tc>
      </w:tr>
      <w:tr w:rsidR="002661BA" w14:paraId="22CFD9DA" w14:textId="77777777">
        <w:tc>
          <w:tcPr>
            <w:tcW w:w="0" w:type="auto"/>
            <w:gridSpan w:val="3"/>
            <w:shd w:val="clear" w:color="auto" w:fill="FFFFFF"/>
            <w:tcMar>
              <w:top w:w="40" w:type="dxa"/>
              <w:left w:w="275" w:type="dxa"/>
              <w:bottom w:w="40" w:type="dxa"/>
              <w:right w:w="20" w:type="dxa"/>
            </w:tcMar>
            <w:vAlign w:val="bottom"/>
          </w:tcPr>
          <w:p w14:paraId="22CFD9C6" w14:textId="77777777" w:rsidR="002661BA" w:rsidRDefault="00D972BC">
            <w:pPr>
              <w:textAlignment w:val="bottom"/>
            </w:pPr>
            <w:r>
              <w:rPr>
                <w:rFonts w:ascii="Arial" w:eastAsia="宋体" w:hAnsi="Arial" w:cs="Arial"/>
                <w:color w:val="000000"/>
                <w:sz w:val="18"/>
                <w:szCs w:val="18"/>
              </w:rPr>
              <w:t>Year Ended December 31, 2020</w:t>
            </w:r>
          </w:p>
        </w:tc>
        <w:tc>
          <w:tcPr>
            <w:tcW w:w="0" w:type="auto"/>
            <w:shd w:val="clear" w:color="auto" w:fill="FFFFFF"/>
            <w:tcMar>
              <w:top w:w="40" w:type="dxa"/>
              <w:left w:w="20" w:type="dxa"/>
              <w:bottom w:w="40" w:type="dxa"/>
              <w:right w:w="0" w:type="dxa"/>
            </w:tcMar>
            <w:vAlign w:val="bottom"/>
          </w:tcPr>
          <w:p w14:paraId="22CFD9C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9C8" w14:textId="77777777" w:rsidR="002661BA" w:rsidRDefault="00D972BC">
            <w:pPr>
              <w:jc w:val="right"/>
              <w:textAlignment w:val="bottom"/>
            </w:pPr>
            <w:r>
              <w:rPr>
                <w:rFonts w:ascii="Arial" w:eastAsia="宋体" w:hAnsi="Arial" w:cs="Arial"/>
                <w:color w:val="000000"/>
                <w:sz w:val="18"/>
                <w:szCs w:val="18"/>
              </w:rPr>
              <w:t>28 </w:t>
            </w:r>
          </w:p>
        </w:tc>
        <w:tc>
          <w:tcPr>
            <w:tcW w:w="0" w:type="auto"/>
            <w:shd w:val="clear" w:color="auto" w:fill="FFFFFF"/>
            <w:tcMar>
              <w:top w:w="40" w:type="dxa"/>
              <w:left w:w="0" w:type="dxa"/>
              <w:bottom w:w="40" w:type="dxa"/>
              <w:right w:w="20" w:type="dxa"/>
            </w:tcMar>
            <w:vAlign w:val="bottom"/>
          </w:tcPr>
          <w:p w14:paraId="22CFD9C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9CA"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9CB"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9CC" w14:textId="77777777" w:rsidR="002661BA" w:rsidRDefault="00D972BC">
            <w:pPr>
              <w:jc w:val="right"/>
              <w:textAlignment w:val="bottom"/>
            </w:pPr>
            <w:r>
              <w:rPr>
                <w:rFonts w:ascii="Arial" w:eastAsia="宋体" w:hAnsi="Arial" w:cs="Arial"/>
                <w:color w:val="000000"/>
                <w:sz w:val="18"/>
                <w:szCs w:val="18"/>
              </w:rPr>
              <w:t>11 </w:t>
            </w:r>
          </w:p>
        </w:tc>
        <w:tc>
          <w:tcPr>
            <w:tcW w:w="0" w:type="auto"/>
            <w:shd w:val="clear" w:color="auto" w:fill="FFFFFF"/>
            <w:tcMar>
              <w:top w:w="40" w:type="dxa"/>
              <w:left w:w="0" w:type="dxa"/>
              <w:bottom w:w="40" w:type="dxa"/>
              <w:right w:w="20" w:type="dxa"/>
            </w:tcMar>
            <w:vAlign w:val="bottom"/>
          </w:tcPr>
          <w:p w14:paraId="22CFD9C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9CE"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9CF"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9D0"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9D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9D2"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9D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9D4"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9D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9D6"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9D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9D8" w14:textId="77777777" w:rsidR="002661BA" w:rsidRDefault="00D972BC">
            <w:pPr>
              <w:jc w:val="right"/>
              <w:textAlignment w:val="bottom"/>
            </w:pPr>
            <w:r>
              <w:rPr>
                <w:rFonts w:ascii="Arial" w:eastAsia="宋体" w:hAnsi="Arial" w:cs="Arial"/>
                <w:color w:val="000000"/>
                <w:sz w:val="18"/>
                <w:szCs w:val="18"/>
              </w:rPr>
              <w:t>39 </w:t>
            </w:r>
          </w:p>
        </w:tc>
        <w:tc>
          <w:tcPr>
            <w:tcW w:w="0" w:type="auto"/>
            <w:shd w:val="clear" w:color="auto" w:fill="FFFFFF"/>
            <w:tcMar>
              <w:top w:w="40" w:type="dxa"/>
              <w:left w:w="0" w:type="dxa"/>
              <w:bottom w:w="40" w:type="dxa"/>
              <w:right w:w="20" w:type="dxa"/>
            </w:tcMar>
            <w:vAlign w:val="bottom"/>
          </w:tcPr>
          <w:p w14:paraId="22CFD9D9" w14:textId="77777777" w:rsidR="002661BA" w:rsidRDefault="002661BA">
            <w:pPr>
              <w:jc w:val="right"/>
              <w:rPr>
                <w:rFonts w:ascii="宋体"/>
              </w:rPr>
            </w:pPr>
          </w:p>
        </w:tc>
      </w:tr>
      <w:tr w:rsidR="002661BA" w14:paraId="22CFD9EF" w14:textId="77777777">
        <w:tc>
          <w:tcPr>
            <w:tcW w:w="0" w:type="auto"/>
            <w:gridSpan w:val="3"/>
            <w:shd w:val="clear" w:color="auto" w:fill="DBDBDB"/>
            <w:tcMar>
              <w:top w:w="40" w:type="dxa"/>
              <w:left w:w="275" w:type="dxa"/>
              <w:bottom w:w="40" w:type="dxa"/>
              <w:right w:w="20" w:type="dxa"/>
            </w:tcMar>
            <w:vAlign w:val="bottom"/>
          </w:tcPr>
          <w:p w14:paraId="22CFD9DB" w14:textId="77777777" w:rsidR="002661BA" w:rsidRDefault="00D972BC">
            <w:pPr>
              <w:textAlignment w:val="bottom"/>
            </w:pPr>
            <w:r>
              <w:rPr>
                <w:rFonts w:ascii="Arial" w:eastAsia="宋体" w:hAnsi="Arial" w:cs="Arial"/>
                <w:color w:val="000000"/>
                <w:sz w:val="18"/>
                <w:szCs w:val="18"/>
              </w:rPr>
              <w:t>Year Ended December 31, 2021</w:t>
            </w:r>
          </w:p>
        </w:tc>
        <w:tc>
          <w:tcPr>
            <w:tcW w:w="0" w:type="auto"/>
            <w:shd w:val="clear" w:color="auto" w:fill="DBDBDB"/>
            <w:tcMar>
              <w:top w:w="40" w:type="dxa"/>
              <w:left w:w="20" w:type="dxa"/>
              <w:bottom w:w="40" w:type="dxa"/>
              <w:right w:w="0" w:type="dxa"/>
            </w:tcMar>
            <w:vAlign w:val="bottom"/>
          </w:tcPr>
          <w:p w14:paraId="22CFD9D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9DD" w14:textId="77777777" w:rsidR="002661BA" w:rsidRDefault="00D972BC">
            <w:pPr>
              <w:jc w:val="right"/>
              <w:textAlignment w:val="bottom"/>
            </w:pPr>
            <w:r>
              <w:rPr>
                <w:rFonts w:ascii="Arial" w:eastAsia="宋体" w:hAnsi="Arial" w:cs="Arial"/>
                <w:color w:val="000000"/>
                <w:sz w:val="18"/>
                <w:szCs w:val="18"/>
              </w:rPr>
              <w:t>39 </w:t>
            </w:r>
          </w:p>
        </w:tc>
        <w:tc>
          <w:tcPr>
            <w:tcW w:w="0" w:type="auto"/>
            <w:shd w:val="clear" w:color="auto" w:fill="DBDBDB"/>
            <w:tcMar>
              <w:top w:w="40" w:type="dxa"/>
              <w:left w:w="0" w:type="dxa"/>
              <w:bottom w:w="40" w:type="dxa"/>
              <w:right w:w="20" w:type="dxa"/>
            </w:tcMar>
            <w:vAlign w:val="bottom"/>
          </w:tcPr>
          <w:p w14:paraId="22CFD9DE"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9DF"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9E0"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9E1" w14:textId="77777777" w:rsidR="002661BA" w:rsidRDefault="00D972BC">
            <w:pPr>
              <w:jc w:val="right"/>
              <w:textAlignment w:val="bottom"/>
            </w:pPr>
            <w:r>
              <w:rPr>
                <w:rFonts w:ascii="Arial" w:eastAsia="宋体" w:hAnsi="Arial" w:cs="Arial"/>
                <w:color w:val="000000"/>
                <w:sz w:val="18"/>
                <w:szCs w:val="18"/>
              </w:rPr>
              <w:t>(8)</w:t>
            </w:r>
          </w:p>
        </w:tc>
        <w:tc>
          <w:tcPr>
            <w:tcW w:w="0" w:type="auto"/>
            <w:shd w:val="clear" w:color="auto" w:fill="DBDBDB"/>
            <w:tcMar>
              <w:top w:w="40" w:type="dxa"/>
              <w:left w:w="0" w:type="dxa"/>
              <w:bottom w:w="40" w:type="dxa"/>
              <w:right w:w="20" w:type="dxa"/>
            </w:tcMar>
            <w:vAlign w:val="bottom"/>
          </w:tcPr>
          <w:p w14:paraId="22CFD9E2"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9E3"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9E4"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9E5"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D9E6"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9E7"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9E8"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9E9" w14:textId="77777777" w:rsidR="002661BA" w:rsidRDefault="00D972BC">
            <w:pPr>
              <w:jc w:val="right"/>
              <w:textAlignment w:val="bottom"/>
            </w:pPr>
            <w:r>
              <w:rPr>
                <w:rFonts w:ascii="Arial" w:eastAsia="宋体" w:hAnsi="Arial" w:cs="Arial"/>
                <w:color w:val="000000"/>
                <w:sz w:val="18"/>
                <w:szCs w:val="18"/>
              </w:rPr>
              <w:t>1 </w:t>
            </w:r>
          </w:p>
        </w:tc>
        <w:tc>
          <w:tcPr>
            <w:tcW w:w="0" w:type="auto"/>
            <w:shd w:val="clear" w:color="auto" w:fill="DBDBDB"/>
            <w:tcMar>
              <w:top w:w="40" w:type="dxa"/>
              <w:left w:w="0" w:type="dxa"/>
              <w:bottom w:w="40" w:type="dxa"/>
              <w:right w:w="20" w:type="dxa"/>
            </w:tcMar>
            <w:vAlign w:val="bottom"/>
          </w:tcPr>
          <w:p w14:paraId="22CFD9EA"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9EB"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9E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9ED" w14:textId="77777777" w:rsidR="002661BA" w:rsidRDefault="00D972BC">
            <w:pPr>
              <w:jc w:val="right"/>
              <w:textAlignment w:val="bottom"/>
            </w:pPr>
            <w:r>
              <w:rPr>
                <w:rFonts w:ascii="Arial" w:eastAsia="宋体" w:hAnsi="Arial" w:cs="Arial"/>
                <w:color w:val="000000"/>
                <w:sz w:val="18"/>
                <w:szCs w:val="18"/>
              </w:rPr>
              <w:t>32 </w:t>
            </w:r>
          </w:p>
        </w:tc>
        <w:tc>
          <w:tcPr>
            <w:tcW w:w="0" w:type="auto"/>
            <w:shd w:val="clear" w:color="auto" w:fill="DBDBDB"/>
            <w:tcMar>
              <w:top w:w="40" w:type="dxa"/>
              <w:left w:w="0" w:type="dxa"/>
              <w:bottom w:w="40" w:type="dxa"/>
              <w:right w:w="20" w:type="dxa"/>
            </w:tcMar>
            <w:vAlign w:val="bottom"/>
          </w:tcPr>
          <w:p w14:paraId="22CFD9EE" w14:textId="77777777" w:rsidR="002661BA" w:rsidRDefault="002661BA">
            <w:pPr>
              <w:jc w:val="right"/>
              <w:rPr>
                <w:rFonts w:ascii="宋体"/>
              </w:rPr>
            </w:pPr>
          </w:p>
        </w:tc>
      </w:tr>
      <w:tr w:rsidR="002661BA" w14:paraId="22CFD9FA" w14:textId="77777777">
        <w:trPr>
          <w:trHeight w:val="280"/>
        </w:trPr>
        <w:tc>
          <w:tcPr>
            <w:tcW w:w="0" w:type="auto"/>
            <w:gridSpan w:val="3"/>
            <w:shd w:val="clear" w:color="auto" w:fill="FFFFFF"/>
            <w:tcMar>
              <w:top w:w="0" w:type="dxa"/>
              <w:left w:w="20" w:type="dxa"/>
              <w:bottom w:w="0" w:type="dxa"/>
              <w:right w:w="20" w:type="dxa"/>
            </w:tcMar>
            <w:vAlign w:val="bottom"/>
          </w:tcPr>
          <w:p w14:paraId="22CFD9F0"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9F1"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9F2"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9F3"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9F4"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9F5"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9F6"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9F7"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9F8"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9F9" w14:textId="77777777" w:rsidR="002661BA" w:rsidRDefault="002661BA">
            <w:pPr>
              <w:rPr>
                <w:rFonts w:ascii="宋体"/>
              </w:rPr>
            </w:pPr>
          </w:p>
        </w:tc>
      </w:tr>
      <w:tr w:rsidR="002661BA" w14:paraId="22CFDA05" w14:textId="77777777">
        <w:tc>
          <w:tcPr>
            <w:tcW w:w="0" w:type="auto"/>
            <w:gridSpan w:val="3"/>
            <w:shd w:val="clear" w:color="auto" w:fill="DBDBDB"/>
            <w:tcMar>
              <w:top w:w="40" w:type="dxa"/>
              <w:left w:w="20" w:type="dxa"/>
              <w:bottom w:w="40" w:type="dxa"/>
              <w:right w:w="20" w:type="dxa"/>
            </w:tcMar>
            <w:vAlign w:val="bottom"/>
          </w:tcPr>
          <w:p w14:paraId="22CFD9FB" w14:textId="77777777" w:rsidR="002661BA" w:rsidRDefault="00D972BC">
            <w:pPr>
              <w:textAlignment w:val="bottom"/>
            </w:pPr>
            <w:r>
              <w:rPr>
                <w:rFonts w:ascii="Arial" w:eastAsia="宋体" w:hAnsi="Arial" w:cs="Arial"/>
                <w:b/>
                <w:bCs/>
                <w:color w:val="000000"/>
                <w:sz w:val="18"/>
                <w:szCs w:val="18"/>
              </w:rPr>
              <w:t>Allowance for Transaction Losses</w:t>
            </w:r>
          </w:p>
        </w:tc>
        <w:tc>
          <w:tcPr>
            <w:tcW w:w="0" w:type="auto"/>
            <w:gridSpan w:val="3"/>
            <w:shd w:val="clear" w:color="auto" w:fill="DBDBDB"/>
            <w:tcMar>
              <w:top w:w="0" w:type="dxa"/>
              <w:left w:w="20" w:type="dxa"/>
              <w:bottom w:w="0" w:type="dxa"/>
              <w:right w:w="20" w:type="dxa"/>
            </w:tcMar>
            <w:vAlign w:val="bottom"/>
          </w:tcPr>
          <w:p w14:paraId="22CFD9FC"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9FD"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9FE"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9FF"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A00"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A01"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A02"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A03"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A04" w14:textId="77777777" w:rsidR="002661BA" w:rsidRDefault="002661BA">
            <w:pPr>
              <w:rPr>
                <w:rFonts w:ascii="宋体"/>
              </w:rPr>
            </w:pPr>
          </w:p>
        </w:tc>
      </w:tr>
      <w:tr w:rsidR="002661BA" w14:paraId="22CFDA1A" w14:textId="77777777">
        <w:tc>
          <w:tcPr>
            <w:tcW w:w="0" w:type="auto"/>
            <w:gridSpan w:val="3"/>
            <w:shd w:val="clear" w:color="auto" w:fill="FFFFFF"/>
            <w:tcMar>
              <w:top w:w="40" w:type="dxa"/>
              <w:left w:w="275" w:type="dxa"/>
              <w:bottom w:w="40" w:type="dxa"/>
              <w:right w:w="20" w:type="dxa"/>
            </w:tcMar>
            <w:vAlign w:val="bottom"/>
          </w:tcPr>
          <w:p w14:paraId="22CFDA06" w14:textId="77777777" w:rsidR="002661BA" w:rsidRDefault="00D972BC">
            <w:pPr>
              <w:textAlignment w:val="bottom"/>
            </w:pPr>
            <w:r>
              <w:rPr>
                <w:rFonts w:ascii="Arial" w:eastAsia="宋体" w:hAnsi="Arial" w:cs="Arial"/>
                <w:color w:val="000000"/>
                <w:sz w:val="18"/>
                <w:szCs w:val="18"/>
              </w:rPr>
              <w:t xml:space="preserve">Year Ended December 31, </w:t>
            </w:r>
            <w:r>
              <w:rPr>
                <w:rFonts w:ascii="Arial" w:eastAsia="宋体" w:hAnsi="Arial" w:cs="Arial"/>
                <w:color w:val="000000"/>
                <w:sz w:val="18"/>
                <w:szCs w:val="18"/>
              </w:rPr>
              <w:t>2019</w:t>
            </w:r>
          </w:p>
        </w:tc>
        <w:tc>
          <w:tcPr>
            <w:tcW w:w="0" w:type="auto"/>
            <w:shd w:val="clear" w:color="auto" w:fill="FFFFFF"/>
            <w:tcMar>
              <w:top w:w="40" w:type="dxa"/>
              <w:left w:w="20" w:type="dxa"/>
              <w:bottom w:w="40" w:type="dxa"/>
              <w:right w:w="0" w:type="dxa"/>
            </w:tcMar>
            <w:vAlign w:val="bottom"/>
          </w:tcPr>
          <w:p w14:paraId="22CFDA0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A08" w14:textId="77777777" w:rsidR="002661BA" w:rsidRDefault="00D972BC">
            <w:pPr>
              <w:jc w:val="right"/>
              <w:textAlignment w:val="bottom"/>
            </w:pPr>
            <w:r>
              <w:rPr>
                <w:rFonts w:ascii="Arial" w:eastAsia="宋体" w:hAnsi="Arial" w:cs="Arial"/>
                <w:color w:val="000000"/>
                <w:sz w:val="18"/>
                <w:szCs w:val="18"/>
              </w:rPr>
              <w:t>23 </w:t>
            </w:r>
          </w:p>
        </w:tc>
        <w:tc>
          <w:tcPr>
            <w:tcW w:w="0" w:type="auto"/>
            <w:shd w:val="clear" w:color="auto" w:fill="FFFFFF"/>
            <w:tcMar>
              <w:top w:w="40" w:type="dxa"/>
              <w:left w:w="0" w:type="dxa"/>
              <w:bottom w:w="40" w:type="dxa"/>
              <w:right w:w="20" w:type="dxa"/>
            </w:tcMar>
            <w:vAlign w:val="bottom"/>
          </w:tcPr>
          <w:p w14:paraId="22CFDA09"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A0A"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A0B"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A0C" w14:textId="77777777" w:rsidR="002661BA" w:rsidRDefault="00D972BC">
            <w:pPr>
              <w:jc w:val="right"/>
              <w:textAlignment w:val="bottom"/>
            </w:pPr>
            <w:r>
              <w:rPr>
                <w:rFonts w:ascii="Arial" w:eastAsia="宋体" w:hAnsi="Arial" w:cs="Arial"/>
                <w:color w:val="000000"/>
                <w:sz w:val="18"/>
                <w:szCs w:val="18"/>
              </w:rPr>
              <w:t>153 </w:t>
            </w:r>
          </w:p>
        </w:tc>
        <w:tc>
          <w:tcPr>
            <w:tcW w:w="0" w:type="auto"/>
            <w:shd w:val="clear" w:color="auto" w:fill="FFFFFF"/>
            <w:tcMar>
              <w:top w:w="40" w:type="dxa"/>
              <w:left w:w="0" w:type="dxa"/>
              <w:bottom w:w="40" w:type="dxa"/>
              <w:right w:w="20" w:type="dxa"/>
            </w:tcMar>
            <w:vAlign w:val="bottom"/>
          </w:tcPr>
          <w:p w14:paraId="22CFDA0D"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A0E"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A0F"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A10"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A11"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A12"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A13"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A14" w14:textId="77777777" w:rsidR="002661BA" w:rsidRDefault="00D972BC">
            <w:pPr>
              <w:jc w:val="right"/>
              <w:textAlignment w:val="bottom"/>
            </w:pPr>
            <w:r>
              <w:rPr>
                <w:rFonts w:ascii="Arial" w:eastAsia="宋体" w:hAnsi="Arial" w:cs="Arial"/>
                <w:color w:val="000000"/>
                <w:sz w:val="18"/>
                <w:szCs w:val="18"/>
              </w:rPr>
              <w:t>(153)</w:t>
            </w:r>
          </w:p>
        </w:tc>
        <w:tc>
          <w:tcPr>
            <w:tcW w:w="0" w:type="auto"/>
            <w:shd w:val="clear" w:color="auto" w:fill="FFFFFF"/>
            <w:tcMar>
              <w:top w:w="40" w:type="dxa"/>
              <w:left w:w="0" w:type="dxa"/>
              <w:bottom w:w="40" w:type="dxa"/>
              <w:right w:w="20" w:type="dxa"/>
            </w:tcMar>
            <w:vAlign w:val="bottom"/>
          </w:tcPr>
          <w:p w14:paraId="22CFDA15"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A16"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A17"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A18" w14:textId="77777777" w:rsidR="002661BA" w:rsidRDefault="00D972BC">
            <w:pPr>
              <w:jc w:val="right"/>
              <w:textAlignment w:val="bottom"/>
            </w:pPr>
            <w:r>
              <w:rPr>
                <w:rFonts w:ascii="Arial" w:eastAsia="宋体" w:hAnsi="Arial" w:cs="Arial"/>
                <w:color w:val="000000"/>
                <w:sz w:val="18"/>
                <w:szCs w:val="18"/>
              </w:rPr>
              <w:t>23 </w:t>
            </w:r>
          </w:p>
        </w:tc>
        <w:tc>
          <w:tcPr>
            <w:tcW w:w="0" w:type="auto"/>
            <w:shd w:val="clear" w:color="auto" w:fill="FFFFFF"/>
            <w:tcMar>
              <w:top w:w="40" w:type="dxa"/>
              <w:left w:w="0" w:type="dxa"/>
              <w:bottom w:w="40" w:type="dxa"/>
              <w:right w:w="20" w:type="dxa"/>
            </w:tcMar>
            <w:vAlign w:val="bottom"/>
          </w:tcPr>
          <w:p w14:paraId="22CFDA19" w14:textId="77777777" w:rsidR="002661BA" w:rsidRDefault="002661BA">
            <w:pPr>
              <w:jc w:val="right"/>
              <w:rPr>
                <w:rFonts w:ascii="宋体"/>
              </w:rPr>
            </w:pPr>
          </w:p>
        </w:tc>
      </w:tr>
      <w:tr w:rsidR="002661BA" w14:paraId="22CFDA2F" w14:textId="77777777">
        <w:tc>
          <w:tcPr>
            <w:tcW w:w="0" w:type="auto"/>
            <w:gridSpan w:val="3"/>
            <w:shd w:val="clear" w:color="auto" w:fill="DBDBDB"/>
            <w:tcMar>
              <w:top w:w="40" w:type="dxa"/>
              <w:left w:w="275" w:type="dxa"/>
              <w:bottom w:w="40" w:type="dxa"/>
              <w:right w:w="20" w:type="dxa"/>
            </w:tcMar>
            <w:vAlign w:val="bottom"/>
          </w:tcPr>
          <w:p w14:paraId="22CFDA1B" w14:textId="77777777" w:rsidR="002661BA" w:rsidRDefault="00D972BC">
            <w:pPr>
              <w:textAlignment w:val="bottom"/>
            </w:pPr>
            <w:r>
              <w:rPr>
                <w:rFonts w:ascii="Arial" w:eastAsia="宋体" w:hAnsi="Arial" w:cs="Arial"/>
                <w:color w:val="000000"/>
                <w:sz w:val="18"/>
                <w:szCs w:val="18"/>
              </w:rPr>
              <w:t>Year Ended December 31, 2020</w:t>
            </w:r>
          </w:p>
        </w:tc>
        <w:tc>
          <w:tcPr>
            <w:tcW w:w="0" w:type="auto"/>
            <w:shd w:val="clear" w:color="auto" w:fill="DBDBDB"/>
            <w:tcMar>
              <w:top w:w="40" w:type="dxa"/>
              <w:left w:w="20" w:type="dxa"/>
              <w:bottom w:w="40" w:type="dxa"/>
              <w:right w:w="0" w:type="dxa"/>
            </w:tcMar>
            <w:vAlign w:val="bottom"/>
          </w:tcPr>
          <w:p w14:paraId="22CFDA1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A1D" w14:textId="77777777" w:rsidR="002661BA" w:rsidRDefault="00D972BC">
            <w:pPr>
              <w:jc w:val="right"/>
              <w:textAlignment w:val="bottom"/>
            </w:pPr>
            <w:r>
              <w:rPr>
                <w:rFonts w:ascii="Arial" w:eastAsia="宋体" w:hAnsi="Arial" w:cs="Arial"/>
                <w:color w:val="000000"/>
                <w:sz w:val="18"/>
                <w:szCs w:val="18"/>
              </w:rPr>
              <w:t>23 </w:t>
            </w:r>
          </w:p>
        </w:tc>
        <w:tc>
          <w:tcPr>
            <w:tcW w:w="0" w:type="auto"/>
            <w:shd w:val="clear" w:color="auto" w:fill="DBDBDB"/>
            <w:tcMar>
              <w:top w:w="40" w:type="dxa"/>
              <w:left w:w="0" w:type="dxa"/>
              <w:bottom w:w="40" w:type="dxa"/>
              <w:right w:w="20" w:type="dxa"/>
            </w:tcMar>
            <w:vAlign w:val="bottom"/>
          </w:tcPr>
          <w:p w14:paraId="22CFDA1E"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A1F"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A20"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A21" w14:textId="77777777" w:rsidR="002661BA" w:rsidRDefault="00D972BC">
            <w:pPr>
              <w:jc w:val="right"/>
              <w:textAlignment w:val="bottom"/>
            </w:pPr>
            <w:r>
              <w:rPr>
                <w:rFonts w:ascii="Arial" w:eastAsia="宋体" w:hAnsi="Arial" w:cs="Arial"/>
                <w:color w:val="000000"/>
                <w:sz w:val="18"/>
                <w:szCs w:val="18"/>
              </w:rPr>
              <w:t>198 </w:t>
            </w:r>
          </w:p>
        </w:tc>
        <w:tc>
          <w:tcPr>
            <w:tcW w:w="0" w:type="auto"/>
            <w:shd w:val="clear" w:color="auto" w:fill="DBDBDB"/>
            <w:tcMar>
              <w:top w:w="40" w:type="dxa"/>
              <w:left w:w="0" w:type="dxa"/>
              <w:bottom w:w="40" w:type="dxa"/>
              <w:right w:w="20" w:type="dxa"/>
            </w:tcMar>
            <w:vAlign w:val="bottom"/>
          </w:tcPr>
          <w:p w14:paraId="22CFDA22"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A23"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A24"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A25"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22CFDA26"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A27"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A28"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A29" w14:textId="77777777" w:rsidR="002661BA" w:rsidRDefault="00D972BC">
            <w:pPr>
              <w:jc w:val="right"/>
              <w:textAlignment w:val="bottom"/>
            </w:pPr>
            <w:r>
              <w:rPr>
                <w:rFonts w:ascii="Arial" w:eastAsia="宋体" w:hAnsi="Arial" w:cs="Arial"/>
                <w:color w:val="000000"/>
                <w:sz w:val="18"/>
                <w:szCs w:val="18"/>
              </w:rPr>
              <w:t>(189)</w:t>
            </w:r>
          </w:p>
        </w:tc>
        <w:tc>
          <w:tcPr>
            <w:tcW w:w="0" w:type="auto"/>
            <w:shd w:val="clear" w:color="auto" w:fill="DBDBDB"/>
            <w:tcMar>
              <w:top w:w="40" w:type="dxa"/>
              <w:left w:w="0" w:type="dxa"/>
              <w:bottom w:w="40" w:type="dxa"/>
              <w:right w:w="20" w:type="dxa"/>
            </w:tcMar>
            <w:vAlign w:val="bottom"/>
          </w:tcPr>
          <w:p w14:paraId="22CFDA2A"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A2B"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A2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A2D" w14:textId="77777777" w:rsidR="002661BA" w:rsidRDefault="00D972BC">
            <w:pPr>
              <w:jc w:val="right"/>
              <w:textAlignment w:val="bottom"/>
            </w:pPr>
            <w:r>
              <w:rPr>
                <w:rFonts w:ascii="Arial" w:eastAsia="宋体" w:hAnsi="Arial" w:cs="Arial"/>
                <w:color w:val="000000"/>
                <w:sz w:val="18"/>
                <w:szCs w:val="18"/>
              </w:rPr>
              <w:t>32 </w:t>
            </w:r>
          </w:p>
        </w:tc>
        <w:tc>
          <w:tcPr>
            <w:tcW w:w="0" w:type="auto"/>
            <w:shd w:val="clear" w:color="auto" w:fill="DBDBDB"/>
            <w:tcMar>
              <w:top w:w="40" w:type="dxa"/>
              <w:left w:w="0" w:type="dxa"/>
              <w:bottom w:w="40" w:type="dxa"/>
              <w:right w:w="20" w:type="dxa"/>
            </w:tcMar>
            <w:vAlign w:val="bottom"/>
          </w:tcPr>
          <w:p w14:paraId="22CFDA2E" w14:textId="77777777" w:rsidR="002661BA" w:rsidRDefault="002661BA">
            <w:pPr>
              <w:jc w:val="right"/>
              <w:rPr>
                <w:rFonts w:ascii="宋体"/>
              </w:rPr>
            </w:pPr>
          </w:p>
        </w:tc>
      </w:tr>
      <w:tr w:rsidR="002661BA" w14:paraId="22CFDA44" w14:textId="77777777">
        <w:tc>
          <w:tcPr>
            <w:tcW w:w="0" w:type="auto"/>
            <w:gridSpan w:val="3"/>
            <w:shd w:val="clear" w:color="auto" w:fill="FFFFFF"/>
            <w:tcMar>
              <w:top w:w="40" w:type="dxa"/>
              <w:left w:w="275" w:type="dxa"/>
              <w:bottom w:w="40" w:type="dxa"/>
              <w:right w:w="20" w:type="dxa"/>
            </w:tcMar>
            <w:vAlign w:val="bottom"/>
          </w:tcPr>
          <w:p w14:paraId="22CFDA30" w14:textId="77777777" w:rsidR="002661BA" w:rsidRDefault="00D972BC">
            <w:pPr>
              <w:textAlignment w:val="bottom"/>
            </w:pPr>
            <w:r>
              <w:rPr>
                <w:rFonts w:ascii="Arial" w:eastAsia="宋体" w:hAnsi="Arial" w:cs="Arial"/>
                <w:color w:val="000000"/>
                <w:sz w:val="18"/>
                <w:szCs w:val="18"/>
              </w:rPr>
              <w:t>Year Ended December 31, 2021</w:t>
            </w:r>
          </w:p>
        </w:tc>
        <w:tc>
          <w:tcPr>
            <w:tcW w:w="0" w:type="auto"/>
            <w:shd w:val="clear" w:color="auto" w:fill="FFFFFF"/>
            <w:tcMar>
              <w:top w:w="40" w:type="dxa"/>
              <w:left w:w="20" w:type="dxa"/>
              <w:bottom w:w="40" w:type="dxa"/>
              <w:right w:w="0" w:type="dxa"/>
            </w:tcMar>
            <w:vAlign w:val="bottom"/>
          </w:tcPr>
          <w:p w14:paraId="22CFDA31"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A32" w14:textId="77777777" w:rsidR="002661BA" w:rsidRDefault="00D972BC">
            <w:pPr>
              <w:jc w:val="right"/>
              <w:textAlignment w:val="bottom"/>
            </w:pPr>
            <w:r>
              <w:rPr>
                <w:rFonts w:ascii="Arial" w:eastAsia="宋体" w:hAnsi="Arial" w:cs="Arial"/>
                <w:color w:val="000000"/>
                <w:sz w:val="18"/>
                <w:szCs w:val="18"/>
              </w:rPr>
              <w:t>32 </w:t>
            </w:r>
          </w:p>
        </w:tc>
        <w:tc>
          <w:tcPr>
            <w:tcW w:w="0" w:type="auto"/>
            <w:shd w:val="clear" w:color="auto" w:fill="FFFFFF"/>
            <w:tcMar>
              <w:top w:w="40" w:type="dxa"/>
              <w:left w:w="0" w:type="dxa"/>
              <w:bottom w:w="40" w:type="dxa"/>
              <w:right w:w="20" w:type="dxa"/>
            </w:tcMar>
            <w:vAlign w:val="bottom"/>
          </w:tcPr>
          <w:p w14:paraId="22CFDA3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A34"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A35"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A36" w14:textId="77777777" w:rsidR="002661BA" w:rsidRDefault="00D972BC">
            <w:pPr>
              <w:jc w:val="right"/>
              <w:textAlignment w:val="bottom"/>
            </w:pPr>
            <w:r>
              <w:rPr>
                <w:rFonts w:ascii="Arial" w:eastAsia="宋体" w:hAnsi="Arial" w:cs="Arial"/>
                <w:color w:val="000000"/>
                <w:sz w:val="18"/>
                <w:szCs w:val="18"/>
              </w:rPr>
              <w:t>343 </w:t>
            </w:r>
          </w:p>
        </w:tc>
        <w:tc>
          <w:tcPr>
            <w:tcW w:w="0" w:type="auto"/>
            <w:shd w:val="clear" w:color="auto" w:fill="FFFFFF"/>
            <w:tcMar>
              <w:top w:w="40" w:type="dxa"/>
              <w:left w:w="0" w:type="dxa"/>
              <w:bottom w:w="40" w:type="dxa"/>
              <w:right w:w="20" w:type="dxa"/>
            </w:tcMar>
            <w:vAlign w:val="bottom"/>
          </w:tcPr>
          <w:p w14:paraId="22CFDA3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A38"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A3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A3A"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A3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A3C"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A3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A3E" w14:textId="77777777" w:rsidR="002661BA" w:rsidRDefault="00D972BC">
            <w:pPr>
              <w:jc w:val="right"/>
              <w:textAlignment w:val="bottom"/>
            </w:pPr>
            <w:r>
              <w:rPr>
                <w:rFonts w:ascii="Arial" w:eastAsia="宋体" w:hAnsi="Arial" w:cs="Arial"/>
                <w:color w:val="000000"/>
                <w:sz w:val="18"/>
                <w:szCs w:val="18"/>
              </w:rPr>
              <w:t>(287)</w:t>
            </w:r>
          </w:p>
        </w:tc>
        <w:tc>
          <w:tcPr>
            <w:tcW w:w="0" w:type="auto"/>
            <w:shd w:val="clear" w:color="auto" w:fill="FFFFFF"/>
            <w:tcMar>
              <w:top w:w="40" w:type="dxa"/>
              <w:left w:w="0" w:type="dxa"/>
              <w:bottom w:w="40" w:type="dxa"/>
              <w:right w:w="20" w:type="dxa"/>
            </w:tcMar>
            <w:vAlign w:val="bottom"/>
          </w:tcPr>
          <w:p w14:paraId="22CFDA3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A40"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A41"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A42" w14:textId="77777777" w:rsidR="002661BA" w:rsidRDefault="00D972BC">
            <w:pPr>
              <w:jc w:val="right"/>
              <w:textAlignment w:val="bottom"/>
            </w:pPr>
            <w:r>
              <w:rPr>
                <w:rFonts w:ascii="Arial" w:eastAsia="宋体" w:hAnsi="Arial" w:cs="Arial"/>
                <w:color w:val="000000"/>
                <w:sz w:val="18"/>
                <w:szCs w:val="18"/>
              </w:rPr>
              <w:t>88 </w:t>
            </w:r>
          </w:p>
        </w:tc>
        <w:tc>
          <w:tcPr>
            <w:tcW w:w="0" w:type="auto"/>
            <w:shd w:val="clear" w:color="auto" w:fill="FFFFFF"/>
            <w:tcMar>
              <w:top w:w="40" w:type="dxa"/>
              <w:left w:w="0" w:type="dxa"/>
              <w:bottom w:w="40" w:type="dxa"/>
              <w:right w:w="20" w:type="dxa"/>
            </w:tcMar>
            <w:vAlign w:val="bottom"/>
          </w:tcPr>
          <w:p w14:paraId="22CFDA43" w14:textId="77777777" w:rsidR="002661BA" w:rsidRDefault="002661BA">
            <w:pPr>
              <w:jc w:val="right"/>
              <w:rPr>
                <w:rFonts w:ascii="宋体"/>
              </w:rPr>
            </w:pPr>
          </w:p>
        </w:tc>
      </w:tr>
      <w:tr w:rsidR="002661BA" w14:paraId="22CFDA4F" w14:textId="77777777">
        <w:trPr>
          <w:trHeight w:val="280"/>
        </w:trPr>
        <w:tc>
          <w:tcPr>
            <w:tcW w:w="0" w:type="auto"/>
            <w:gridSpan w:val="3"/>
            <w:shd w:val="clear" w:color="auto" w:fill="DBDBDB"/>
            <w:tcMar>
              <w:top w:w="0" w:type="dxa"/>
              <w:left w:w="20" w:type="dxa"/>
              <w:bottom w:w="0" w:type="dxa"/>
              <w:right w:w="20" w:type="dxa"/>
            </w:tcMar>
            <w:vAlign w:val="bottom"/>
          </w:tcPr>
          <w:p w14:paraId="22CFDA45"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A46"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A47"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A48"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A49"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A4A"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A4B"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A4C"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A4D" w14:textId="77777777" w:rsidR="002661BA" w:rsidRDefault="002661BA">
            <w:pPr>
              <w:rPr>
                <w:rFonts w:ascii="宋体"/>
              </w:rPr>
            </w:pPr>
          </w:p>
        </w:tc>
        <w:tc>
          <w:tcPr>
            <w:tcW w:w="0" w:type="auto"/>
            <w:gridSpan w:val="3"/>
            <w:shd w:val="clear" w:color="auto" w:fill="DBDBDB"/>
            <w:tcMar>
              <w:top w:w="0" w:type="dxa"/>
              <w:left w:w="20" w:type="dxa"/>
              <w:bottom w:w="0" w:type="dxa"/>
              <w:right w:w="20" w:type="dxa"/>
            </w:tcMar>
            <w:vAlign w:val="bottom"/>
          </w:tcPr>
          <w:p w14:paraId="22CFDA4E" w14:textId="77777777" w:rsidR="002661BA" w:rsidRDefault="002661BA">
            <w:pPr>
              <w:rPr>
                <w:rFonts w:ascii="宋体"/>
              </w:rPr>
            </w:pPr>
          </w:p>
        </w:tc>
      </w:tr>
      <w:tr w:rsidR="002661BA" w14:paraId="22CFDA5A" w14:textId="77777777">
        <w:tc>
          <w:tcPr>
            <w:tcW w:w="0" w:type="auto"/>
            <w:gridSpan w:val="3"/>
            <w:shd w:val="clear" w:color="auto" w:fill="FFFFFF"/>
            <w:tcMar>
              <w:top w:w="40" w:type="dxa"/>
              <w:left w:w="20" w:type="dxa"/>
              <w:bottom w:w="40" w:type="dxa"/>
              <w:right w:w="20" w:type="dxa"/>
            </w:tcMar>
            <w:vAlign w:val="bottom"/>
          </w:tcPr>
          <w:p w14:paraId="22CFDA50" w14:textId="77777777" w:rsidR="002661BA" w:rsidRDefault="00D972BC">
            <w:pPr>
              <w:textAlignment w:val="bottom"/>
            </w:pPr>
            <w:r>
              <w:rPr>
                <w:rFonts w:ascii="Arial" w:eastAsia="宋体" w:hAnsi="Arial" w:cs="Arial"/>
                <w:b/>
                <w:bCs/>
                <w:color w:val="000000"/>
                <w:sz w:val="18"/>
                <w:szCs w:val="18"/>
              </w:rPr>
              <w:t>Tax Valuation Allowance</w:t>
            </w:r>
          </w:p>
        </w:tc>
        <w:tc>
          <w:tcPr>
            <w:tcW w:w="0" w:type="auto"/>
            <w:gridSpan w:val="3"/>
            <w:shd w:val="clear" w:color="auto" w:fill="FFFFFF"/>
            <w:tcMar>
              <w:top w:w="0" w:type="dxa"/>
              <w:left w:w="20" w:type="dxa"/>
              <w:bottom w:w="0" w:type="dxa"/>
              <w:right w:w="20" w:type="dxa"/>
            </w:tcMar>
            <w:vAlign w:val="bottom"/>
          </w:tcPr>
          <w:p w14:paraId="22CFDA51"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A52"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A53"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A54"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A55"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A56"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A57"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A58" w14:textId="77777777" w:rsidR="002661BA" w:rsidRDefault="002661BA">
            <w:pPr>
              <w:rPr>
                <w:rFonts w:ascii="宋体"/>
              </w:rPr>
            </w:pPr>
          </w:p>
        </w:tc>
        <w:tc>
          <w:tcPr>
            <w:tcW w:w="0" w:type="auto"/>
            <w:gridSpan w:val="3"/>
            <w:shd w:val="clear" w:color="auto" w:fill="FFFFFF"/>
            <w:tcMar>
              <w:top w:w="0" w:type="dxa"/>
              <w:left w:w="20" w:type="dxa"/>
              <w:bottom w:w="0" w:type="dxa"/>
              <w:right w:w="20" w:type="dxa"/>
            </w:tcMar>
            <w:vAlign w:val="bottom"/>
          </w:tcPr>
          <w:p w14:paraId="22CFDA59" w14:textId="77777777" w:rsidR="002661BA" w:rsidRDefault="002661BA">
            <w:pPr>
              <w:rPr>
                <w:rFonts w:ascii="宋体"/>
              </w:rPr>
            </w:pPr>
          </w:p>
        </w:tc>
      </w:tr>
      <w:tr w:rsidR="002661BA" w14:paraId="22CFDA6F" w14:textId="77777777">
        <w:tc>
          <w:tcPr>
            <w:tcW w:w="0" w:type="auto"/>
            <w:gridSpan w:val="3"/>
            <w:shd w:val="clear" w:color="auto" w:fill="DBDBDB"/>
            <w:tcMar>
              <w:top w:w="40" w:type="dxa"/>
              <w:left w:w="275" w:type="dxa"/>
              <w:bottom w:w="40" w:type="dxa"/>
              <w:right w:w="20" w:type="dxa"/>
            </w:tcMar>
            <w:vAlign w:val="bottom"/>
          </w:tcPr>
          <w:p w14:paraId="22CFDA5B" w14:textId="77777777" w:rsidR="002661BA" w:rsidRDefault="00D972BC">
            <w:pPr>
              <w:textAlignment w:val="bottom"/>
            </w:pPr>
            <w:r>
              <w:rPr>
                <w:rFonts w:ascii="Arial" w:eastAsia="宋体" w:hAnsi="Arial" w:cs="Arial"/>
                <w:color w:val="000000"/>
                <w:sz w:val="18"/>
                <w:szCs w:val="18"/>
              </w:rPr>
              <w:t>Year Ended December 31, 2019</w:t>
            </w:r>
          </w:p>
        </w:tc>
        <w:tc>
          <w:tcPr>
            <w:tcW w:w="0" w:type="auto"/>
            <w:shd w:val="clear" w:color="auto" w:fill="DBDBDB"/>
            <w:tcMar>
              <w:top w:w="40" w:type="dxa"/>
              <w:left w:w="20" w:type="dxa"/>
              <w:bottom w:w="40" w:type="dxa"/>
              <w:right w:w="0" w:type="dxa"/>
            </w:tcMar>
            <w:vAlign w:val="bottom"/>
          </w:tcPr>
          <w:p w14:paraId="22CFDA5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A5D" w14:textId="77777777" w:rsidR="002661BA" w:rsidRDefault="00D972BC">
            <w:pPr>
              <w:jc w:val="right"/>
              <w:textAlignment w:val="bottom"/>
            </w:pPr>
            <w:r>
              <w:rPr>
                <w:rFonts w:ascii="Arial" w:eastAsia="宋体" w:hAnsi="Arial" w:cs="Arial"/>
                <w:color w:val="000000"/>
                <w:sz w:val="18"/>
                <w:szCs w:val="18"/>
              </w:rPr>
              <w:t>62 </w:t>
            </w:r>
          </w:p>
        </w:tc>
        <w:tc>
          <w:tcPr>
            <w:tcW w:w="0" w:type="auto"/>
            <w:shd w:val="clear" w:color="auto" w:fill="DBDBDB"/>
            <w:tcMar>
              <w:top w:w="40" w:type="dxa"/>
              <w:left w:w="0" w:type="dxa"/>
              <w:bottom w:w="40" w:type="dxa"/>
              <w:right w:w="20" w:type="dxa"/>
            </w:tcMar>
            <w:vAlign w:val="bottom"/>
          </w:tcPr>
          <w:p w14:paraId="22CFDA5E"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A5F"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A60"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A61" w14:textId="77777777" w:rsidR="002661BA" w:rsidRDefault="00D972BC">
            <w:pPr>
              <w:jc w:val="right"/>
              <w:textAlignment w:val="bottom"/>
            </w:pPr>
            <w:r>
              <w:rPr>
                <w:rFonts w:ascii="Arial" w:eastAsia="宋体" w:hAnsi="Arial" w:cs="Arial"/>
                <w:color w:val="000000"/>
                <w:sz w:val="18"/>
                <w:szCs w:val="18"/>
              </w:rPr>
              <w:t>42 </w:t>
            </w:r>
          </w:p>
        </w:tc>
        <w:tc>
          <w:tcPr>
            <w:tcW w:w="0" w:type="auto"/>
            <w:shd w:val="clear" w:color="auto" w:fill="DBDBDB"/>
            <w:tcMar>
              <w:top w:w="40" w:type="dxa"/>
              <w:left w:w="0" w:type="dxa"/>
              <w:bottom w:w="40" w:type="dxa"/>
              <w:right w:w="20" w:type="dxa"/>
            </w:tcMar>
            <w:vAlign w:val="bottom"/>
          </w:tcPr>
          <w:p w14:paraId="22CFDA62"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A63"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A64"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A65" w14:textId="77777777" w:rsidR="002661BA" w:rsidRDefault="00D972BC">
            <w:pPr>
              <w:jc w:val="right"/>
              <w:textAlignment w:val="bottom"/>
            </w:pPr>
            <w:r>
              <w:rPr>
                <w:rFonts w:ascii="Arial" w:eastAsia="宋体" w:hAnsi="Arial" w:cs="Arial"/>
                <w:color w:val="000000"/>
                <w:sz w:val="18"/>
                <w:szCs w:val="18"/>
              </w:rPr>
              <w:t>(1)</w:t>
            </w:r>
          </w:p>
        </w:tc>
        <w:tc>
          <w:tcPr>
            <w:tcW w:w="0" w:type="auto"/>
            <w:shd w:val="clear" w:color="auto" w:fill="DBDBDB"/>
            <w:tcMar>
              <w:top w:w="40" w:type="dxa"/>
              <w:left w:w="0" w:type="dxa"/>
              <w:bottom w:w="40" w:type="dxa"/>
              <w:right w:w="20" w:type="dxa"/>
            </w:tcMar>
            <w:vAlign w:val="bottom"/>
          </w:tcPr>
          <w:p w14:paraId="22CFDA66"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A67"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A68"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A69" w14:textId="77777777" w:rsidR="002661BA" w:rsidRDefault="00D972BC">
            <w:pPr>
              <w:jc w:val="right"/>
              <w:textAlignment w:val="bottom"/>
            </w:pPr>
            <w:r>
              <w:rPr>
                <w:rFonts w:ascii="Arial" w:eastAsia="宋体" w:hAnsi="Arial" w:cs="Arial"/>
                <w:color w:val="000000"/>
                <w:sz w:val="18"/>
                <w:szCs w:val="18"/>
              </w:rPr>
              <w:t>(7)</w:t>
            </w:r>
          </w:p>
        </w:tc>
        <w:tc>
          <w:tcPr>
            <w:tcW w:w="0" w:type="auto"/>
            <w:shd w:val="clear" w:color="auto" w:fill="DBDBDB"/>
            <w:tcMar>
              <w:top w:w="40" w:type="dxa"/>
              <w:left w:w="0" w:type="dxa"/>
              <w:bottom w:w="40" w:type="dxa"/>
              <w:right w:w="20" w:type="dxa"/>
            </w:tcMar>
            <w:vAlign w:val="bottom"/>
          </w:tcPr>
          <w:p w14:paraId="22CFDA6A"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A6B"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A6C"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A6D" w14:textId="77777777" w:rsidR="002661BA" w:rsidRDefault="00D972BC">
            <w:pPr>
              <w:jc w:val="right"/>
              <w:textAlignment w:val="bottom"/>
            </w:pPr>
            <w:r>
              <w:rPr>
                <w:rFonts w:ascii="Arial" w:eastAsia="宋体" w:hAnsi="Arial" w:cs="Arial"/>
                <w:color w:val="000000"/>
                <w:sz w:val="18"/>
                <w:szCs w:val="18"/>
              </w:rPr>
              <w:t>96 </w:t>
            </w:r>
          </w:p>
        </w:tc>
        <w:tc>
          <w:tcPr>
            <w:tcW w:w="0" w:type="auto"/>
            <w:shd w:val="clear" w:color="auto" w:fill="DBDBDB"/>
            <w:tcMar>
              <w:top w:w="40" w:type="dxa"/>
              <w:left w:w="0" w:type="dxa"/>
              <w:bottom w:w="40" w:type="dxa"/>
              <w:right w:w="20" w:type="dxa"/>
            </w:tcMar>
            <w:vAlign w:val="bottom"/>
          </w:tcPr>
          <w:p w14:paraId="22CFDA6E" w14:textId="77777777" w:rsidR="002661BA" w:rsidRDefault="002661BA">
            <w:pPr>
              <w:jc w:val="right"/>
              <w:rPr>
                <w:rFonts w:ascii="宋体"/>
              </w:rPr>
            </w:pPr>
          </w:p>
        </w:tc>
      </w:tr>
      <w:tr w:rsidR="002661BA" w14:paraId="22CFDA84" w14:textId="77777777">
        <w:tc>
          <w:tcPr>
            <w:tcW w:w="0" w:type="auto"/>
            <w:gridSpan w:val="3"/>
            <w:shd w:val="clear" w:color="auto" w:fill="FFFFFF"/>
            <w:tcMar>
              <w:top w:w="40" w:type="dxa"/>
              <w:left w:w="275" w:type="dxa"/>
              <w:bottom w:w="40" w:type="dxa"/>
              <w:right w:w="20" w:type="dxa"/>
            </w:tcMar>
            <w:vAlign w:val="bottom"/>
          </w:tcPr>
          <w:p w14:paraId="22CFDA70" w14:textId="77777777" w:rsidR="002661BA" w:rsidRDefault="00D972BC">
            <w:pPr>
              <w:textAlignment w:val="bottom"/>
            </w:pPr>
            <w:r>
              <w:rPr>
                <w:rFonts w:ascii="Arial" w:eastAsia="宋体" w:hAnsi="Arial" w:cs="Arial"/>
                <w:color w:val="000000"/>
                <w:sz w:val="18"/>
                <w:szCs w:val="18"/>
              </w:rPr>
              <w:t>Year Ended December 31, 2020</w:t>
            </w:r>
          </w:p>
        </w:tc>
        <w:tc>
          <w:tcPr>
            <w:tcW w:w="0" w:type="auto"/>
            <w:shd w:val="clear" w:color="auto" w:fill="FFFFFF"/>
            <w:tcMar>
              <w:top w:w="40" w:type="dxa"/>
              <w:left w:w="20" w:type="dxa"/>
              <w:bottom w:w="40" w:type="dxa"/>
              <w:right w:w="0" w:type="dxa"/>
            </w:tcMar>
            <w:vAlign w:val="bottom"/>
          </w:tcPr>
          <w:p w14:paraId="22CFDA71"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A72" w14:textId="77777777" w:rsidR="002661BA" w:rsidRDefault="00D972BC">
            <w:pPr>
              <w:jc w:val="right"/>
              <w:textAlignment w:val="bottom"/>
            </w:pPr>
            <w:r>
              <w:rPr>
                <w:rFonts w:ascii="Arial" w:eastAsia="宋体" w:hAnsi="Arial" w:cs="Arial"/>
                <w:color w:val="000000"/>
                <w:sz w:val="18"/>
                <w:szCs w:val="18"/>
              </w:rPr>
              <w:t>96 </w:t>
            </w:r>
          </w:p>
        </w:tc>
        <w:tc>
          <w:tcPr>
            <w:tcW w:w="0" w:type="auto"/>
            <w:shd w:val="clear" w:color="auto" w:fill="FFFFFF"/>
            <w:tcMar>
              <w:top w:w="40" w:type="dxa"/>
              <w:left w:w="0" w:type="dxa"/>
              <w:bottom w:w="40" w:type="dxa"/>
              <w:right w:w="20" w:type="dxa"/>
            </w:tcMar>
            <w:vAlign w:val="bottom"/>
          </w:tcPr>
          <w:p w14:paraId="22CFDA73"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A74"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A75"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A76" w14:textId="77777777" w:rsidR="002661BA" w:rsidRDefault="00D972BC">
            <w:pPr>
              <w:jc w:val="right"/>
              <w:textAlignment w:val="bottom"/>
            </w:pPr>
            <w:r>
              <w:rPr>
                <w:rFonts w:ascii="Arial" w:eastAsia="宋体" w:hAnsi="Arial" w:cs="Arial"/>
                <w:color w:val="000000"/>
                <w:sz w:val="18"/>
                <w:szCs w:val="18"/>
              </w:rPr>
              <w:t>53 </w:t>
            </w:r>
          </w:p>
        </w:tc>
        <w:tc>
          <w:tcPr>
            <w:tcW w:w="0" w:type="auto"/>
            <w:shd w:val="clear" w:color="auto" w:fill="FFFFFF"/>
            <w:tcMar>
              <w:top w:w="40" w:type="dxa"/>
              <w:left w:w="0" w:type="dxa"/>
              <w:bottom w:w="40" w:type="dxa"/>
              <w:right w:w="20" w:type="dxa"/>
            </w:tcMar>
            <w:vAlign w:val="bottom"/>
          </w:tcPr>
          <w:p w14:paraId="22CFDA77"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A78"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A79"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A7A"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A7B"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A7C"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A7D"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A7E" w14:textId="77777777" w:rsidR="002661BA" w:rsidRDefault="00D972BC">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2CFDA7F" w14:textId="77777777" w:rsidR="002661BA" w:rsidRDefault="002661BA">
            <w:pPr>
              <w:jc w:val="right"/>
              <w:rPr>
                <w:rFonts w:ascii="宋体"/>
              </w:rPr>
            </w:pPr>
          </w:p>
        </w:tc>
        <w:tc>
          <w:tcPr>
            <w:tcW w:w="0" w:type="auto"/>
            <w:gridSpan w:val="3"/>
            <w:shd w:val="clear" w:color="auto" w:fill="FFFFFF"/>
            <w:tcMar>
              <w:top w:w="0" w:type="dxa"/>
              <w:left w:w="20" w:type="dxa"/>
              <w:bottom w:w="0" w:type="dxa"/>
              <w:right w:w="20" w:type="dxa"/>
            </w:tcMar>
            <w:vAlign w:val="bottom"/>
          </w:tcPr>
          <w:p w14:paraId="22CFDA80" w14:textId="77777777" w:rsidR="002661BA" w:rsidRDefault="002661BA">
            <w:pPr>
              <w:rPr>
                <w:rFonts w:ascii="宋体"/>
              </w:rPr>
            </w:pPr>
          </w:p>
        </w:tc>
        <w:tc>
          <w:tcPr>
            <w:tcW w:w="0" w:type="auto"/>
            <w:shd w:val="clear" w:color="auto" w:fill="FFFFFF"/>
            <w:tcMar>
              <w:top w:w="40" w:type="dxa"/>
              <w:left w:w="20" w:type="dxa"/>
              <w:bottom w:w="40" w:type="dxa"/>
              <w:right w:w="0" w:type="dxa"/>
            </w:tcMar>
            <w:vAlign w:val="bottom"/>
          </w:tcPr>
          <w:p w14:paraId="22CFDA81" w14:textId="77777777" w:rsidR="002661BA" w:rsidRDefault="00D972BC">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22CFDA82" w14:textId="77777777" w:rsidR="002661BA" w:rsidRDefault="00D972BC">
            <w:pPr>
              <w:jc w:val="right"/>
              <w:textAlignment w:val="bottom"/>
            </w:pPr>
            <w:r>
              <w:rPr>
                <w:rFonts w:ascii="Arial" w:eastAsia="宋体" w:hAnsi="Arial" w:cs="Arial"/>
                <w:color w:val="000000"/>
                <w:sz w:val="18"/>
                <w:szCs w:val="18"/>
              </w:rPr>
              <w:t>149 </w:t>
            </w:r>
          </w:p>
        </w:tc>
        <w:tc>
          <w:tcPr>
            <w:tcW w:w="0" w:type="auto"/>
            <w:shd w:val="clear" w:color="auto" w:fill="FFFFFF"/>
            <w:tcMar>
              <w:top w:w="40" w:type="dxa"/>
              <w:left w:w="0" w:type="dxa"/>
              <w:bottom w:w="40" w:type="dxa"/>
              <w:right w:w="20" w:type="dxa"/>
            </w:tcMar>
            <w:vAlign w:val="bottom"/>
          </w:tcPr>
          <w:p w14:paraId="22CFDA83" w14:textId="77777777" w:rsidR="002661BA" w:rsidRDefault="002661BA">
            <w:pPr>
              <w:jc w:val="right"/>
              <w:rPr>
                <w:rFonts w:ascii="宋体"/>
              </w:rPr>
            </w:pPr>
          </w:p>
        </w:tc>
      </w:tr>
      <w:tr w:rsidR="002661BA" w14:paraId="22CFDA99" w14:textId="77777777">
        <w:tc>
          <w:tcPr>
            <w:tcW w:w="0" w:type="auto"/>
            <w:gridSpan w:val="3"/>
            <w:shd w:val="clear" w:color="auto" w:fill="DBDBDB"/>
            <w:tcMar>
              <w:top w:w="40" w:type="dxa"/>
              <w:left w:w="275" w:type="dxa"/>
              <w:bottom w:w="40" w:type="dxa"/>
              <w:right w:w="20" w:type="dxa"/>
            </w:tcMar>
            <w:vAlign w:val="bottom"/>
          </w:tcPr>
          <w:p w14:paraId="22CFDA85" w14:textId="77777777" w:rsidR="002661BA" w:rsidRDefault="00D972BC">
            <w:pPr>
              <w:textAlignment w:val="bottom"/>
            </w:pPr>
            <w:r>
              <w:rPr>
                <w:rFonts w:ascii="Arial" w:eastAsia="宋体" w:hAnsi="Arial" w:cs="Arial"/>
                <w:color w:val="000000"/>
                <w:sz w:val="18"/>
                <w:szCs w:val="18"/>
              </w:rPr>
              <w:t>Year Ended December 31, 2021</w:t>
            </w:r>
          </w:p>
        </w:tc>
        <w:tc>
          <w:tcPr>
            <w:tcW w:w="0" w:type="auto"/>
            <w:shd w:val="clear" w:color="auto" w:fill="DBDBDB"/>
            <w:tcMar>
              <w:top w:w="40" w:type="dxa"/>
              <w:left w:w="20" w:type="dxa"/>
              <w:bottom w:w="40" w:type="dxa"/>
              <w:right w:w="0" w:type="dxa"/>
            </w:tcMar>
            <w:vAlign w:val="bottom"/>
          </w:tcPr>
          <w:p w14:paraId="22CFDA8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A87" w14:textId="77777777" w:rsidR="002661BA" w:rsidRDefault="00D972BC">
            <w:pPr>
              <w:jc w:val="right"/>
              <w:textAlignment w:val="bottom"/>
            </w:pPr>
            <w:r>
              <w:rPr>
                <w:rFonts w:ascii="Arial" w:eastAsia="宋体" w:hAnsi="Arial" w:cs="Arial"/>
                <w:color w:val="000000"/>
                <w:sz w:val="18"/>
                <w:szCs w:val="18"/>
              </w:rPr>
              <w:t>149 </w:t>
            </w:r>
          </w:p>
        </w:tc>
        <w:tc>
          <w:tcPr>
            <w:tcW w:w="0" w:type="auto"/>
            <w:shd w:val="clear" w:color="auto" w:fill="DBDBDB"/>
            <w:tcMar>
              <w:top w:w="40" w:type="dxa"/>
              <w:left w:w="0" w:type="dxa"/>
              <w:bottom w:w="40" w:type="dxa"/>
              <w:right w:w="20" w:type="dxa"/>
            </w:tcMar>
            <w:vAlign w:val="bottom"/>
          </w:tcPr>
          <w:p w14:paraId="22CFDA88"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A89"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A8A"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A8B" w14:textId="77777777" w:rsidR="002661BA" w:rsidRDefault="00D972BC">
            <w:pPr>
              <w:jc w:val="right"/>
              <w:textAlignment w:val="bottom"/>
            </w:pPr>
            <w:r>
              <w:rPr>
                <w:rFonts w:ascii="Arial" w:eastAsia="宋体" w:hAnsi="Arial" w:cs="Arial"/>
                <w:color w:val="000000"/>
                <w:sz w:val="18"/>
                <w:szCs w:val="18"/>
              </w:rPr>
              <w:t>6 </w:t>
            </w:r>
          </w:p>
        </w:tc>
        <w:tc>
          <w:tcPr>
            <w:tcW w:w="0" w:type="auto"/>
            <w:shd w:val="clear" w:color="auto" w:fill="DBDBDB"/>
            <w:tcMar>
              <w:top w:w="40" w:type="dxa"/>
              <w:left w:w="0" w:type="dxa"/>
              <w:bottom w:w="40" w:type="dxa"/>
              <w:right w:w="20" w:type="dxa"/>
            </w:tcMar>
            <w:vAlign w:val="bottom"/>
          </w:tcPr>
          <w:p w14:paraId="22CFDA8C"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A8D"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A8E"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A8F" w14:textId="77777777" w:rsidR="002661BA" w:rsidRDefault="00D972BC">
            <w:pPr>
              <w:jc w:val="right"/>
              <w:textAlignment w:val="bottom"/>
            </w:pPr>
            <w:r>
              <w:rPr>
                <w:rFonts w:ascii="Arial" w:eastAsia="宋体" w:hAnsi="Arial" w:cs="Arial"/>
                <w:color w:val="000000"/>
                <w:sz w:val="18"/>
                <w:szCs w:val="18"/>
              </w:rPr>
              <w:t>(12)</w:t>
            </w:r>
          </w:p>
        </w:tc>
        <w:tc>
          <w:tcPr>
            <w:tcW w:w="0" w:type="auto"/>
            <w:shd w:val="clear" w:color="auto" w:fill="DBDBDB"/>
            <w:tcMar>
              <w:top w:w="40" w:type="dxa"/>
              <w:left w:w="0" w:type="dxa"/>
              <w:bottom w:w="40" w:type="dxa"/>
              <w:right w:w="20" w:type="dxa"/>
            </w:tcMar>
            <w:vAlign w:val="bottom"/>
          </w:tcPr>
          <w:p w14:paraId="22CFDA90"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A91"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A92"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A93" w14:textId="77777777" w:rsidR="002661BA" w:rsidRDefault="00D972BC">
            <w:pPr>
              <w:jc w:val="right"/>
              <w:textAlignment w:val="bottom"/>
            </w:pPr>
            <w:r>
              <w:rPr>
                <w:rFonts w:ascii="Arial" w:eastAsia="宋体" w:hAnsi="Arial" w:cs="Arial"/>
                <w:color w:val="000000"/>
                <w:sz w:val="18"/>
                <w:szCs w:val="18"/>
              </w:rPr>
              <w:t>(7)</w:t>
            </w:r>
          </w:p>
        </w:tc>
        <w:tc>
          <w:tcPr>
            <w:tcW w:w="0" w:type="auto"/>
            <w:shd w:val="clear" w:color="auto" w:fill="DBDBDB"/>
            <w:tcMar>
              <w:top w:w="40" w:type="dxa"/>
              <w:left w:w="0" w:type="dxa"/>
              <w:bottom w:w="40" w:type="dxa"/>
              <w:right w:w="20" w:type="dxa"/>
            </w:tcMar>
            <w:vAlign w:val="bottom"/>
          </w:tcPr>
          <w:p w14:paraId="22CFDA94" w14:textId="77777777" w:rsidR="002661BA" w:rsidRDefault="002661BA">
            <w:pPr>
              <w:jc w:val="right"/>
              <w:rPr>
                <w:rFonts w:ascii="宋体"/>
              </w:rPr>
            </w:pPr>
          </w:p>
        </w:tc>
        <w:tc>
          <w:tcPr>
            <w:tcW w:w="0" w:type="auto"/>
            <w:gridSpan w:val="3"/>
            <w:shd w:val="clear" w:color="auto" w:fill="DBDBDB"/>
            <w:tcMar>
              <w:top w:w="0" w:type="dxa"/>
              <w:left w:w="20" w:type="dxa"/>
              <w:bottom w:w="0" w:type="dxa"/>
              <w:right w:w="20" w:type="dxa"/>
            </w:tcMar>
            <w:vAlign w:val="bottom"/>
          </w:tcPr>
          <w:p w14:paraId="22CFDA95" w14:textId="77777777" w:rsidR="002661BA" w:rsidRDefault="002661BA">
            <w:pPr>
              <w:rPr>
                <w:rFonts w:ascii="宋体"/>
              </w:rPr>
            </w:pPr>
          </w:p>
        </w:tc>
        <w:tc>
          <w:tcPr>
            <w:tcW w:w="0" w:type="auto"/>
            <w:shd w:val="clear" w:color="auto" w:fill="DBDBDB"/>
            <w:tcMar>
              <w:top w:w="40" w:type="dxa"/>
              <w:left w:w="20" w:type="dxa"/>
              <w:bottom w:w="40" w:type="dxa"/>
              <w:right w:w="0" w:type="dxa"/>
            </w:tcMar>
            <w:vAlign w:val="bottom"/>
          </w:tcPr>
          <w:p w14:paraId="22CFDA96" w14:textId="77777777" w:rsidR="002661BA" w:rsidRDefault="00D972BC">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22CFDA97" w14:textId="77777777" w:rsidR="002661BA" w:rsidRDefault="00D972BC">
            <w:pPr>
              <w:jc w:val="right"/>
              <w:textAlignment w:val="bottom"/>
            </w:pPr>
            <w:r>
              <w:rPr>
                <w:rFonts w:ascii="Arial" w:eastAsia="宋体" w:hAnsi="Arial" w:cs="Arial"/>
                <w:color w:val="000000"/>
                <w:sz w:val="18"/>
                <w:szCs w:val="18"/>
              </w:rPr>
              <w:t>136 </w:t>
            </w:r>
          </w:p>
        </w:tc>
        <w:tc>
          <w:tcPr>
            <w:tcW w:w="0" w:type="auto"/>
            <w:shd w:val="clear" w:color="auto" w:fill="DBDBDB"/>
            <w:tcMar>
              <w:top w:w="40" w:type="dxa"/>
              <w:left w:w="0" w:type="dxa"/>
              <w:bottom w:w="40" w:type="dxa"/>
              <w:right w:w="20" w:type="dxa"/>
            </w:tcMar>
            <w:vAlign w:val="bottom"/>
          </w:tcPr>
          <w:p w14:paraId="22CFDA98" w14:textId="77777777" w:rsidR="002661BA" w:rsidRDefault="002661BA">
            <w:pPr>
              <w:jc w:val="right"/>
              <w:rPr>
                <w:rFonts w:ascii="宋体"/>
              </w:rPr>
            </w:pPr>
          </w:p>
        </w:tc>
      </w:tr>
    </w:tbl>
    <w:p w14:paraId="22CFDA9A" w14:textId="77777777" w:rsidR="002661BA" w:rsidRDefault="002661BA">
      <w:pPr>
        <w:jc w:val="both"/>
      </w:pPr>
    </w:p>
    <w:p w14:paraId="22CFDA9B" w14:textId="77777777" w:rsidR="002661BA" w:rsidRDefault="00D972BC">
      <w:pPr>
        <w:jc w:val="center"/>
      </w:pPr>
      <w:r>
        <w:rPr>
          <w:rFonts w:ascii="Arial" w:eastAsia="宋体" w:hAnsi="Arial" w:cs="Arial"/>
          <w:color w:val="000000"/>
          <w:sz w:val="18"/>
          <w:szCs w:val="18"/>
        </w:rPr>
        <w:t>115</w:t>
      </w:r>
    </w:p>
    <w:p w14:paraId="22CFDA9C" w14:textId="77777777" w:rsidR="002661BA" w:rsidRDefault="00D972BC">
      <w:r>
        <w:pict w14:anchorId="22CFE524">
          <v:rect id="_x0000_i1139" style="width:415.3pt;height:1.5pt" o:hralign="center" o:hrstd="t" o:hr="t" fillcolor="#a0a0a0" stroked="f"/>
        </w:pict>
      </w:r>
    </w:p>
    <w:p w14:paraId="22CFDA9D" w14:textId="77777777" w:rsidR="002661BA" w:rsidRDefault="00D972BC">
      <w:hyperlink r:id="rId150" w:anchor="id0d7a71b05ce452ea9fdb54f3cb359c7_7" w:history="1">
        <w:r>
          <w:rPr>
            <w:rStyle w:val="a5"/>
            <w:rFonts w:ascii="Arial" w:eastAsia="宋体" w:hAnsi="Arial" w:cs="Arial"/>
            <w:sz w:val="18"/>
            <w:szCs w:val="18"/>
          </w:rPr>
          <w:t>Table of Contents</w:t>
        </w:r>
      </w:hyperlink>
    </w:p>
    <w:p w14:paraId="22CFDA9E" w14:textId="77777777" w:rsidR="002661BA" w:rsidRDefault="00D972BC">
      <w:pPr>
        <w:jc w:val="center"/>
      </w:pPr>
      <w:r>
        <w:rPr>
          <w:rFonts w:ascii="Arial" w:eastAsia="宋体" w:hAnsi="Arial" w:cs="Arial"/>
          <w:b/>
          <w:bCs/>
          <w:color w:val="000000"/>
          <w:sz w:val="20"/>
          <w:szCs w:val="20"/>
        </w:rPr>
        <w:t xml:space="preserve">INDEX TO EXHIBITS </w:t>
      </w:r>
    </w:p>
    <w:p w14:paraId="22CFDA9F" w14:textId="77777777" w:rsidR="002661BA" w:rsidRDefault="002661BA">
      <w:pPr>
        <w:jc w:val="center"/>
      </w:pPr>
    </w:p>
    <w:tbl>
      <w:tblPr>
        <w:tblW w:w="4963" w:type="pct"/>
        <w:jc w:val="center"/>
        <w:tblCellMar>
          <w:top w:w="15" w:type="dxa"/>
          <w:left w:w="15" w:type="dxa"/>
          <w:bottom w:w="15" w:type="dxa"/>
          <w:right w:w="15" w:type="dxa"/>
        </w:tblCellMar>
        <w:tblLook w:val="04A0" w:firstRow="1" w:lastRow="0" w:firstColumn="1" w:lastColumn="0" w:noHBand="0" w:noVBand="1"/>
      </w:tblPr>
      <w:tblGrid>
        <w:gridCol w:w="53"/>
        <w:gridCol w:w="556"/>
        <w:gridCol w:w="36"/>
        <w:gridCol w:w="37"/>
        <w:gridCol w:w="85"/>
        <w:gridCol w:w="36"/>
        <w:gridCol w:w="40"/>
        <w:gridCol w:w="3632"/>
        <w:gridCol w:w="39"/>
        <w:gridCol w:w="36"/>
        <w:gridCol w:w="36"/>
        <w:gridCol w:w="36"/>
        <w:gridCol w:w="61"/>
        <w:gridCol w:w="765"/>
        <w:gridCol w:w="36"/>
        <w:gridCol w:w="36"/>
        <w:gridCol w:w="36"/>
        <w:gridCol w:w="36"/>
        <w:gridCol w:w="54"/>
        <w:gridCol w:w="468"/>
        <w:gridCol w:w="39"/>
        <w:gridCol w:w="37"/>
        <w:gridCol w:w="37"/>
        <w:gridCol w:w="37"/>
        <w:gridCol w:w="84"/>
        <w:gridCol w:w="809"/>
        <w:gridCol w:w="37"/>
        <w:gridCol w:w="37"/>
        <w:gridCol w:w="37"/>
        <w:gridCol w:w="36"/>
        <w:gridCol w:w="88"/>
        <w:gridCol w:w="845"/>
        <w:gridCol w:w="37"/>
      </w:tblGrid>
      <w:tr w:rsidR="002661BA" w14:paraId="22CFDAC1" w14:textId="77777777">
        <w:trPr>
          <w:jc w:val="center"/>
        </w:trPr>
        <w:tc>
          <w:tcPr>
            <w:tcW w:w="50" w:type="pct"/>
            <w:shd w:val="clear" w:color="auto" w:fill="auto"/>
            <w:vAlign w:val="bottom"/>
          </w:tcPr>
          <w:p w14:paraId="22CFDAA0" w14:textId="77777777" w:rsidR="002661BA" w:rsidRDefault="002661BA">
            <w:pPr>
              <w:rPr>
                <w:rFonts w:ascii="宋体"/>
              </w:rPr>
            </w:pPr>
          </w:p>
        </w:tc>
        <w:tc>
          <w:tcPr>
            <w:tcW w:w="386" w:type="pct"/>
            <w:shd w:val="clear" w:color="auto" w:fill="auto"/>
            <w:vAlign w:val="bottom"/>
          </w:tcPr>
          <w:p w14:paraId="22CFDAA1" w14:textId="77777777" w:rsidR="002661BA" w:rsidRDefault="002661BA">
            <w:pPr>
              <w:rPr>
                <w:rFonts w:ascii="宋体"/>
              </w:rPr>
            </w:pPr>
          </w:p>
        </w:tc>
        <w:tc>
          <w:tcPr>
            <w:tcW w:w="5" w:type="pct"/>
            <w:shd w:val="clear" w:color="auto" w:fill="auto"/>
            <w:vAlign w:val="bottom"/>
          </w:tcPr>
          <w:p w14:paraId="22CFDAA2" w14:textId="77777777" w:rsidR="002661BA" w:rsidRDefault="002661BA">
            <w:pPr>
              <w:rPr>
                <w:rFonts w:ascii="宋体"/>
              </w:rPr>
            </w:pPr>
          </w:p>
        </w:tc>
        <w:tc>
          <w:tcPr>
            <w:tcW w:w="5" w:type="pct"/>
            <w:shd w:val="clear" w:color="auto" w:fill="auto"/>
            <w:vAlign w:val="bottom"/>
          </w:tcPr>
          <w:p w14:paraId="22CFDAA3" w14:textId="77777777" w:rsidR="002661BA" w:rsidRDefault="002661BA">
            <w:pPr>
              <w:rPr>
                <w:rFonts w:ascii="宋体"/>
              </w:rPr>
            </w:pPr>
          </w:p>
        </w:tc>
        <w:tc>
          <w:tcPr>
            <w:tcW w:w="26" w:type="pct"/>
            <w:shd w:val="clear" w:color="auto" w:fill="auto"/>
            <w:vAlign w:val="bottom"/>
          </w:tcPr>
          <w:p w14:paraId="22CFDAA4" w14:textId="77777777" w:rsidR="002661BA" w:rsidRDefault="002661BA">
            <w:pPr>
              <w:rPr>
                <w:rFonts w:ascii="宋体"/>
              </w:rPr>
            </w:pPr>
          </w:p>
        </w:tc>
        <w:tc>
          <w:tcPr>
            <w:tcW w:w="5" w:type="pct"/>
            <w:shd w:val="clear" w:color="auto" w:fill="auto"/>
            <w:vAlign w:val="bottom"/>
          </w:tcPr>
          <w:p w14:paraId="22CFDAA5" w14:textId="77777777" w:rsidR="002661BA" w:rsidRDefault="002661BA">
            <w:pPr>
              <w:rPr>
                <w:rFonts w:ascii="宋体"/>
              </w:rPr>
            </w:pPr>
          </w:p>
        </w:tc>
        <w:tc>
          <w:tcPr>
            <w:tcW w:w="50" w:type="pct"/>
            <w:shd w:val="clear" w:color="auto" w:fill="auto"/>
            <w:vAlign w:val="bottom"/>
          </w:tcPr>
          <w:p w14:paraId="22CFDAA6" w14:textId="77777777" w:rsidR="002661BA" w:rsidRDefault="002661BA">
            <w:pPr>
              <w:rPr>
                <w:rFonts w:ascii="宋体"/>
              </w:rPr>
            </w:pPr>
          </w:p>
        </w:tc>
        <w:tc>
          <w:tcPr>
            <w:tcW w:w="2235" w:type="pct"/>
            <w:shd w:val="clear" w:color="auto" w:fill="auto"/>
            <w:vAlign w:val="bottom"/>
          </w:tcPr>
          <w:p w14:paraId="22CFDAA7" w14:textId="77777777" w:rsidR="002661BA" w:rsidRDefault="002661BA">
            <w:pPr>
              <w:rPr>
                <w:rFonts w:ascii="宋体"/>
              </w:rPr>
            </w:pPr>
          </w:p>
        </w:tc>
        <w:tc>
          <w:tcPr>
            <w:tcW w:w="5" w:type="pct"/>
            <w:shd w:val="clear" w:color="auto" w:fill="auto"/>
            <w:vAlign w:val="bottom"/>
          </w:tcPr>
          <w:p w14:paraId="22CFDAA8" w14:textId="77777777" w:rsidR="002661BA" w:rsidRDefault="002661BA">
            <w:pPr>
              <w:rPr>
                <w:rFonts w:ascii="宋体"/>
              </w:rPr>
            </w:pPr>
          </w:p>
        </w:tc>
        <w:tc>
          <w:tcPr>
            <w:tcW w:w="5" w:type="pct"/>
            <w:shd w:val="clear" w:color="auto" w:fill="auto"/>
            <w:vAlign w:val="bottom"/>
          </w:tcPr>
          <w:p w14:paraId="22CFDAA9" w14:textId="77777777" w:rsidR="002661BA" w:rsidRDefault="002661BA">
            <w:pPr>
              <w:rPr>
                <w:rFonts w:ascii="宋体"/>
              </w:rPr>
            </w:pPr>
          </w:p>
        </w:tc>
        <w:tc>
          <w:tcPr>
            <w:tcW w:w="26" w:type="pct"/>
            <w:shd w:val="clear" w:color="auto" w:fill="auto"/>
            <w:vAlign w:val="bottom"/>
          </w:tcPr>
          <w:p w14:paraId="22CFDAAA" w14:textId="77777777" w:rsidR="002661BA" w:rsidRDefault="002661BA">
            <w:pPr>
              <w:rPr>
                <w:rFonts w:ascii="宋体"/>
              </w:rPr>
            </w:pPr>
          </w:p>
        </w:tc>
        <w:tc>
          <w:tcPr>
            <w:tcW w:w="5" w:type="pct"/>
            <w:shd w:val="clear" w:color="auto" w:fill="auto"/>
            <w:vAlign w:val="bottom"/>
          </w:tcPr>
          <w:p w14:paraId="22CFDAAB" w14:textId="77777777" w:rsidR="002661BA" w:rsidRDefault="002661BA">
            <w:pPr>
              <w:rPr>
                <w:rFonts w:ascii="宋体"/>
              </w:rPr>
            </w:pPr>
          </w:p>
        </w:tc>
        <w:tc>
          <w:tcPr>
            <w:tcW w:w="50" w:type="pct"/>
            <w:shd w:val="clear" w:color="auto" w:fill="auto"/>
            <w:vAlign w:val="bottom"/>
          </w:tcPr>
          <w:p w14:paraId="22CFDAAC" w14:textId="77777777" w:rsidR="002661BA" w:rsidRDefault="002661BA">
            <w:pPr>
              <w:rPr>
                <w:rFonts w:ascii="宋体"/>
              </w:rPr>
            </w:pPr>
          </w:p>
        </w:tc>
        <w:tc>
          <w:tcPr>
            <w:tcW w:w="541" w:type="pct"/>
            <w:shd w:val="clear" w:color="auto" w:fill="auto"/>
            <w:vAlign w:val="bottom"/>
          </w:tcPr>
          <w:p w14:paraId="22CFDAAD" w14:textId="77777777" w:rsidR="002661BA" w:rsidRDefault="002661BA">
            <w:pPr>
              <w:rPr>
                <w:rFonts w:ascii="宋体"/>
              </w:rPr>
            </w:pPr>
          </w:p>
        </w:tc>
        <w:tc>
          <w:tcPr>
            <w:tcW w:w="5" w:type="pct"/>
            <w:shd w:val="clear" w:color="auto" w:fill="auto"/>
            <w:vAlign w:val="bottom"/>
          </w:tcPr>
          <w:p w14:paraId="22CFDAAE" w14:textId="77777777" w:rsidR="002661BA" w:rsidRDefault="002661BA">
            <w:pPr>
              <w:rPr>
                <w:rFonts w:ascii="宋体"/>
              </w:rPr>
            </w:pPr>
          </w:p>
        </w:tc>
        <w:tc>
          <w:tcPr>
            <w:tcW w:w="5" w:type="pct"/>
            <w:shd w:val="clear" w:color="auto" w:fill="auto"/>
            <w:vAlign w:val="bottom"/>
          </w:tcPr>
          <w:p w14:paraId="22CFDAAF" w14:textId="77777777" w:rsidR="002661BA" w:rsidRDefault="002661BA">
            <w:pPr>
              <w:rPr>
                <w:rFonts w:ascii="宋体"/>
              </w:rPr>
            </w:pPr>
          </w:p>
        </w:tc>
        <w:tc>
          <w:tcPr>
            <w:tcW w:w="26" w:type="pct"/>
            <w:shd w:val="clear" w:color="auto" w:fill="auto"/>
            <w:vAlign w:val="bottom"/>
          </w:tcPr>
          <w:p w14:paraId="22CFDAB0" w14:textId="77777777" w:rsidR="002661BA" w:rsidRDefault="002661BA">
            <w:pPr>
              <w:rPr>
                <w:rFonts w:ascii="宋体"/>
              </w:rPr>
            </w:pPr>
          </w:p>
        </w:tc>
        <w:tc>
          <w:tcPr>
            <w:tcW w:w="5" w:type="pct"/>
            <w:shd w:val="clear" w:color="auto" w:fill="auto"/>
            <w:vAlign w:val="bottom"/>
          </w:tcPr>
          <w:p w14:paraId="22CFDAB1" w14:textId="77777777" w:rsidR="002661BA" w:rsidRDefault="002661BA">
            <w:pPr>
              <w:rPr>
                <w:rFonts w:ascii="宋体"/>
              </w:rPr>
            </w:pPr>
          </w:p>
        </w:tc>
        <w:tc>
          <w:tcPr>
            <w:tcW w:w="50" w:type="pct"/>
            <w:shd w:val="clear" w:color="auto" w:fill="auto"/>
            <w:vAlign w:val="bottom"/>
          </w:tcPr>
          <w:p w14:paraId="22CFDAB2" w14:textId="77777777" w:rsidR="002661BA" w:rsidRDefault="002661BA">
            <w:pPr>
              <w:rPr>
                <w:rFonts w:ascii="宋体"/>
              </w:rPr>
            </w:pPr>
          </w:p>
        </w:tc>
        <w:tc>
          <w:tcPr>
            <w:tcW w:w="357" w:type="pct"/>
            <w:shd w:val="clear" w:color="auto" w:fill="auto"/>
            <w:vAlign w:val="bottom"/>
          </w:tcPr>
          <w:p w14:paraId="22CFDAB3" w14:textId="77777777" w:rsidR="002661BA" w:rsidRDefault="002661BA">
            <w:pPr>
              <w:rPr>
                <w:rFonts w:ascii="宋体"/>
              </w:rPr>
            </w:pPr>
          </w:p>
        </w:tc>
        <w:tc>
          <w:tcPr>
            <w:tcW w:w="5" w:type="pct"/>
            <w:shd w:val="clear" w:color="auto" w:fill="auto"/>
            <w:vAlign w:val="bottom"/>
          </w:tcPr>
          <w:p w14:paraId="22CFDAB4" w14:textId="77777777" w:rsidR="002661BA" w:rsidRDefault="002661BA">
            <w:pPr>
              <w:rPr>
                <w:rFonts w:ascii="宋体"/>
              </w:rPr>
            </w:pPr>
          </w:p>
        </w:tc>
        <w:tc>
          <w:tcPr>
            <w:tcW w:w="5" w:type="pct"/>
            <w:shd w:val="clear" w:color="auto" w:fill="auto"/>
            <w:vAlign w:val="bottom"/>
          </w:tcPr>
          <w:p w14:paraId="22CFDAB5" w14:textId="77777777" w:rsidR="002661BA" w:rsidRDefault="002661BA">
            <w:pPr>
              <w:rPr>
                <w:rFonts w:ascii="宋体"/>
              </w:rPr>
            </w:pPr>
          </w:p>
        </w:tc>
        <w:tc>
          <w:tcPr>
            <w:tcW w:w="26" w:type="pct"/>
            <w:shd w:val="clear" w:color="auto" w:fill="auto"/>
            <w:vAlign w:val="bottom"/>
          </w:tcPr>
          <w:p w14:paraId="22CFDAB6" w14:textId="77777777" w:rsidR="002661BA" w:rsidRDefault="002661BA">
            <w:pPr>
              <w:rPr>
                <w:rFonts w:ascii="宋体"/>
              </w:rPr>
            </w:pPr>
          </w:p>
        </w:tc>
        <w:tc>
          <w:tcPr>
            <w:tcW w:w="5" w:type="pct"/>
            <w:shd w:val="clear" w:color="auto" w:fill="auto"/>
            <w:vAlign w:val="bottom"/>
          </w:tcPr>
          <w:p w14:paraId="22CFDAB7" w14:textId="77777777" w:rsidR="002661BA" w:rsidRDefault="002661BA">
            <w:pPr>
              <w:rPr>
                <w:rFonts w:ascii="宋体"/>
              </w:rPr>
            </w:pPr>
          </w:p>
        </w:tc>
        <w:tc>
          <w:tcPr>
            <w:tcW w:w="50" w:type="pct"/>
            <w:shd w:val="clear" w:color="auto" w:fill="auto"/>
            <w:vAlign w:val="bottom"/>
          </w:tcPr>
          <w:p w14:paraId="22CFDAB8" w14:textId="77777777" w:rsidR="002661BA" w:rsidRDefault="002661BA">
            <w:pPr>
              <w:rPr>
                <w:rFonts w:ascii="宋体"/>
              </w:rPr>
            </w:pPr>
          </w:p>
        </w:tc>
        <w:tc>
          <w:tcPr>
            <w:tcW w:w="482" w:type="pct"/>
            <w:shd w:val="clear" w:color="auto" w:fill="auto"/>
            <w:vAlign w:val="bottom"/>
          </w:tcPr>
          <w:p w14:paraId="22CFDAB9" w14:textId="77777777" w:rsidR="002661BA" w:rsidRDefault="002661BA">
            <w:pPr>
              <w:rPr>
                <w:rFonts w:ascii="宋体"/>
              </w:rPr>
            </w:pPr>
          </w:p>
        </w:tc>
        <w:tc>
          <w:tcPr>
            <w:tcW w:w="5" w:type="pct"/>
            <w:shd w:val="clear" w:color="auto" w:fill="auto"/>
            <w:vAlign w:val="bottom"/>
          </w:tcPr>
          <w:p w14:paraId="22CFDABA" w14:textId="77777777" w:rsidR="002661BA" w:rsidRDefault="002661BA">
            <w:pPr>
              <w:rPr>
                <w:rFonts w:ascii="宋体"/>
              </w:rPr>
            </w:pPr>
          </w:p>
        </w:tc>
        <w:tc>
          <w:tcPr>
            <w:tcW w:w="5" w:type="pct"/>
            <w:shd w:val="clear" w:color="auto" w:fill="auto"/>
            <w:vAlign w:val="bottom"/>
          </w:tcPr>
          <w:p w14:paraId="22CFDABB" w14:textId="77777777" w:rsidR="002661BA" w:rsidRDefault="002661BA">
            <w:pPr>
              <w:rPr>
                <w:rFonts w:ascii="宋体"/>
              </w:rPr>
            </w:pPr>
          </w:p>
        </w:tc>
        <w:tc>
          <w:tcPr>
            <w:tcW w:w="26" w:type="pct"/>
            <w:shd w:val="clear" w:color="auto" w:fill="auto"/>
            <w:vAlign w:val="bottom"/>
          </w:tcPr>
          <w:p w14:paraId="22CFDABC" w14:textId="77777777" w:rsidR="002661BA" w:rsidRDefault="002661BA">
            <w:pPr>
              <w:rPr>
                <w:rFonts w:ascii="宋体"/>
              </w:rPr>
            </w:pPr>
          </w:p>
        </w:tc>
        <w:tc>
          <w:tcPr>
            <w:tcW w:w="5" w:type="pct"/>
            <w:shd w:val="clear" w:color="auto" w:fill="auto"/>
            <w:vAlign w:val="bottom"/>
          </w:tcPr>
          <w:p w14:paraId="22CFDABD" w14:textId="77777777" w:rsidR="002661BA" w:rsidRDefault="002661BA">
            <w:pPr>
              <w:rPr>
                <w:rFonts w:ascii="宋体"/>
              </w:rPr>
            </w:pPr>
          </w:p>
        </w:tc>
        <w:tc>
          <w:tcPr>
            <w:tcW w:w="50" w:type="pct"/>
            <w:shd w:val="clear" w:color="auto" w:fill="auto"/>
            <w:vAlign w:val="bottom"/>
          </w:tcPr>
          <w:p w14:paraId="22CFDABE" w14:textId="77777777" w:rsidR="002661BA" w:rsidRDefault="002661BA">
            <w:pPr>
              <w:rPr>
                <w:rFonts w:ascii="宋体"/>
              </w:rPr>
            </w:pPr>
          </w:p>
        </w:tc>
        <w:tc>
          <w:tcPr>
            <w:tcW w:w="482" w:type="pct"/>
            <w:shd w:val="clear" w:color="auto" w:fill="auto"/>
            <w:vAlign w:val="bottom"/>
          </w:tcPr>
          <w:p w14:paraId="22CFDABF" w14:textId="77777777" w:rsidR="002661BA" w:rsidRDefault="002661BA">
            <w:pPr>
              <w:rPr>
                <w:rFonts w:ascii="宋体"/>
              </w:rPr>
            </w:pPr>
          </w:p>
        </w:tc>
        <w:tc>
          <w:tcPr>
            <w:tcW w:w="5" w:type="pct"/>
            <w:shd w:val="clear" w:color="auto" w:fill="auto"/>
            <w:vAlign w:val="bottom"/>
          </w:tcPr>
          <w:p w14:paraId="22CFDAC0" w14:textId="77777777" w:rsidR="002661BA" w:rsidRDefault="002661BA">
            <w:pPr>
              <w:rPr>
                <w:rFonts w:ascii="宋体"/>
              </w:rPr>
            </w:pPr>
          </w:p>
        </w:tc>
      </w:tr>
      <w:tr w:rsidR="002661BA" w14:paraId="22CFDAC9" w14:textId="77777777">
        <w:trPr>
          <w:trHeight w:val="240"/>
          <w:jc w:val="center"/>
        </w:trPr>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22CFDAC2" w14:textId="77777777" w:rsidR="002661BA" w:rsidRDefault="00D972BC">
            <w:pPr>
              <w:textAlignment w:val="bottom"/>
            </w:pPr>
            <w:r>
              <w:rPr>
                <w:rFonts w:ascii="Arial" w:eastAsia="宋体" w:hAnsi="Arial" w:cs="Arial"/>
                <w:b/>
                <w:bCs/>
                <w:color w:val="000000"/>
                <w:sz w:val="14"/>
                <w:szCs w:val="14"/>
              </w:rPr>
              <w:t>No.</w:t>
            </w:r>
          </w:p>
        </w:tc>
        <w:tc>
          <w:tcPr>
            <w:tcW w:w="0" w:type="auto"/>
            <w:gridSpan w:val="3"/>
            <w:shd w:val="clear" w:color="auto" w:fill="auto"/>
            <w:tcMar>
              <w:top w:w="40" w:type="dxa"/>
              <w:left w:w="20" w:type="dxa"/>
              <w:bottom w:w="40" w:type="dxa"/>
              <w:right w:w="20" w:type="dxa"/>
            </w:tcMar>
            <w:vAlign w:val="bottom"/>
          </w:tcPr>
          <w:p w14:paraId="22CFDAC3" w14:textId="77777777" w:rsidR="002661BA" w:rsidRDefault="00D972BC">
            <w:pPr>
              <w:textAlignment w:val="bottom"/>
            </w:pPr>
            <w:r>
              <w:rPr>
                <w:rFonts w:ascii="Arial" w:eastAsia="宋体" w:hAnsi="Arial" w:cs="Arial"/>
                <w:color w:val="000000"/>
                <w:sz w:val="14"/>
                <w:szCs w:val="14"/>
              </w:rPr>
              <w:t>  </w:t>
            </w: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22CFDAC4" w14:textId="77777777" w:rsidR="002661BA" w:rsidRDefault="00D972BC">
            <w:pPr>
              <w:jc w:val="center"/>
              <w:textAlignment w:val="bottom"/>
            </w:pPr>
            <w:r>
              <w:rPr>
                <w:rFonts w:ascii="Arial" w:eastAsia="宋体" w:hAnsi="Arial" w:cs="Arial"/>
                <w:b/>
                <w:bCs/>
                <w:color w:val="000000"/>
                <w:sz w:val="14"/>
                <w:szCs w:val="14"/>
              </w:rPr>
              <w:t>Exhibit Description</w:t>
            </w:r>
          </w:p>
        </w:tc>
        <w:tc>
          <w:tcPr>
            <w:tcW w:w="0" w:type="auto"/>
            <w:gridSpan w:val="3"/>
            <w:shd w:val="clear" w:color="auto" w:fill="auto"/>
            <w:tcMar>
              <w:top w:w="40" w:type="dxa"/>
              <w:left w:w="20" w:type="dxa"/>
              <w:bottom w:w="40" w:type="dxa"/>
              <w:right w:w="20" w:type="dxa"/>
            </w:tcMar>
            <w:vAlign w:val="bottom"/>
          </w:tcPr>
          <w:p w14:paraId="22CFDAC5" w14:textId="77777777" w:rsidR="002661BA" w:rsidRDefault="00D972BC">
            <w:pPr>
              <w:textAlignment w:val="bottom"/>
            </w:pPr>
            <w:r>
              <w:rPr>
                <w:rFonts w:ascii="Arial" w:eastAsia="宋体" w:hAnsi="Arial" w:cs="Arial"/>
                <w:color w:val="000000"/>
                <w:sz w:val="14"/>
                <w:szCs w:val="14"/>
              </w:rPr>
              <w:t> </w:t>
            </w: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22CFDAC6" w14:textId="77777777" w:rsidR="002661BA" w:rsidRDefault="00D972BC">
            <w:pPr>
              <w:jc w:val="center"/>
              <w:textAlignment w:val="bottom"/>
            </w:pPr>
            <w:r>
              <w:rPr>
                <w:rFonts w:ascii="Arial" w:eastAsia="宋体" w:hAnsi="Arial" w:cs="Arial"/>
                <w:b/>
                <w:bCs/>
                <w:color w:val="000000"/>
                <w:sz w:val="14"/>
                <w:szCs w:val="14"/>
              </w:rPr>
              <w:t>Filed or Furnished with</w:t>
            </w:r>
            <w:r>
              <w:rPr>
                <w:rFonts w:ascii="Arial" w:eastAsia="宋体" w:hAnsi="Arial" w:cs="Arial"/>
                <w:b/>
                <w:bCs/>
                <w:color w:val="000000"/>
                <w:sz w:val="14"/>
                <w:szCs w:val="14"/>
              </w:rPr>
              <w:br/>
              <w:t>this 10-K</w:t>
            </w:r>
          </w:p>
        </w:tc>
        <w:tc>
          <w:tcPr>
            <w:tcW w:w="0" w:type="auto"/>
            <w:gridSpan w:val="3"/>
            <w:shd w:val="clear" w:color="auto" w:fill="auto"/>
            <w:tcMar>
              <w:top w:w="40" w:type="dxa"/>
              <w:left w:w="20" w:type="dxa"/>
              <w:bottom w:w="40" w:type="dxa"/>
              <w:right w:w="20" w:type="dxa"/>
            </w:tcMar>
            <w:vAlign w:val="bottom"/>
          </w:tcPr>
          <w:p w14:paraId="22CFDAC7" w14:textId="77777777" w:rsidR="002661BA" w:rsidRDefault="00D972BC">
            <w:pPr>
              <w:textAlignment w:val="bottom"/>
            </w:pPr>
            <w:r>
              <w:rPr>
                <w:rFonts w:ascii="Arial" w:eastAsia="宋体" w:hAnsi="Arial" w:cs="Arial"/>
                <w:color w:val="000000"/>
                <w:sz w:val="14"/>
                <w:szCs w:val="14"/>
              </w:rPr>
              <w:t> </w:t>
            </w:r>
          </w:p>
        </w:tc>
        <w:tc>
          <w:tcPr>
            <w:tcW w:w="0" w:type="auto"/>
            <w:gridSpan w:val="15"/>
            <w:shd w:val="clear" w:color="auto" w:fill="auto"/>
            <w:tcMar>
              <w:top w:w="40" w:type="dxa"/>
              <w:left w:w="20" w:type="dxa"/>
              <w:bottom w:w="40" w:type="dxa"/>
              <w:right w:w="20" w:type="dxa"/>
            </w:tcMar>
            <w:vAlign w:val="bottom"/>
          </w:tcPr>
          <w:p w14:paraId="22CFDAC8" w14:textId="77777777" w:rsidR="002661BA" w:rsidRDefault="00D972BC">
            <w:pPr>
              <w:jc w:val="center"/>
              <w:textAlignment w:val="bottom"/>
            </w:pPr>
            <w:r>
              <w:rPr>
                <w:rFonts w:ascii="Arial" w:eastAsia="宋体" w:hAnsi="Arial" w:cs="Arial"/>
                <w:b/>
                <w:bCs/>
                <w:color w:val="000000"/>
                <w:sz w:val="14"/>
                <w:szCs w:val="14"/>
              </w:rPr>
              <w:t>Incorporated by Reference</w:t>
            </w:r>
          </w:p>
        </w:tc>
      </w:tr>
      <w:tr w:rsidR="002661BA" w14:paraId="22CFDAD5" w14:textId="77777777">
        <w:trPr>
          <w:trHeight w:val="240"/>
          <w:jc w:val="center"/>
        </w:trPr>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22CFDAC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ACB" w14:textId="77777777" w:rsidR="002661BA" w:rsidRDefault="00D972BC">
            <w:pPr>
              <w:textAlignment w:val="bottom"/>
            </w:pPr>
            <w:r>
              <w:rPr>
                <w:rFonts w:ascii="Arial" w:eastAsia="宋体" w:hAnsi="Arial" w:cs="Arial"/>
                <w:color w:val="000000"/>
                <w:sz w:val="14"/>
                <w:szCs w:val="14"/>
              </w:rPr>
              <w:t>  </w:t>
            </w: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22CFDACC" w14:textId="77777777" w:rsidR="002661BA" w:rsidRDefault="002661BA">
            <w:pPr>
              <w:jc w:val="center"/>
              <w:rPr>
                <w:rFonts w:ascii="宋体"/>
              </w:rPr>
            </w:pPr>
          </w:p>
        </w:tc>
        <w:tc>
          <w:tcPr>
            <w:tcW w:w="0" w:type="auto"/>
            <w:gridSpan w:val="3"/>
            <w:shd w:val="clear" w:color="auto" w:fill="auto"/>
            <w:tcMar>
              <w:top w:w="40" w:type="dxa"/>
              <w:left w:w="20" w:type="dxa"/>
              <w:bottom w:w="40" w:type="dxa"/>
              <w:right w:w="20" w:type="dxa"/>
            </w:tcMar>
            <w:vAlign w:val="bottom"/>
          </w:tcPr>
          <w:p w14:paraId="22CFDACD" w14:textId="77777777" w:rsidR="002661BA" w:rsidRDefault="00D972BC">
            <w:pPr>
              <w:textAlignment w:val="bottom"/>
            </w:pPr>
            <w:r>
              <w:rPr>
                <w:rFonts w:ascii="Arial" w:eastAsia="宋体" w:hAnsi="Arial" w:cs="Arial"/>
                <w:color w:val="000000"/>
                <w:sz w:val="14"/>
                <w:szCs w:val="14"/>
              </w:rPr>
              <w:t> </w:t>
            </w: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22CFDACE" w14:textId="77777777" w:rsidR="002661BA" w:rsidRDefault="002661BA">
            <w:pPr>
              <w:jc w:val="center"/>
              <w:rPr>
                <w:rFonts w:ascii="宋体"/>
              </w:rPr>
            </w:pPr>
          </w:p>
        </w:tc>
        <w:tc>
          <w:tcPr>
            <w:tcW w:w="0" w:type="auto"/>
            <w:gridSpan w:val="3"/>
            <w:shd w:val="clear" w:color="auto" w:fill="auto"/>
            <w:tcMar>
              <w:top w:w="40" w:type="dxa"/>
              <w:left w:w="20" w:type="dxa"/>
              <w:bottom w:w="40" w:type="dxa"/>
              <w:right w:w="20" w:type="dxa"/>
            </w:tcMar>
            <w:vAlign w:val="bottom"/>
          </w:tcPr>
          <w:p w14:paraId="22CFDACF" w14:textId="77777777" w:rsidR="002661BA" w:rsidRDefault="00D972BC">
            <w:pPr>
              <w:textAlignment w:val="bottom"/>
            </w:pPr>
            <w:r>
              <w:rPr>
                <w:rFonts w:ascii="Arial" w:eastAsia="宋体" w:hAnsi="Arial" w:cs="Arial"/>
                <w:color w:val="000000"/>
                <w:sz w:val="14"/>
                <w:szCs w:val="14"/>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DAD0" w14:textId="77777777" w:rsidR="002661BA" w:rsidRDefault="00D972BC">
            <w:pPr>
              <w:jc w:val="center"/>
              <w:textAlignment w:val="bottom"/>
            </w:pPr>
            <w:r>
              <w:rPr>
                <w:rFonts w:ascii="Arial" w:eastAsia="宋体" w:hAnsi="Arial" w:cs="Arial"/>
                <w:b/>
                <w:bCs/>
                <w:color w:val="000000"/>
                <w:sz w:val="14"/>
                <w:szCs w:val="14"/>
              </w:rPr>
              <w:t>Form</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AD1" w14:textId="77777777" w:rsidR="002661BA" w:rsidRDefault="00D972BC">
            <w:pPr>
              <w:textAlignment w:val="bottom"/>
            </w:pPr>
            <w:r>
              <w:rPr>
                <w:rFonts w:ascii="Arial" w:eastAsia="宋体" w:hAnsi="Arial" w:cs="Arial"/>
                <w:color w:val="000000"/>
                <w:sz w:val="14"/>
                <w:szCs w:val="14"/>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DAD2" w14:textId="77777777" w:rsidR="002661BA" w:rsidRDefault="00D972BC">
            <w:pPr>
              <w:jc w:val="center"/>
              <w:textAlignment w:val="bottom"/>
            </w:pPr>
            <w:r>
              <w:rPr>
                <w:rFonts w:ascii="Arial" w:eastAsia="宋体" w:hAnsi="Arial" w:cs="Arial"/>
                <w:b/>
                <w:bCs/>
                <w:color w:val="000000"/>
                <w:sz w:val="14"/>
                <w:szCs w:val="14"/>
              </w:rPr>
              <w:t>File No.</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AD3" w14:textId="77777777" w:rsidR="002661BA" w:rsidRDefault="00D972BC">
            <w:pPr>
              <w:textAlignment w:val="bottom"/>
            </w:pPr>
            <w:r>
              <w:rPr>
                <w:rFonts w:ascii="Arial" w:eastAsia="宋体" w:hAnsi="Arial" w:cs="Arial"/>
                <w:color w:val="000000"/>
                <w:sz w:val="14"/>
                <w:szCs w:val="14"/>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DAD4" w14:textId="77777777" w:rsidR="002661BA" w:rsidRDefault="00D972BC">
            <w:pPr>
              <w:jc w:val="center"/>
              <w:textAlignment w:val="bottom"/>
            </w:pPr>
            <w:r>
              <w:rPr>
                <w:rFonts w:ascii="Arial" w:eastAsia="宋体" w:hAnsi="Arial" w:cs="Arial"/>
                <w:b/>
                <w:bCs/>
                <w:color w:val="000000"/>
                <w:sz w:val="14"/>
                <w:szCs w:val="14"/>
              </w:rPr>
              <w:t>Date Filed</w:t>
            </w:r>
          </w:p>
        </w:tc>
      </w:tr>
      <w:tr w:rsidR="002661BA" w14:paraId="22CFDADC"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22CFDAD6"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AD7"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AD8"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AD9"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ADA"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ADB" w14:textId="77777777" w:rsidR="002661BA" w:rsidRDefault="002661BA">
            <w:pPr>
              <w:rPr>
                <w:rFonts w:ascii="宋体"/>
              </w:rPr>
            </w:pPr>
          </w:p>
        </w:tc>
      </w:tr>
      <w:tr w:rsidR="002661BA" w14:paraId="22CFDAE8" w14:textId="77777777">
        <w:trPr>
          <w:jc w:val="center"/>
        </w:trPr>
        <w:tc>
          <w:tcPr>
            <w:tcW w:w="0" w:type="auto"/>
            <w:gridSpan w:val="3"/>
            <w:shd w:val="clear" w:color="auto" w:fill="auto"/>
            <w:tcMar>
              <w:top w:w="40" w:type="dxa"/>
              <w:left w:w="20" w:type="dxa"/>
              <w:bottom w:w="40" w:type="dxa"/>
              <w:right w:w="20" w:type="dxa"/>
            </w:tcMar>
          </w:tcPr>
          <w:p w14:paraId="22CFDADD" w14:textId="77777777" w:rsidR="002661BA" w:rsidRDefault="00D972BC">
            <w:pPr>
              <w:textAlignment w:val="top"/>
            </w:pPr>
            <w:r>
              <w:rPr>
                <w:rFonts w:ascii="Arial" w:eastAsia="宋体" w:hAnsi="Arial" w:cs="Arial"/>
                <w:color w:val="000000"/>
                <w:sz w:val="18"/>
                <w:szCs w:val="18"/>
              </w:rPr>
              <w:t>2.01</w:t>
            </w:r>
          </w:p>
        </w:tc>
        <w:tc>
          <w:tcPr>
            <w:tcW w:w="0" w:type="auto"/>
            <w:gridSpan w:val="3"/>
            <w:shd w:val="clear" w:color="auto" w:fill="auto"/>
            <w:tcMar>
              <w:top w:w="0" w:type="dxa"/>
              <w:left w:w="20" w:type="dxa"/>
              <w:bottom w:w="0" w:type="dxa"/>
              <w:right w:w="20" w:type="dxa"/>
            </w:tcMar>
            <w:vAlign w:val="bottom"/>
          </w:tcPr>
          <w:p w14:paraId="22CFDAD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ADF" w14:textId="77777777" w:rsidR="002661BA" w:rsidRDefault="00D972BC">
            <w:pPr>
              <w:textAlignment w:val="top"/>
            </w:pPr>
            <w:hyperlink r:id="rId151" w:history="1">
              <w:r>
                <w:rPr>
                  <w:rStyle w:val="a5"/>
                  <w:rFonts w:ascii="Arial" w:eastAsia="宋体" w:hAnsi="Arial" w:cs="Arial"/>
                  <w:sz w:val="18"/>
                  <w:szCs w:val="18"/>
                </w:rPr>
                <w:t>Separation and Distribution Agreement by and between Registrant and PayPal Holdings, Inc. dated as of June 26, 2015.</w:t>
              </w:r>
            </w:hyperlink>
          </w:p>
        </w:tc>
        <w:tc>
          <w:tcPr>
            <w:tcW w:w="0" w:type="auto"/>
            <w:gridSpan w:val="3"/>
            <w:shd w:val="clear" w:color="auto" w:fill="auto"/>
            <w:tcMar>
              <w:top w:w="0" w:type="dxa"/>
              <w:left w:w="20" w:type="dxa"/>
              <w:bottom w:w="0" w:type="dxa"/>
              <w:right w:w="20" w:type="dxa"/>
            </w:tcMar>
            <w:vAlign w:val="bottom"/>
          </w:tcPr>
          <w:p w14:paraId="22CFDAE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AE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AE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AE3"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AE4"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AE5"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DAE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AE7" w14:textId="77777777" w:rsidR="002661BA" w:rsidRDefault="00D972BC">
            <w:pPr>
              <w:jc w:val="center"/>
              <w:textAlignment w:val="top"/>
            </w:pPr>
            <w:r>
              <w:rPr>
                <w:rFonts w:ascii="Arial" w:eastAsia="宋体" w:hAnsi="Arial" w:cs="Arial"/>
                <w:color w:val="000000"/>
                <w:sz w:val="18"/>
                <w:szCs w:val="18"/>
              </w:rPr>
              <w:t>6/30/2015</w:t>
            </w:r>
          </w:p>
        </w:tc>
      </w:tr>
      <w:tr w:rsidR="002661BA" w14:paraId="22CFDAF4"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AE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AE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AE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AE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AE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AE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AE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AF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AF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AF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AF3" w14:textId="77777777" w:rsidR="002661BA" w:rsidRDefault="002661BA">
            <w:pPr>
              <w:rPr>
                <w:rFonts w:ascii="宋体"/>
              </w:rPr>
            </w:pPr>
          </w:p>
        </w:tc>
      </w:tr>
      <w:tr w:rsidR="002661BA" w14:paraId="22CFDB00" w14:textId="77777777">
        <w:trPr>
          <w:jc w:val="center"/>
        </w:trPr>
        <w:tc>
          <w:tcPr>
            <w:tcW w:w="0" w:type="auto"/>
            <w:gridSpan w:val="3"/>
            <w:shd w:val="clear" w:color="auto" w:fill="auto"/>
            <w:tcMar>
              <w:top w:w="40" w:type="dxa"/>
              <w:left w:w="20" w:type="dxa"/>
              <w:bottom w:w="40" w:type="dxa"/>
              <w:right w:w="20" w:type="dxa"/>
            </w:tcMar>
          </w:tcPr>
          <w:p w14:paraId="22CFDAF5" w14:textId="77777777" w:rsidR="002661BA" w:rsidRDefault="00D972BC">
            <w:pPr>
              <w:textAlignment w:val="top"/>
            </w:pPr>
            <w:r>
              <w:rPr>
                <w:rFonts w:ascii="Arial" w:eastAsia="宋体" w:hAnsi="Arial" w:cs="Arial"/>
                <w:color w:val="000000"/>
                <w:sz w:val="18"/>
                <w:szCs w:val="18"/>
              </w:rPr>
              <w:t>2.02*</w:t>
            </w:r>
          </w:p>
        </w:tc>
        <w:tc>
          <w:tcPr>
            <w:tcW w:w="0" w:type="auto"/>
            <w:gridSpan w:val="3"/>
            <w:shd w:val="clear" w:color="auto" w:fill="auto"/>
            <w:tcMar>
              <w:top w:w="0" w:type="dxa"/>
              <w:left w:w="20" w:type="dxa"/>
              <w:bottom w:w="0" w:type="dxa"/>
              <w:right w:w="20" w:type="dxa"/>
            </w:tcMar>
            <w:vAlign w:val="bottom"/>
          </w:tcPr>
          <w:p w14:paraId="22CFDAF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AF7" w14:textId="77777777" w:rsidR="002661BA" w:rsidRDefault="00D972BC">
            <w:pPr>
              <w:textAlignment w:val="bottom"/>
            </w:pPr>
            <w:hyperlink r:id="rId152" w:history="1">
              <w:r>
                <w:rPr>
                  <w:rStyle w:val="a5"/>
                  <w:rFonts w:ascii="Arial" w:eastAsia="宋体" w:hAnsi="Arial" w:cs="Arial"/>
                  <w:sz w:val="18"/>
                  <w:szCs w:val="18"/>
                </w:rPr>
                <w:t xml:space="preserve">Stock Purchase Agreement, dated as of November 24, 2019 by and among eBay Inc., eBay International AG, PUG LLC, and solely for </w:t>
              </w:r>
              <w:r>
                <w:rPr>
                  <w:rStyle w:val="a5"/>
                  <w:rFonts w:ascii="Arial" w:eastAsia="宋体" w:hAnsi="Arial" w:cs="Arial"/>
                  <w:sz w:val="18"/>
                  <w:szCs w:val="18"/>
                </w:rPr>
                <w:t>the purposes set forth therein, Pugnacious Endeavors, Inc.</w:t>
              </w:r>
            </w:hyperlink>
          </w:p>
        </w:tc>
        <w:tc>
          <w:tcPr>
            <w:tcW w:w="0" w:type="auto"/>
            <w:gridSpan w:val="3"/>
            <w:shd w:val="clear" w:color="auto" w:fill="auto"/>
            <w:tcMar>
              <w:top w:w="0" w:type="dxa"/>
              <w:left w:w="20" w:type="dxa"/>
              <w:bottom w:w="0" w:type="dxa"/>
              <w:right w:w="20" w:type="dxa"/>
            </w:tcMar>
            <w:vAlign w:val="bottom"/>
          </w:tcPr>
          <w:p w14:paraId="22CFDAF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AF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AF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AFB"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AF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AFD"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AF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AFF" w14:textId="77777777" w:rsidR="002661BA" w:rsidRDefault="00D972BC">
            <w:pPr>
              <w:jc w:val="center"/>
              <w:textAlignment w:val="top"/>
            </w:pPr>
            <w:r>
              <w:rPr>
                <w:rFonts w:ascii="Arial" w:eastAsia="宋体" w:hAnsi="Arial" w:cs="Arial"/>
                <w:color w:val="000000"/>
                <w:sz w:val="18"/>
                <w:szCs w:val="18"/>
              </w:rPr>
              <w:t>11/25/2019</w:t>
            </w:r>
          </w:p>
        </w:tc>
      </w:tr>
      <w:tr w:rsidR="002661BA" w14:paraId="22CFDB0C"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B0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0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0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0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0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0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0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0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0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0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0B" w14:textId="77777777" w:rsidR="002661BA" w:rsidRDefault="002661BA">
            <w:pPr>
              <w:rPr>
                <w:rFonts w:ascii="宋体"/>
              </w:rPr>
            </w:pPr>
          </w:p>
        </w:tc>
      </w:tr>
      <w:tr w:rsidR="002661BA" w14:paraId="22CFDB18" w14:textId="77777777">
        <w:trPr>
          <w:jc w:val="center"/>
        </w:trPr>
        <w:tc>
          <w:tcPr>
            <w:tcW w:w="0" w:type="auto"/>
            <w:gridSpan w:val="3"/>
            <w:shd w:val="clear" w:color="auto" w:fill="auto"/>
            <w:tcMar>
              <w:top w:w="40" w:type="dxa"/>
              <w:left w:w="20" w:type="dxa"/>
              <w:bottom w:w="40" w:type="dxa"/>
              <w:right w:w="20" w:type="dxa"/>
            </w:tcMar>
          </w:tcPr>
          <w:p w14:paraId="22CFDB0D" w14:textId="77777777" w:rsidR="002661BA" w:rsidRDefault="00D972BC">
            <w:pPr>
              <w:textAlignment w:val="top"/>
            </w:pPr>
            <w:r>
              <w:rPr>
                <w:rFonts w:ascii="Arial" w:eastAsia="宋体" w:hAnsi="Arial" w:cs="Arial"/>
                <w:color w:val="000000"/>
                <w:sz w:val="18"/>
                <w:szCs w:val="18"/>
              </w:rPr>
              <w:t>2.03</w:t>
            </w:r>
          </w:p>
        </w:tc>
        <w:tc>
          <w:tcPr>
            <w:tcW w:w="0" w:type="auto"/>
            <w:gridSpan w:val="3"/>
            <w:shd w:val="clear" w:color="auto" w:fill="auto"/>
            <w:tcMar>
              <w:top w:w="0" w:type="dxa"/>
              <w:left w:w="20" w:type="dxa"/>
              <w:bottom w:w="0" w:type="dxa"/>
              <w:right w:w="20" w:type="dxa"/>
            </w:tcMar>
            <w:vAlign w:val="bottom"/>
          </w:tcPr>
          <w:p w14:paraId="22CFDB0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0F" w14:textId="77777777" w:rsidR="002661BA" w:rsidRDefault="00D972BC">
            <w:pPr>
              <w:textAlignment w:val="top"/>
            </w:pPr>
            <w:hyperlink r:id="rId153" w:history="1">
              <w:r>
                <w:rPr>
                  <w:rStyle w:val="a5"/>
                  <w:rFonts w:ascii="Arial" w:eastAsia="宋体" w:hAnsi="Arial" w:cs="Arial"/>
                  <w:sz w:val="18"/>
                  <w:szCs w:val="18"/>
                </w:rPr>
                <w:t>Transaction Agreement, dated as of July 20, 2020 by and between eBay Inc., and Adevinta ASA.</w:t>
              </w:r>
            </w:hyperlink>
          </w:p>
        </w:tc>
        <w:tc>
          <w:tcPr>
            <w:tcW w:w="0" w:type="auto"/>
            <w:gridSpan w:val="3"/>
            <w:shd w:val="clear" w:color="auto" w:fill="auto"/>
            <w:tcMar>
              <w:top w:w="0" w:type="dxa"/>
              <w:left w:w="20" w:type="dxa"/>
              <w:bottom w:w="0" w:type="dxa"/>
              <w:right w:w="20" w:type="dxa"/>
            </w:tcMar>
            <w:vAlign w:val="bottom"/>
          </w:tcPr>
          <w:p w14:paraId="22CFDB1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1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1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13"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B14"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15"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B1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17" w14:textId="77777777" w:rsidR="002661BA" w:rsidRDefault="00D972BC">
            <w:pPr>
              <w:jc w:val="center"/>
              <w:textAlignment w:val="top"/>
            </w:pPr>
            <w:r>
              <w:rPr>
                <w:rFonts w:ascii="Arial" w:eastAsia="宋体" w:hAnsi="Arial" w:cs="Arial"/>
                <w:color w:val="000000"/>
                <w:sz w:val="18"/>
                <w:szCs w:val="18"/>
              </w:rPr>
              <w:t>7/22/2020</w:t>
            </w:r>
          </w:p>
        </w:tc>
      </w:tr>
      <w:tr w:rsidR="002661BA" w14:paraId="22CFDB24"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B1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1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1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1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1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1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1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2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2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2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23" w14:textId="77777777" w:rsidR="002661BA" w:rsidRDefault="002661BA">
            <w:pPr>
              <w:rPr>
                <w:rFonts w:ascii="宋体"/>
              </w:rPr>
            </w:pPr>
          </w:p>
        </w:tc>
      </w:tr>
      <w:tr w:rsidR="002661BA" w14:paraId="22CFDB30" w14:textId="77777777">
        <w:trPr>
          <w:jc w:val="center"/>
        </w:trPr>
        <w:tc>
          <w:tcPr>
            <w:tcW w:w="0" w:type="auto"/>
            <w:gridSpan w:val="3"/>
            <w:shd w:val="clear" w:color="auto" w:fill="auto"/>
            <w:tcMar>
              <w:top w:w="40" w:type="dxa"/>
              <w:left w:w="20" w:type="dxa"/>
              <w:bottom w:w="40" w:type="dxa"/>
              <w:right w:w="20" w:type="dxa"/>
            </w:tcMar>
          </w:tcPr>
          <w:p w14:paraId="22CFDB25" w14:textId="77777777" w:rsidR="002661BA" w:rsidRDefault="00D972BC">
            <w:pPr>
              <w:textAlignment w:val="top"/>
            </w:pPr>
            <w:r>
              <w:rPr>
                <w:rFonts w:ascii="Arial" w:eastAsia="宋体" w:hAnsi="Arial" w:cs="Arial"/>
                <w:color w:val="000000"/>
                <w:sz w:val="18"/>
                <w:szCs w:val="18"/>
              </w:rPr>
              <w:t>2.04</w:t>
            </w:r>
          </w:p>
        </w:tc>
        <w:tc>
          <w:tcPr>
            <w:tcW w:w="0" w:type="auto"/>
            <w:gridSpan w:val="3"/>
            <w:shd w:val="clear" w:color="auto" w:fill="auto"/>
            <w:tcMar>
              <w:top w:w="0" w:type="dxa"/>
              <w:left w:w="20" w:type="dxa"/>
              <w:bottom w:w="0" w:type="dxa"/>
              <w:right w:w="20" w:type="dxa"/>
            </w:tcMar>
            <w:vAlign w:val="bottom"/>
          </w:tcPr>
          <w:p w14:paraId="22CFDB2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27" w14:textId="77777777" w:rsidR="002661BA" w:rsidRDefault="00D972BC">
            <w:pPr>
              <w:textAlignment w:val="top"/>
            </w:pPr>
            <w:hyperlink r:id="rId154" w:history="1">
              <w:r>
                <w:rPr>
                  <w:rStyle w:val="a5"/>
                  <w:rFonts w:ascii="Arial" w:eastAsia="宋体" w:hAnsi="Arial" w:cs="Arial"/>
                  <w:sz w:val="18"/>
                  <w:szCs w:val="18"/>
                </w:rPr>
                <w:t xml:space="preserve">Letter Agreement, dated as of October 16, 2020, amending Transaction Agreement, dated as of July 20, 2020, by and between eBay Inc., and Adevinta </w:t>
              </w:r>
              <w:r>
                <w:rPr>
                  <w:rStyle w:val="a5"/>
                  <w:rFonts w:ascii="Arial" w:eastAsia="宋体" w:hAnsi="Arial" w:cs="Arial"/>
                  <w:sz w:val="18"/>
                  <w:szCs w:val="18"/>
                </w:rPr>
                <w:t>ASA.</w:t>
              </w:r>
            </w:hyperlink>
          </w:p>
        </w:tc>
        <w:tc>
          <w:tcPr>
            <w:tcW w:w="0" w:type="auto"/>
            <w:gridSpan w:val="3"/>
            <w:shd w:val="clear" w:color="auto" w:fill="auto"/>
            <w:tcMar>
              <w:top w:w="0" w:type="dxa"/>
              <w:left w:w="20" w:type="dxa"/>
              <w:bottom w:w="0" w:type="dxa"/>
              <w:right w:w="20" w:type="dxa"/>
            </w:tcMar>
            <w:vAlign w:val="bottom"/>
          </w:tcPr>
          <w:p w14:paraId="22CFDB2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2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2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2B" w14:textId="77777777" w:rsidR="002661BA" w:rsidRDefault="00D972BC">
            <w:pPr>
              <w:jc w:val="center"/>
              <w:textAlignment w:val="top"/>
            </w:pPr>
            <w:r>
              <w:rPr>
                <w:rFonts w:ascii="Arial" w:eastAsia="宋体" w:hAnsi="Arial" w:cs="Arial"/>
                <w:color w:val="000000"/>
                <w:sz w:val="18"/>
                <w:szCs w:val="18"/>
              </w:rPr>
              <w:t>10-K</w:t>
            </w:r>
          </w:p>
        </w:tc>
        <w:tc>
          <w:tcPr>
            <w:tcW w:w="0" w:type="auto"/>
            <w:gridSpan w:val="3"/>
            <w:shd w:val="clear" w:color="auto" w:fill="auto"/>
            <w:tcMar>
              <w:top w:w="0" w:type="dxa"/>
              <w:left w:w="20" w:type="dxa"/>
              <w:bottom w:w="0" w:type="dxa"/>
              <w:right w:w="20" w:type="dxa"/>
            </w:tcMar>
            <w:vAlign w:val="bottom"/>
          </w:tcPr>
          <w:p w14:paraId="22CFDB2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2D"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B2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2F" w14:textId="77777777" w:rsidR="002661BA" w:rsidRDefault="00D972BC">
            <w:pPr>
              <w:jc w:val="center"/>
              <w:textAlignment w:val="top"/>
            </w:pPr>
            <w:r>
              <w:rPr>
                <w:rFonts w:ascii="Arial" w:eastAsia="宋体" w:hAnsi="Arial" w:cs="Arial"/>
                <w:color w:val="000000"/>
                <w:sz w:val="18"/>
                <w:szCs w:val="18"/>
              </w:rPr>
              <w:t>2/4/2021</w:t>
            </w:r>
          </w:p>
        </w:tc>
      </w:tr>
      <w:tr w:rsidR="002661BA" w14:paraId="22CFDB3C"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B3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3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3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3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3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3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3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3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3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3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3B" w14:textId="77777777" w:rsidR="002661BA" w:rsidRDefault="002661BA">
            <w:pPr>
              <w:rPr>
                <w:rFonts w:ascii="宋体"/>
              </w:rPr>
            </w:pPr>
          </w:p>
        </w:tc>
      </w:tr>
      <w:tr w:rsidR="002661BA" w14:paraId="22CFDB48" w14:textId="77777777">
        <w:trPr>
          <w:jc w:val="center"/>
        </w:trPr>
        <w:tc>
          <w:tcPr>
            <w:tcW w:w="0" w:type="auto"/>
            <w:gridSpan w:val="3"/>
            <w:shd w:val="clear" w:color="auto" w:fill="auto"/>
            <w:tcMar>
              <w:top w:w="40" w:type="dxa"/>
              <w:left w:w="20" w:type="dxa"/>
              <w:bottom w:w="40" w:type="dxa"/>
              <w:right w:w="20" w:type="dxa"/>
            </w:tcMar>
          </w:tcPr>
          <w:p w14:paraId="22CFDB3D" w14:textId="77777777" w:rsidR="002661BA" w:rsidRDefault="00D972BC">
            <w:pPr>
              <w:textAlignment w:val="top"/>
            </w:pPr>
            <w:r>
              <w:rPr>
                <w:rFonts w:ascii="Arial" w:eastAsia="宋体" w:hAnsi="Arial" w:cs="Arial"/>
                <w:color w:val="000000"/>
                <w:sz w:val="18"/>
                <w:szCs w:val="18"/>
              </w:rPr>
              <w:t>2.05</w:t>
            </w:r>
          </w:p>
        </w:tc>
        <w:tc>
          <w:tcPr>
            <w:tcW w:w="0" w:type="auto"/>
            <w:gridSpan w:val="3"/>
            <w:shd w:val="clear" w:color="auto" w:fill="auto"/>
            <w:tcMar>
              <w:top w:w="0" w:type="dxa"/>
              <w:left w:w="20" w:type="dxa"/>
              <w:bottom w:w="0" w:type="dxa"/>
              <w:right w:w="20" w:type="dxa"/>
            </w:tcMar>
            <w:vAlign w:val="bottom"/>
          </w:tcPr>
          <w:p w14:paraId="22CFDB3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3F" w14:textId="77777777" w:rsidR="002661BA" w:rsidRDefault="00D972BC">
            <w:pPr>
              <w:textAlignment w:val="top"/>
            </w:pPr>
            <w:hyperlink r:id="rId155" w:history="1">
              <w:r>
                <w:rPr>
                  <w:rStyle w:val="a5"/>
                  <w:rFonts w:ascii="Arial" w:eastAsia="宋体" w:hAnsi="Arial" w:cs="Arial"/>
                  <w:sz w:val="18"/>
                  <w:szCs w:val="18"/>
                </w:rPr>
                <w:t xml:space="preserve">Securities Purchase Agreement, dated as of June 30, 2021, by and among eBay Inc., eBay KTA (UK) </w:t>
              </w:r>
              <w:r>
                <w:rPr>
                  <w:rStyle w:val="a5"/>
                  <w:rFonts w:ascii="Arial" w:eastAsia="宋体" w:hAnsi="Arial" w:cs="Arial"/>
                  <w:sz w:val="18"/>
                  <w:szCs w:val="18"/>
                </w:rPr>
                <w:t>Ltd., Emerald SPV Co., Ltd., and, solely for the purposes set forth therein, E-mart Inc</w:t>
              </w:r>
            </w:hyperlink>
            <w:hyperlink r:id="rId156" w:history="1">
              <w:r>
                <w:rPr>
                  <w:rStyle w:val="a5"/>
                  <w:rFonts w:ascii="Arial" w:eastAsia="宋体" w:hAnsi="Arial" w:cs="Arial"/>
                  <w:sz w:val="18"/>
                  <w:szCs w:val="18"/>
                </w:rPr>
                <w:t>.</w:t>
              </w:r>
            </w:hyperlink>
          </w:p>
        </w:tc>
        <w:tc>
          <w:tcPr>
            <w:tcW w:w="0" w:type="auto"/>
            <w:gridSpan w:val="3"/>
            <w:shd w:val="clear" w:color="auto" w:fill="auto"/>
            <w:tcMar>
              <w:top w:w="0" w:type="dxa"/>
              <w:left w:w="20" w:type="dxa"/>
              <w:bottom w:w="0" w:type="dxa"/>
              <w:right w:w="20" w:type="dxa"/>
            </w:tcMar>
            <w:vAlign w:val="bottom"/>
          </w:tcPr>
          <w:p w14:paraId="22CFDB4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4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4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43"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B44"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45"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B4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47" w14:textId="77777777" w:rsidR="002661BA" w:rsidRDefault="00D972BC">
            <w:pPr>
              <w:jc w:val="center"/>
              <w:textAlignment w:val="top"/>
            </w:pPr>
            <w:r>
              <w:rPr>
                <w:rFonts w:ascii="Arial" w:eastAsia="宋体" w:hAnsi="Arial" w:cs="Arial"/>
                <w:color w:val="000000"/>
                <w:sz w:val="18"/>
                <w:szCs w:val="18"/>
              </w:rPr>
              <w:t>6/30/2021</w:t>
            </w:r>
          </w:p>
        </w:tc>
      </w:tr>
      <w:tr w:rsidR="002661BA" w14:paraId="22CFDB54"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B4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4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4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4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4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4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4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5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5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5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53" w14:textId="77777777" w:rsidR="002661BA" w:rsidRDefault="002661BA">
            <w:pPr>
              <w:rPr>
                <w:rFonts w:ascii="宋体"/>
              </w:rPr>
            </w:pPr>
          </w:p>
        </w:tc>
      </w:tr>
      <w:tr w:rsidR="002661BA" w14:paraId="22CFDB60" w14:textId="77777777">
        <w:trPr>
          <w:jc w:val="center"/>
        </w:trPr>
        <w:tc>
          <w:tcPr>
            <w:tcW w:w="0" w:type="auto"/>
            <w:gridSpan w:val="3"/>
            <w:shd w:val="clear" w:color="auto" w:fill="auto"/>
            <w:tcMar>
              <w:top w:w="40" w:type="dxa"/>
              <w:left w:w="20" w:type="dxa"/>
              <w:bottom w:w="40" w:type="dxa"/>
              <w:right w:w="20" w:type="dxa"/>
            </w:tcMar>
          </w:tcPr>
          <w:p w14:paraId="22CFDB55" w14:textId="77777777" w:rsidR="002661BA" w:rsidRDefault="00D972BC">
            <w:pPr>
              <w:textAlignment w:val="top"/>
            </w:pPr>
            <w:r>
              <w:rPr>
                <w:rFonts w:ascii="Arial" w:eastAsia="宋体" w:hAnsi="Arial" w:cs="Arial"/>
                <w:color w:val="000000"/>
                <w:sz w:val="18"/>
                <w:szCs w:val="18"/>
              </w:rPr>
              <w:t>2.06</w:t>
            </w:r>
          </w:p>
        </w:tc>
        <w:tc>
          <w:tcPr>
            <w:tcW w:w="0" w:type="auto"/>
            <w:gridSpan w:val="3"/>
            <w:shd w:val="clear" w:color="auto" w:fill="auto"/>
            <w:tcMar>
              <w:top w:w="0" w:type="dxa"/>
              <w:left w:w="20" w:type="dxa"/>
              <w:bottom w:w="0" w:type="dxa"/>
              <w:right w:w="20" w:type="dxa"/>
            </w:tcMar>
            <w:vAlign w:val="bottom"/>
          </w:tcPr>
          <w:p w14:paraId="22CFDB5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57" w14:textId="77777777" w:rsidR="002661BA" w:rsidRDefault="00D972BC">
            <w:pPr>
              <w:textAlignment w:val="top"/>
            </w:pPr>
            <w:hyperlink r:id="rId157" w:history="1">
              <w:r>
                <w:rPr>
                  <w:rStyle w:val="a5"/>
                  <w:rFonts w:ascii="Arial" w:eastAsia="宋体" w:hAnsi="Arial" w:cs="Arial"/>
                  <w:sz w:val="18"/>
                  <w:szCs w:val="18"/>
                </w:rPr>
                <w:t>Share Purchase Agreement, dated as of July 14, 2021, by and among eBay Inc., eBay International Management B.V. and Astinlux Finco S.à r.l.</w:t>
              </w:r>
            </w:hyperlink>
          </w:p>
        </w:tc>
        <w:tc>
          <w:tcPr>
            <w:tcW w:w="0" w:type="auto"/>
            <w:gridSpan w:val="3"/>
            <w:shd w:val="clear" w:color="auto" w:fill="auto"/>
            <w:tcMar>
              <w:top w:w="0" w:type="dxa"/>
              <w:left w:w="20" w:type="dxa"/>
              <w:bottom w:w="0" w:type="dxa"/>
              <w:right w:w="20" w:type="dxa"/>
            </w:tcMar>
            <w:vAlign w:val="bottom"/>
          </w:tcPr>
          <w:p w14:paraId="22CFDB5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5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5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5B"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DB5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5D" w14:textId="77777777" w:rsidR="002661BA" w:rsidRDefault="00D972BC">
            <w:pPr>
              <w:jc w:val="center"/>
              <w:textAlignment w:val="top"/>
            </w:pPr>
            <w:r>
              <w:rPr>
                <w:rFonts w:ascii="Arial" w:eastAsia="宋体" w:hAnsi="Arial" w:cs="Arial"/>
                <w:color w:val="000000"/>
                <w:sz w:val="18"/>
                <w:szCs w:val="18"/>
              </w:rPr>
              <w:t>001-</w:t>
            </w:r>
            <w:r>
              <w:rPr>
                <w:rFonts w:ascii="Arial" w:eastAsia="宋体" w:hAnsi="Arial" w:cs="Arial"/>
                <w:color w:val="000000"/>
                <w:sz w:val="18"/>
                <w:szCs w:val="18"/>
              </w:rPr>
              <w:t>37713</w:t>
            </w:r>
          </w:p>
        </w:tc>
        <w:tc>
          <w:tcPr>
            <w:tcW w:w="0" w:type="auto"/>
            <w:gridSpan w:val="3"/>
            <w:shd w:val="clear" w:color="auto" w:fill="auto"/>
            <w:tcMar>
              <w:top w:w="0" w:type="dxa"/>
              <w:left w:w="20" w:type="dxa"/>
              <w:bottom w:w="0" w:type="dxa"/>
              <w:right w:w="20" w:type="dxa"/>
            </w:tcMar>
            <w:vAlign w:val="bottom"/>
          </w:tcPr>
          <w:p w14:paraId="22CFDB5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5F" w14:textId="77777777" w:rsidR="002661BA" w:rsidRDefault="00D972BC">
            <w:pPr>
              <w:jc w:val="center"/>
              <w:textAlignment w:val="top"/>
            </w:pPr>
            <w:r>
              <w:rPr>
                <w:rFonts w:ascii="Arial" w:eastAsia="宋体" w:hAnsi="Arial" w:cs="Arial"/>
                <w:color w:val="000000"/>
                <w:sz w:val="18"/>
                <w:szCs w:val="18"/>
              </w:rPr>
              <w:t>10/28/2021</w:t>
            </w:r>
          </w:p>
        </w:tc>
      </w:tr>
      <w:tr w:rsidR="002661BA" w14:paraId="22CFDB6C"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B6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6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6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6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6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6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6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6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6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6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6B" w14:textId="77777777" w:rsidR="002661BA" w:rsidRDefault="002661BA">
            <w:pPr>
              <w:rPr>
                <w:rFonts w:ascii="宋体"/>
              </w:rPr>
            </w:pPr>
          </w:p>
        </w:tc>
      </w:tr>
      <w:tr w:rsidR="002661BA" w14:paraId="22CFDB78" w14:textId="77777777">
        <w:trPr>
          <w:jc w:val="center"/>
        </w:trPr>
        <w:tc>
          <w:tcPr>
            <w:tcW w:w="0" w:type="auto"/>
            <w:gridSpan w:val="3"/>
            <w:shd w:val="clear" w:color="auto" w:fill="auto"/>
            <w:tcMar>
              <w:top w:w="40" w:type="dxa"/>
              <w:left w:w="20" w:type="dxa"/>
              <w:bottom w:w="40" w:type="dxa"/>
              <w:right w:w="20" w:type="dxa"/>
            </w:tcMar>
          </w:tcPr>
          <w:p w14:paraId="22CFDB6D" w14:textId="77777777" w:rsidR="002661BA" w:rsidRDefault="00D972BC">
            <w:pPr>
              <w:textAlignment w:val="top"/>
            </w:pPr>
            <w:r>
              <w:rPr>
                <w:rFonts w:ascii="Arial" w:eastAsia="宋体" w:hAnsi="Arial" w:cs="Arial"/>
                <w:color w:val="000000"/>
                <w:sz w:val="18"/>
                <w:szCs w:val="18"/>
              </w:rPr>
              <w:t>3.01</w:t>
            </w:r>
          </w:p>
        </w:tc>
        <w:tc>
          <w:tcPr>
            <w:tcW w:w="0" w:type="auto"/>
            <w:gridSpan w:val="3"/>
            <w:shd w:val="clear" w:color="auto" w:fill="auto"/>
            <w:tcMar>
              <w:top w:w="40" w:type="dxa"/>
              <w:left w:w="20" w:type="dxa"/>
              <w:bottom w:w="40" w:type="dxa"/>
              <w:right w:w="20" w:type="dxa"/>
            </w:tcMar>
          </w:tcPr>
          <w:p w14:paraId="22CFDB6E" w14:textId="77777777" w:rsidR="002661BA" w:rsidRDefault="00D972BC">
            <w:pP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B6F" w14:textId="77777777" w:rsidR="002661BA" w:rsidRDefault="00D972BC">
            <w:pPr>
              <w:textAlignment w:val="top"/>
            </w:pPr>
            <w:hyperlink r:id="rId158" w:history="1">
              <w:r>
                <w:rPr>
                  <w:rStyle w:val="a5"/>
                  <w:rFonts w:ascii="Arial" w:eastAsia="宋体" w:hAnsi="Arial" w:cs="Arial"/>
                  <w:sz w:val="18"/>
                  <w:szCs w:val="18"/>
                </w:rPr>
                <w:t>Registrant’s Amended and Restated Certificate of Incorporation.</w:t>
              </w:r>
            </w:hyperlink>
          </w:p>
        </w:tc>
        <w:tc>
          <w:tcPr>
            <w:tcW w:w="0" w:type="auto"/>
            <w:gridSpan w:val="3"/>
            <w:shd w:val="clear" w:color="auto" w:fill="auto"/>
            <w:tcMar>
              <w:top w:w="40" w:type="dxa"/>
              <w:left w:w="20" w:type="dxa"/>
              <w:bottom w:w="40" w:type="dxa"/>
              <w:right w:w="20" w:type="dxa"/>
            </w:tcMar>
            <w:vAlign w:val="bottom"/>
          </w:tcPr>
          <w:p w14:paraId="22CFDB70"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DB7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72" w14:textId="77777777" w:rsidR="002661BA" w:rsidRDefault="00D972BC">
            <w:pP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B73"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40" w:type="dxa"/>
              <w:left w:w="20" w:type="dxa"/>
              <w:bottom w:w="40" w:type="dxa"/>
              <w:right w:w="20" w:type="dxa"/>
            </w:tcMar>
          </w:tcPr>
          <w:p w14:paraId="22CFDB74"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B75"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B7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77" w14:textId="77777777" w:rsidR="002661BA" w:rsidRDefault="00D972BC">
            <w:pPr>
              <w:jc w:val="center"/>
              <w:textAlignment w:val="top"/>
            </w:pPr>
            <w:r>
              <w:rPr>
                <w:rFonts w:ascii="Arial" w:eastAsia="宋体" w:hAnsi="Arial" w:cs="Arial"/>
                <w:color w:val="000000"/>
                <w:sz w:val="18"/>
                <w:szCs w:val="18"/>
              </w:rPr>
              <w:t>7/18/2019</w:t>
            </w:r>
          </w:p>
        </w:tc>
      </w:tr>
      <w:tr w:rsidR="002661BA" w14:paraId="22CFDB80"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B7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7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7B"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B7C"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B7D"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B7E"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B7F" w14:textId="77777777" w:rsidR="002661BA" w:rsidRDefault="002661BA">
            <w:pPr>
              <w:rPr>
                <w:rFonts w:ascii="宋体"/>
              </w:rPr>
            </w:pPr>
          </w:p>
        </w:tc>
      </w:tr>
      <w:tr w:rsidR="002661BA" w14:paraId="22CFDB8C" w14:textId="77777777">
        <w:trPr>
          <w:jc w:val="center"/>
        </w:trPr>
        <w:tc>
          <w:tcPr>
            <w:tcW w:w="0" w:type="auto"/>
            <w:gridSpan w:val="3"/>
            <w:shd w:val="clear" w:color="auto" w:fill="auto"/>
            <w:tcMar>
              <w:top w:w="40" w:type="dxa"/>
              <w:left w:w="20" w:type="dxa"/>
              <w:bottom w:w="40" w:type="dxa"/>
              <w:right w:w="20" w:type="dxa"/>
            </w:tcMar>
          </w:tcPr>
          <w:p w14:paraId="22CFDB81" w14:textId="77777777" w:rsidR="002661BA" w:rsidRDefault="00D972BC">
            <w:pPr>
              <w:textAlignment w:val="top"/>
            </w:pPr>
            <w:r>
              <w:rPr>
                <w:rFonts w:ascii="Arial" w:eastAsia="宋体" w:hAnsi="Arial" w:cs="Arial"/>
                <w:color w:val="000000"/>
                <w:sz w:val="18"/>
                <w:szCs w:val="18"/>
              </w:rPr>
              <w:t>3.02</w:t>
            </w:r>
          </w:p>
        </w:tc>
        <w:tc>
          <w:tcPr>
            <w:tcW w:w="0" w:type="auto"/>
            <w:gridSpan w:val="3"/>
            <w:shd w:val="clear" w:color="auto" w:fill="auto"/>
            <w:tcMar>
              <w:top w:w="40" w:type="dxa"/>
              <w:left w:w="20" w:type="dxa"/>
              <w:bottom w:w="40" w:type="dxa"/>
              <w:right w:w="20" w:type="dxa"/>
            </w:tcMar>
          </w:tcPr>
          <w:p w14:paraId="22CFDB82" w14:textId="77777777" w:rsidR="002661BA" w:rsidRDefault="00D972BC">
            <w:pP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B83" w14:textId="77777777" w:rsidR="002661BA" w:rsidRDefault="00D972BC">
            <w:pPr>
              <w:textAlignment w:val="top"/>
            </w:pPr>
            <w:hyperlink r:id="rId159" w:history="1">
              <w:r>
                <w:rPr>
                  <w:rStyle w:val="a5"/>
                  <w:rFonts w:ascii="Arial" w:eastAsia="宋体" w:hAnsi="Arial" w:cs="Arial"/>
                  <w:sz w:val="18"/>
                  <w:szCs w:val="18"/>
                </w:rPr>
                <w:t>Registrant’s Amended and Restated Bylaws.</w:t>
              </w:r>
            </w:hyperlink>
          </w:p>
        </w:tc>
        <w:tc>
          <w:tcPr>
            <w:tcW w:w="0" w:type="auto"/>
            <w:gridSpan w:val="3"/>
            <w:shd w:val="clear" w:color="auto" w:fill="auto"/>
            <w:tcMar>
              <w:top w:w="40" w:type="dxa"/>
              <w:left w:w="20" w:type="dxa"/>
              <w:bottom w:w="40" w:type="dxa"/>
              <w:right w:w="20" w:type="dxa"/>
            </w:tcMar>
            <w:vAlign w:val="bottom"/>
          </w:tcPr>
          <w:p w14:paraId="22CFDB84"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DB85"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86" w14:textId="77777777" w:rsidR="002661BA" w:rsidRDefault="00D972BC">
            <w:pP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B87"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DB8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89"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B8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8B" w14:textId="77777777" w:rsidR="002661BA" w:rsidRDefault="00D972BC">
            <w:pPr>
              <w:jc w:val="center"/>
              <w:textAlignment w:val="top"/>
            </w:pPr>
            <w:r>
              <w:rPr>
                <w:rFonts w:ascii="Arial" w:eastAsia="宋体" w:hAnsi="Arial" w:cs="Arial"/>
                <w:color w:val="000000"/>
                <w:sz w:val="18"/>
                <w:szCs w:val="18"/>
              </w:rPr>
              <w:t>7/18/2019</w:t>
            </w:r>
          </w:p>
        </w:tc>
      </w:tr>
      <w:tr w:rsidR="002661BA" w14:paraId="22CFDB98"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B8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8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8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9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9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9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9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9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9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9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97" w14:textId="77777777" w:rsidR="002661BA" w:rsidRDefault="002661BA">
            <w:pPr>
              <w:rPr>
                <w:rFonts w:ascii="宋体"/>
              </w:rPr>
            </w:pPr>
          </w:p>
        </w:tc>
      </w:tr>
      <w:tr w:rsidR="002661BA" w14:paraId="22CFDBA4" w14:textId="77777777">
        <w:trPr>
          <w:jc w:val="center"/>
        </w:trPr>
        <w:tc>
          <w:tcPr>
            <w:tcW w:w="0" w:type="auto"/>
            <w:gridSpan w:val="3"/>
            <w:shd w:val="clear" w:color="auto" w:fill="auto"/>
            <w:tcMar>
              <w:top w:w="40" w:type="dxa"/>
              <w:left w:w="20" w:type="dxa"/>
              <w:bottom w:w="40" w:type="dxa"/>
              <w:right w:w="20" w:type="dxa"/>
            </w:tcMar>
          </w:tcPr>
          <w:p w14:paraId="22CFDB99" w14:textId="77777777" w:rsidR="002661BA" w:rsidRDefault="00D972BC">
            <w:pPr>
              <w:textAlignment w:val="top"/>
            </w:pPr>
            <w:r>
              <w:rPr>
                <w:rFonts w:ascii="Arial" w:eastAsia="宋体" w:hAnsi="Arial" w:cs="Arial"/>
                <w:color w:val="000000"/>
                <w:sz w:val="18"/>
                <w:szCs w:val="18"/>
              </w:rPr>
              <w:t>4.01</w:t>
            </w:r>
          </w:p>
        </w:tc>
        <w:tc>
          <w:tcPr>
            <w:tcW w:w="0" w:type="auto"/>
            <w:gridSpan w:val="3"/>
            <w:shd w:val="clear" w:color="auto" w:fill="auto"/>
            <w:tcMar>
              <w:top w:w="40" w:type="dxa"/>
              <w:left w:w="20" w:type="dxa"/>
              <w:bottom w:w="40" w:type="dxa"/>
              <w:right w:w="20" w:type="dxa"/>
            </w:tcMar>
          </w:tcPr>
          <w:p w14:paraId="22CFDB9A" w14:textId="77777777" w:rsidR="002661BA" w:rsidRDefault="00D972BC">
            <w:pP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B9B" w14:textId="77777777" w:rsidR="002661BA" w:rsidRDefault="00D972BC">
            <w:pPr>
              <w:textAlignment w:val="top"/>
            </w:pPr>
            <w:hyperlink r:id="rId160" w:history="1">
              <w:r>
                <w:rPr>
                  <w:rStyle w:val="a5"/>
                  <w:rFonts w:ascii="Arial" w:eastAsia="宋体" w:hAnsi="Arial" w:cs="Arial"/>
                  <w:sz w:val="18"/>
                  <w:szCs w:val="18"/>
                </w:rPr>
                <w:t>Form of Specimen Certificate for Registrant’s Common Stock.</w:t>
              </w:r>
            </w:hyperlink>
          </w:p>
        </w:tc>
        <w:tc>
          <w:tcPr>
            <w:tcW w:w="0" w:type="auto"/>
            <w:gridSpan w:val="3"/>
            <w:shd w:val="clear" w:color="auto" w:fill="auto"/>
            <w:tcMar>
              <w:top w:w="40" w:type="dxa"/>
              <w:left w:w="20" w:type="dxa"/>
              <w:bottom w:w="40" w:type="dxa"/>
              <w:right w:w="20" w:type="dxa"/>
            </w:tcMar>
            <w:vAlign w:val="bottom"/>
          </w:tcPr>
          <w:p w14:paraId="22CFDB9C"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DB9D"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9E" w14:textId="77777777" w:rsidR="002661BA" w:rsidRDefault="00D972BC">
            <w:pP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B9F" w14:textId="77777777" w:rsidR="002661BA" w:rsidRDefault="00D972BC">
            <w:pPr>
              <w:jc w:val="center"/>
              <w:textAlignment w:val="top"/>
            </w:pPr>
            <w:r>
              <w:rPr>
                <w:rFonts w:ascii="Arial" w:eastAsia="宋体" w:hAnsi="Arial" w:cs="Arial"/>
                <w:color w:val="000000"/>
                <w:sz w:val="18"/>
                <w:szCs w:val="18"/>
              </w:rPr>
              <w:t>S-1</w:t>
            </w:r>
          </w:p>
        </w:tc>
        <w:tc>
          <w:tcPr>
            <w:tcW w:w="0" w:type="auto"/>
            <w:gridSpan w:val="3"/>
            <w:shd w:val="clear" w:color="auto" w:fill="auto"/>
            <w:tcMar>
              <w:top w:w="40" w:type="dxa"/>
              <w:left w:w="20" w:type="dxa"/>
              <w:bottom w:w="40" w:type="dxa"/>
              <w:right w:w="20" w:type="dxa"/>
            </w:tcMar>
          </w:tcPr>
          <w:p w14:paraId="22CFDBA0"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BA1" w14:textId="77777777" w:rsidR="002661BA" w:rsidRDefault="00D972BC">
            <w:pPr>
              <w:jc w:val="center"/>
              <w:textAlignment w:val="top"/>
            </w:pPr>
            <w:r>
              <w:rPr>
                <w:rFonts w:ascii="Arial" w:eastAsia="宋体" w:hAnsi="Arial" w:cs="Arial"/>
                <w:color w:val="000000"/>
                <w:sz w:val="18"/>
                <w:szCs w:val="18"/>
              </w:rPr>
              <w:t>333-59097</w:t>
            </w:r>
          </w:p>
        </w:tc>
        <w:tc>
          <w:tcPr>
            <w:tcW w:w="0" w:type="auto"/>
            <w:gridSpan w:val="3"/>
            <w:shd w:val="clear" w:color="auto" w:fill="auto"/>
            <w:tcMar>
              <w:top w:w="40" w:type="dxa"/>
              <w:left w:w="20" w:type="dxa"/>
              <w:bottom w:w="40" w:type="dxa"/>
              <w:right w:w="20" w:type="dxa"/>
            </w:tcMar>
          </w:tcPr>
          <w:p w14:paraId="22CFDBA2"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BA3" w14:textId="77777777" w:rsidR="002661BA" w:rsidRDefault="00D972BC">
            <w:pPr>
              <w:jc w:val="center"/>
              <w:textAlignment w:val="top"/>
            </w:pPr>
            <w:r>
              <w:rPr>
                <w:rFonts w:ascii="Arial" w:eastAsia="宋体" w:hAnsi="Arial" w:cs="Arial"/>
                <w:color w:val="000000"/>
                <w:sz w:val="18"/>
                <w:szCs w:val="18"/>
              </w:rPr>
              <w:t>8/19/1998</w:t>
            </w:r>
          </w:p>
        </w:tc>
      </w:tr>
      <w:tr w:rsidR="002661BA" w14:paraId="22CFDBB0"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BA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A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A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A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A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A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A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A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A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A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AF" w14:textId="77777777" w:rsidR="002661BA" w:rsidRDefault="002661BA">
            <w:pPr>
              <w:rPr>
                <w:rFonts w:ascii="宋体"/>
              </w:rPr>
            </w:pPr>
          </w:p>
        </w:tc>
      </w:tr>
      <w:tr w:rsidR="002661BA" w14:paraId="22CFDBBC" w14:textId="77777777">
        <w:trPr>
          <w:jc w:val="center"/>
        </w:trPr>
        <w:tc>
          <w:tcPr>
            <w:tcW w:w="0" w:type="auto"/>
            <w:gridSpan w:val="3"/>
            <w:shd w:val="clear" w:color="auto" w:fill="auto"/>
            <w:tcMar>
              <w:top w:w="40" w:type="dxa"/>
              <w:left w:w="20" w:type="dxa"/>
              <w:bottom w:w="40" w:type="dxa"/>
              <w:right w:w="20" w:type="dxa"/>
            </w:tcMar>
          </w:tcPr>
          <w:p w14:paraId="22CFDBB1" w14:textId="77777777" w:rsidR="002661BA" w:rsidRDefault="00D972BC">
            <w:pPr>
              <w:textAlignment w:val="top"/>
            </w:pPr>
            <w:r>
              <w:rPr>
                <w:rFonts w:ascii="Arial" w:eastAsia="宋体" w:hAnsi="Arial" w:cs="Arial"/>
                <w:color w:val="000000"/>
                <w:sz w:val="18"/>
                <w:szCs w:val="18"/>
              </w:rPr>
              <w:t>4.02</w:t>
            </w:r>
          </w:p>
        </w:tc>
        <w:tc>
          <w:tcPr>
            <w:tcW w:w="0" w:type="auto"/>
            <w:gridSpan w:val="3"/>
            <w:shd w:val="clear" w:color="auto" w:fill="auto"/>
            <w:tcMar>
              <w:top w:w="0" w:type="dxa"/>
              <w:left w:w="20" w:type="dxa"/>
              <w:bottom w:w="0" w:type="dxa"/>
              <w:right w:w="20" w:type="dxa"/>
            </w:tcMar>
            <w:vAlign w:val="bottom"/>
          </w:tcPr>
          <w:p w14:paraId="22CFDBB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B3" w14:textId="77777777" w:rsidR="002661BA" w:rsidRDefault="00D972BC">
            <w:pPr>
              <w:textAlignment w:val="top"/>
            </w:pPr>
            <w:hyperlink r:id="rId161" w:history="1">
              <w:r>
                <w:rPr>
                  <w:rStyle w:val="a5"/>
                  <w:rFonts w:ascii="Arial" w:eastAsia="宋体" w:hAnsi="Arial" w:cs="Arial"/>
                  <w:sz w:val="18"/>
                  <w:szCs w:val="18"/>
                </w:rPr>
                <w:t>Indenture dated as of October 28, 2010 between Registrant and Wells Fargo Bank, National Association, as trustee.</w:t>
              </w:r>
            </w:hyperlink>
          </w:p>
        </w:tc>
        <w:tc>
          <w:tcPr>
            <w:tcW w:w="0" w:type="auto"/>
            <w:gridSpan w:val="3"/>
            <w:shd w:val="clear" w:color="auto" w:fill="auto"/>
            <w:tcMar>
              <w:top w:w="0" w:type="dxa"/>
              <w:left w:w="20" w:type="dxa"/>
              <w:bottom w:w="0" w:type="dxa"/>
              <w:right w:w="20" w:type="dxa"/>
            </w:tcMar>
            <w:vAlign w:val="bottom"/>
          </w:tcPr>
          <w:p w14:paraId="22CFDBB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B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B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B7"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40" w:type="dxa"/>
              <w:left w:w="20" w:type="dxa"/>
              <w:bottom w:w="40" w:type="dxa"/>
              <w:right w:w="20" w:type="dxa"/>
            </w:tcMar>
          </w:tcPr>
          <w:p w14:paraId="22CFDBB8"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BB9"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40" w:type="dxa"/>
              <w:left w:w="20" w:type="dxa"/>
              <w:bottom w:w="40" w:type="dxa"/>
              <w:right w:w="20" w:type="dxa"/>
            </w:tcMar>
          </w:tcPr>
          <w:p w14:paraId="22CFDBBA"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BBB" w14:textId="77777777" w:rsidR="002661BA" w:rsidRDefault="00D972BC">
            <w:pPr>
              <w:jc w:val="center"/>
              <w:textAlignment w:val="top"/>
            </w:pPr>
            <w:r>
              <w:rPr>
                <w:rFonts w:ascii="Arial" w:eastAsia="宋体" w:hAnsi="Arial" w:cs="Arial"/>
                <w:color w:val="000000"/>
                <w:sz w:val="18"/>
                <w:szCs w:val="18"/>
              </w:rPr>
              <w:t>10/28/2010</w:t>
            </w:r>
          </w:p>
        </w:tc>
      </w:tr>
      <w:tr w:rsidR="002661BA" w14:paraId="22CFDBC8"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BB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B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B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C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C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C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C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C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C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C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C7" w14:textId="77777777" w:rsidR="002661BA" w:rsidRDefault="002661BA">
            <w:pPr>
              <w:rPr>
                <w:rFonts w:ascii="宋体"/>
              </w:rPr>
            </w:pPr>
          </w:p>
        </w:tc>
      </w:tr>
      <w:tr w:rsidR="002661BA" w14:paraId="22CFDBD4" w14:textId="77777777">
        <w:trPr>
          <w:jc w:val="center"/>
        </w:trPr>
        <w:tc>
          <w:tcPr>
            <w:tcW w:w="0" w:type="auto"/>
            <w:gridSpan w:val="3"/>
            <w:shd w:val="clear" w:color="auto" w:fill="auto"/>
            <w:tcMar>
              <w:top w:w="40" w:type="dxa"/>
              <w:left w:w="20" w:type="dxa"/>
              <w:bottom w:w="40" w:type="dxa"/>
              <w:right w:w="20" w:type="dxa"/>
            </w:tcMar>
          </w:tcPr>
          <w:p w14:paraId="22CFDBC9" w14:textId="77777777" w:rsidR="002661BA" w:rsidRDefault="00D972BC">
            <w:pPr>
              <w:textAlignment w:val="top"/>
            </w:pPr>
            <w:r>
              <w:rPr>
                <w:rFonts w:ascii="Arial" w:eastAsia="宋体" w:hAnsi="Arial" w:cs="Arial"/>
                <w:color w:val="000000"/>
                <w:sz w:val="18"/>
                <w:szCs w:val="18"/>
              </w:rPr>
              <w:t>4.03</w:t>
            </w:r>
          </w:p>
        </w:tc>
        <w:tc>
          <w:tcPr>
            <w:tcW w:w="0" w:type="auto"/>
            <w:gridSpan w:val="3"/>
            <w:shd w:val="clear" w:color="auto" w:fill="auto"/>
            <w:tcMar>
              <w:top w:w="0" w:type="dxa"/>
              <w:left w:w="20" w:type="dxa"/>
              <w:bottom w:w="0" w:type="dxa"/>
              <w:right w:w="20" w:type="dxa"/>
            </w:tcMar>
            <w:vAlign w:val="bottom"/>
          </w:tcPr>
          <w:p w14:paraId="22CFDBC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CB" w14:textId="77777777" w:rsidR="002661BA" w:rsidRDefault="00D972BC">
            <w:pPr>
              <w:textAlignment w:val="top"/>
            </w:pPr>
            <w:hyperlink r:id="rId162" w:history="1">
              <w:r>
                <w:rPr>
                  <w:rStyle w:val="a5"/>
                  <w:rFonts w:ascii="Arial" w:eastAsia="宋体" w:hAnsi="Arial" w:cs="Arial"/>
                  <w:sz w:val="18"/>
                  <w:szCs w:val="18"/>
                </w:rPr>
                <w:t>Supplemental Indenture dated as of October 28, 2010 between Registrant and Wells Fargo Bank, National Association, as trustee.</w:t>
              </w:r>
            </w:hyperlink>
          </w:p>
        </w:tc>
        <w:tc>
          <w:tcPr>
            <w:tcW w:w="0" w:type="auto"/>
            <w:gridSpan w:val="3"/>
            <w:shd w:val="clear" w:color="auto" w:fill="auto"/>
            <w:tcMar>
              <w:top w:w="0" w:type="dxa"/>
              <w:left w:w="20" w:type="dxa"/>
              <w:bottom w:w="0" w:type="dxa"/>
              <w:right w:w="20" w:type="dxa"/>
            </w:tcMar>
            <w:vAlign w:val="bottom"/>
          </w:tcPr>
          <w:p w14:paraId="22CFDBC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C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C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CF"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40" w:type="dxa"/>
              <w:left w:w="20" w:type="dxa"/>
              <w:bottom w:w="40" w:type="dxa"/>
              <w:right w:w="20" w:type="dxa"/>
            </w:tcMar>
          </w:tcPr>
          <w:p w14:paraId="22CFDBD0"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BD1"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40" w:type="dxa"/>
              <w:left w:w="20" w:type="dxa"/>
              <w:bottom w:w="40" w:type="dxa"/>
              <w:right w:w="20" w:type="dxa"/>
            </w:tcMar>
          </w:tcPr>
          <w:p w14:paraId="22CFDBD2"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BD3" w14:textId="77777777" w:rsidR="002661BA" w:rsidRDefault="00D972BC">
            <w:pPr>
              <w:jc w:val="center"/>
              <w:textAlignment w:val="top"/>
            </w:pPr>
            <w:r>
              <w:rPr>
                <w:rFonts w:ascii="Arial" w:eastAsia="宋体" w:hAnsi="Arial" w:cs="Arial"/>
                <w:color w:val="000000"/>
                <w:sz w:val="18"/>
                <w:szCs w:val="18"/>
              </w:rPr>
              <w:t>10/28/2010</w:t>
            </w:r>
          </w:p>
        </w:tc>
      </w:tr>
      <w:tr w:rsidR="002661BA" w14:paraId="22CFDBE0"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BD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D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D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D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D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D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D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D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D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D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DF" w14:textId="77777777" w:rsidR="002661BA" w:rsidRDefault="002661BA">
            <w:pPr>
              <w:rPr>
                <w:rFonts w:ascii="宋体"/>
              </w:rPr>
            </w:pPr>
          </w:p>
        </w:tc>
      </w:tr>
      <w:tr w:rsidR="002661BA" w14:paraId="22CFDBEC" w14:textId="77777777">
        <w:trPr>
          <w:jc w:val="center"/>
        </w:trPr>
        <w:tc>
          <w:tcPr>
            <w:tcW w:w="0" w:type="auto"/>
            <w:gridSpan w:val="3"/>
            <w:shd w:val="clear" w:color="auto" w:fill="auto"/>
            <w:tcMar>
              <w:top w:w="40" w:type="dxa"/>
              <w:left w:w="20" w:type="dxa"/>
              <w:bottom w:w="40" w:type="dxa"/>
              <w:right w:w="20" w:type="dxa"/>
            </w:tcMar>
          </w:tcPr>
          <w:p w14:paraId="22CFDBE1" w14:textId="77777777" w:rsidR="002661BA" w:rsidRDefault="00D972BC">
            <w:pPr>
              <w:textAlignment w:val="top"/>
            </w:pPr>
            <w:r>
              <w:rPr>
                <w:rFonts w:ascii="Arial" w:eastAsia="宋体" w:hAnsi="Arial" w:cs="Arial"/>
                <w:color w:val="000000"/>
                <w:sz w:val="18"/>
                <w:szCs w:val="18"/>
              </w:rPr>
              <w:t>4.05</w:t>
            </w:r>
          </w:p>
        </w:tc>
        <w:tc>
          <w:tcPr>
            <w:tcW w:w="0" w:type="auto"/>
            <w:gridSpan w:val="3"/>
            <w:shd w:val="clear" w:color="auto" w:fill="auto"/>
            <w:tcMar>
              <w:top w:w="0" w:type="dxa"/>
              <w:left w:w="20" w:type="dxa"/>
              <w:bottom w:w="0" w:type="dxa"/>
              <w:right w:w="20" w:type="dxa"/>
            </w:tcMar>
            <w:vAlign w:val="bottom"/>
          </w:tcPr>
          <w:p w14:paraId="22CFDBE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E3" w14:textId="77777777" w:rsidR="002661BA" w:rsidRDefault="00D972BC">
            <w:pPr>
              <w:textAlignment w:val="top"/>
            </w:pPr>
            <w:hyperlink r:id="rId163" w:history="1">
              <w:r>
                <w:rPr>
                  <w:rStyle w:val="a5"/>
                  <w:rFonts w:ascii="Arial" w:eastAsia="宋体" w:hAnsi="Arial" w:cs="Arial"/>
                  <w:sz w:val="18"/>
                  <w:szCs w:val="18"/>
                </w:rPr>
                <w:t>Officer’s Certificate dated July 24, 2012.</w:t>
              </w:r>
            </w:hyperlink>
          </w:p>
        </w:tc>
        <w:tc>
          <w:tcPr>
            <w:tcW w:w="0" w:type="auto"/>
            <w:gridSpan w:val="3"/>
            <w:shd w:val="clear" w:color="auto" w:fill="auto"/>
            <w:tcMar>
              <w:top w:w="0" w:type="dxa"/>
              <w:left w:w="20" w:type="dxa"/>
              <w:bottom w:w="0" w:type="dxa"/>
              <w:right w:w="20" w:type="dxa"/>
            </w:tcMar>
            <w:vAlign w:val="bottom"/>
          </w:tcPr>
          <w:p w14:paraId="22CFDBE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E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E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E7"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BE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E9"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DBE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EB" w14:textId="77777777" w:rsidR="002661BA" w:rsidRDefault="00D972BC">
            <w:pPr>
              <w:jc w:val="center"/>
              <w:textAlignment w:val="top"/>
            </w:pPr>
            <w:r>
              <w:rPr>
                <w:rFonts w:ascii="Arial" w:eastAsia="宋体" w:hAnsi="Arial" w:cs="Arial"/>
                <w:color w:val="000000"/>
                <w:sz w:val="18"/>
                <w:szCs w:val="18"/>
              </w:rPr>
              <w:t>7/24/2012</w:t>
            </w:r>
          </w:p>
        </w:tc>
      </w:tr>
      <w:tr w:rsidR="002661BA" w14:paraId="22CFDBF8"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BE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E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E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F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F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F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F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F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F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F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F7" w14:textId="77777777" w:rsidR="002661BA" w:rsidRDefault="002661BA">
            <w:pPr>
              <w:rPr>
                <w:rFonts w:ascii="宋体"/>
              </w:rPr>
            </w:pPr>
          </w:p>
        </w:tc>
      </w:tr>
      <w:tr w:rsidR="002661BA" w14:paraId="22CFDC04" w14:textId="77777777">
        <w:trPr>
          <w:jc w:val="center"/>
        </w:trPr>
        <w:tc>
          <w:tcPr>
            <w:tcW w:w="0" w:type="auto"/>
            <w:gridSpan w:val="3"/>
            <w:shd w:val="clear" w:color="auto" w:fill="auto"/>
            <w:tcMar>
              <w:top w:w="40" w:type="dxa"/>
              <w:left w:w="20" w:type="dxa"/>
              <w:bottom w:w="40" w:type="dxa"/>
              <w:right w:w="20" w:type="dxa"/>
            </w:tcMar>
          </w:tcPr>
          <w:p w14:paraId="22CFDBF9" w14:textId="77777777" w:rsidR="002661BA" w:rsidRDefault="00D972BC">
            <w:pPr>
              <w:textAlignment w:val="top"/>
            </w:pPr>
            <w:r>
              <w:rPr>
                <w:rFonts w:ascii="Arial" w:eastAsia="宋体" w:hAnsi="Arial" w:cs="Arial"/>
                <w:color w:val="000000"/>
                <w:sz w:val="18"/>
                <w:szCs w:val="18"/>
              </w:rPr>
              <w:t>4.06</w:t>
            </w:r>
          </w:p>
        </w:tc>
        <w:tc>
          <w:tcPr>
            <w:tcW w:w="0" w:type="auto"/>
            <w:gridSpan w:val="3"/>
            <w:shd w:val="clear" w:color="auto" w:fill="auto"/>
            <w:tcMar>
              <w:top w:w="0" w:type="dxa"/>
              <w:left w:w="20" w:type="dxa"/>
              <w:bottom w:w="0" w:type="dxa"/>
              <w:right w:w="20" w:type="dxa"/>
            </w:tcMar>
            <w:vAlign w:val="bottom"/>
          </w:tcPr>
          <w:p w14:paraId="22CFDBF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FB" w14:textId="77777777" w:rsidR="002661BA" w:rsidRDefault="00D972BC">
            <w:pPr>
              <w:textAlignment w:val="top"/>
            </w:pPr>
            <w:hyperlink r:id="rId164" w:history="1">
              <w:r>
                <w:rPr>
                  <w:rStyle w:val="a5"/>
                  <w:rFonts w:ascii="Arial" w:eastAsia="宋体" w:hAnsi="Arial" w:cs="Arial"/>
                  <w:sz w:val="18"/>
                  <w:szCs w:val="18"/>
                </w:rPr>
                <w:t>Forms of 2.600% Note due 2022 and 4.000% Note due 2042 (included in Exhibit 4.05).</w:t>
              </w:r>
            </w:hyperlink>
          </w:p>
        </w:tc>
        <w:tc>
          <w:tcPr>
            <w:tcW w:w="0" w:type="auto"/>
            <w:gridSpan w:val="3"/>
            <w:shd w:val="clear" w:color="auto" w:fill="auto"/>
            <w:tcMar>
              <w:top w:w="0" w:type="dxa"/>
              <w:left w:w="20" w:type="dxa"/>
              <w:bottom w:w="0" w:type="dxa"/>
              <w:right w:w="20" w:type="dxa"/>
            </w:tcMar>
            <w:vAlign w:val="bottom"/>
          </w:tcPr>
          <w:p w14:paraId="22CFDBF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F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BF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BFF"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C0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01"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DC0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03" w14:textId="77777777" w:rsidR="002661BA" w:rsidRDefault="00D972BC">
            <w:pPr>
              <w:jc w:val="center"/>
              <w:textAlignment w:val="top"/>
            </w:pPr>
            <w:r>
              <w:rPr>
                <w:rFonts w:ascii="Arial" w:eastAsia="宋体" w:hAnsi="Arial" w:cs="Arial"/>
                <w:color w:val="000000"/>
                <w:sz w:val="18"/>
                <w:szCs w:val="18"/>
              </w:rPr>
              <w:t>7/24/2012</w:t>
            </w:r>
          </w:p>
        </w:tc>
      </w:tr>
      <w:tr w:rsidR="002661BA" w14:paraId="22CFDC10"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C0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0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0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0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0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0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0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0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0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0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0F" w14:textId="77777777" w:rsidR="002661BA" w:rsidRDefault="002661BA">
            <w:pPr>
              <w:rPr>
                <w:rFonts w:ascii="宋体"/>
              </w:rPr>
            </w:pPr>
          </w:p>
        </w:tc>
      </w:tr>
      <w:tr w:rsidR="002661BA" w14:paraId="22CFDC1C" w14:textId="77777777">
        <w:trPr>
          <w:jc w:val="center"/>
        </w:trPr>
        <w:tc>
          <w:tcPr>
            <w:tcW w:w="0" w:type="auto"/>
            <w:gridSpan w:val="3"/>
            <w:shd w:val="clear" w:color="auto" w:fill="auto"/>
            <w:tcMar>
              <w:top w:w="40" w:type="dxa"/>
              <w:left w:w="20" w:type="dxa"/>
              <w:bottom w:w="40" w:type="dxa"/>
              <w:right w:w="20" w:type="dxa"/>
            </w:tcMar>
          </w:tcPr>
          <w:p w14:paraId="22CFDC11" w14:textId="77777777" w:rsidR="002661BA" w:rsidRDefault="00D972BC">
            <w:pPr>
              <w:textAlignment w:val="top"/>
            </w:pPr>
            <w:r>
              <w:rPr>
                <w:rFonts w:ascii="Arial" w:eastAsia="宋体" w:hAnsi="Arial" w:cs="Arial"/>
                <w:color w:val="000000"/>
                <w:sz w:val="18"/>
                <w:szCs w:val="18"/>
              </w:rPr>
              <w:t>4.07</w:t>
            </w:r>
          </w:p>
        </w:tc>
        <w:tc>
          <w:tcPr>
            <w:tcW w:w="0" w:type="auto"/>
            <w:gridSpan w:val="3"/>
            <w:shd w:val="clear" w:color="auto" w:fill="auto"/>
            <w:tcMar>
              <w:top w:w="0" w:type="dxa"/>
              <w:left w:w="20" w:type="dxa"/>
              <w:bottom w:w="0" w:type="dxa"/>
              <w:right w:w="20" w:type="dxa"/>
            </w:tcMar>
            <w:vAlign w:val="bottom"/>
          </w:tcPr>
          <w:p w14:paraId="22CFDC1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13" w14:textId="77777777" w:rsidR="002661BA" w:rsidRDefault="00D972BC">
            <w:pPr>
              <w:textAlignment w:val="top"/>
            </w:pPr>
            <w:hyperlink r:id="rId165" w:history="1">
              <w:r>
                <w:rPr>
                  <w:rStyle w:val="a5"/>
                  <w:rFonts w:ascii="Arial" w:eastAsia="宋体" w:hAnsi="Arial" w:cs="Arial"/>
                  <w:sz w:val="18"/>
                  <w:szCs w:val="18"/>
                </w:rPr>
                <w:t>Officer’s Certificate dated July 28, 2014.</w:t>
              </w:r>
            </w:hyperlink>
          </w:p>
        </w:tc>
        <w:tc>
          <w:tcPr>
            <w:tcW w:w="0" w:type="auto"/>
            <w:gridSpan w:val="3"/>
            <w:shd w:val="clear" w:color="auto" w:fill="auto"/>
            <w:tcMar>
              <w:top w:w="0" w:type="dxa"/>
              <w:left w:w="20" w:type="dxa"/>
              <w:bottom w:w="0" w:type="dxa"/>
              <w:right w:w="20" w:type="dxa"/>
            </w:tcMar>
            <w:vAlign w:val="bottom"/>
          </w:tcPr>
          <w:p w14:paraId="22CFDC1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1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1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17"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C1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19"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DC1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1B" w14:textId="77777777" w:rsidR="002661BA" w:rsidRDefault="00D972BC">
            <w:pPr>
              <w:jc w:val="center"/>
              <w:textAlignment w:val="top"/>
            </w:pPr>
            <w:r>
              <w:rPr>
                <w:rFonts w:ascii="Arial" w:eastAsia="宋体" w:hAnsi="Arial" w:cs="Arial"/>
                <w:color w:val="000000"/>
                <w:sz w:val="18"/>
                <w:szCs w:val="18"/>
              </w:rPr>
              <w:t>7/28/2014</w:t>
            </w:r>
          </w:p>
        </w:tc>
      </w:tr>
      <w:tr w:rsidR="002661BA" w14:paraId="22CFDC28"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C1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1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1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2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2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2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2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2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2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2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27" w14:textId="77777777" w:rsidR="002661BA" w:rsidRDefault="002661BA">
            <w:pPr>
              <w:rPr>
                <w:rFonts w:ascii="宋体"/>
              </w:rPr>
            </w:pPr>
          </w:p>
        </w:tc>
      </w:tr>
      <w:tr w:rsidR="002661BA" w14:paraId="22CFDC34" w14:textId="77777777">
        <w:trPr>
          <w:jc w:val="center"/>
        </w:trPr>
        <w:tc>
          <w:tcPr>
            <w:tcW w:w="0" w:type="auto"/>
            <w:gridSpan w:val="3"/>
            <w:shd w:val="clear" w:color="auto" w:fill="auto"/>
            <w:tcMar>
              <w:top w:w="40" w:type="dxa"/>
              <w:left w:w="20" w:type="dxa"/>
              <w:bottom w:w="40" w:type="dxa"/>
              <w:right w:w="20" w:type="dxa"/>
            </w:tcMar>
          </w:tcPr>
          <w:p w14:paraId="22CFDC29" w14:textId="77777777" w:rsidR="002661BA" w:rsidRDefault="00D972BC">
            <w:pPr>
              <w:textAlignment w:val="top"/>
            </w:pPr>
            <w:r>
              <w:rPr>
                <w:rFonts w:ascii="Arial" w:eastAsia="宋体" w:hAnsi="Arial" w:cs="Arial"/>
                <w:color w:val="000000"/>
                <w:sz w:val="18"/>
                <w:szCs w:val="18"/>
              </w:rPr>
              <w:t>4.08</w:t>
            </w:r>
          </w:p>
        </w:tc>
        <w:tc>
          <w:tcPr>
            <w:tcW w:w="0" w:type="auto"/>
            <w:gridSpan w:val="3"/>
            <w:shd w:val="clear" w:color="auto" w:fill="auto"/>
            <w:tcMar>
              <w:top w:w="0" w:type="dxa"/>
              <w:left w:w="20" w:type="dxa"/>
              <w:bottom w:w="0" w:type="dxa"/>
              <w:right w:w="20" w:type="dxa"/>
            </w:tcMar>
            <w:vAlign w:val="bottom"/>
          </w:tcPr>
          <w:p w14:paraId="22CFDC2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2B" w14:textId="77777777" w:rsidR="002661BA" w:rsidRDefault="00D972BC">
            <w:pPr>
              <w:textAlignment w:val="top"/>
            </w:pPr>
            <w:hyperlink r:id="rId166" w:history="1">
              <w:r>
                <w:rPr>
                  <w:rStyle w:val="a5"/>
                  <w:rFonts w:ascii="Arial" w:eastAsia="宋体" w:hAnsi="Arial" w:cs="Arial"/>
                  <w:sz w:val="18"/>
                  <w:szCs w:val="18"/>
                </w:rPr>
                <w:t>Form</w:t>
              </w:r>
            </w:hyperlink>
            <w:hyperlink r:id="rId167" w:history="1">
              <w:r>
                <w:rPr>
                  <w:rStyle w:val="a5"/>
                  <w:rFonts w:ascii="Arial" w:eastAsia="宋体" w:hAnsi="Arial" w:cs="Arial"/>
                  <w:sz w:val="18"/>
                  <w:szCs w:val="18"/>
                </w:rPr>
                <w:t xml:space="preserve"> of </w:t>
              </w:r>
            </w:hyperlink>
            <w:hyperlink r:id="rId168" w:history="1">
              <w:r>
                <w:rPr>
                  <w:rStyle w:val="a5"/>
                  <w:rFonts w:ascii="Arial" w:eastAsia="宋体" w:hAnsi="Arial" w:cs="Arial"/>
                  <w:sz w:val="18"/>
                  <w:szCs w:val="18"/>
                </w:rPr>
                <w:t>3.450% Note due 2024 (included in Exhibit 4.07).</w:t>
              </w:r>
            </w:hyperlink>
          </w:p>
        </w:tc>
        <w:tc>
          <w:tcPr>
            <w:tcW w:w="0" w:type="auto"/>
            <w:gridSpan w:val="3"/>
            <w:shd w:val="clear" w:color="auto" w:fill="auto"/>
            <w:tcMar>
              <w:top w:w="0" w:type="dxa"/>
              <w:left w:w="20" w:type="dxa"/>
              <w:bottom w:w="0" w:type="dxa"/>
              <w:right w:w="20" w:type="dxa"/>
            </w:tcMar>
            <w:vAlign w:val="bottom"/>
          </w:tcPr>
          <w:p w14:paraId="22CFDC2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2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2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2F"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C3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31"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DC3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33" w14:textId="77777777" w:rsidR="002661BA" w:rsidRDefault="00D972BC">
            <w:pPr>
              <w:jc w:val="center"/>
              <w:textAlignment w:val="top"/>
            </w:pPr>
            <w:r>
              <w:rPr>
                <w:rFonts w:ascii="Arial" w:eastAsia="宋体" w:hAnsi="Arial" w:cs="Arial"/>
                <w:color w:val="000000"/>
                <w:sz w:val="18"/>
                <w:szCs w:val="18"/>
              </w:rPr>
              <w:t>7/28/2014</w:t>
            </w:r>
          </w:p>
        </w:tc>
      </w:tr>
      <w:tr w:rsidR="002661BA" w14:paraId="22CFDC40"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C3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3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3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3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3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3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3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3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3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3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3F" w14:textId="77777777" w:rsidR="002661BA" w:rsidRDefault="002661BA">
            <w:pPr>
              <w:rPr>
                <w:rFonts w:ascii="宋体"/>
              </w:rPr>
            </w:pPr>
          </w:p>
        </w:tc>
      </w:tr>
      <w:tr w:rsidR="002661BA" w14:paraId="22CFDC4C" w14:textId="77777777">
        <w:trPr>
          <w:jc w:val="center"/>
        </w:trPr>
        <w:tc>
          <w:tcPr>
            <w:tcW w:w="0" w:type="auto"/>
            <w:gridSpan w:val="3"/>
            <w:shd w:val="clear" w:color="auto" w:fill="auto"/>
            <w:tcMar>
              <w:top w:w="40" w:type="dxa"/>
              <w:left w:w="20" w:type="dxa"/>
              <w:bottom w:w="40" w:type="dxa"/>
              <w:right w:w="20" w:type="dxa"/>
            </w:tcMar>
          </w:tcPr>
          <w:p w14:paraId="22CFDC41" w14:textId="77777777" w:rsidR="002661BA" w:rsidRDefault="00D972BC">
            <w:pPr>
              <w:textAlignment w:val="top"/>
            </w:pPr>
            <w:r>
              <w:rPr>
                <w:rFonts w:ascii="Arial" w:eastAsia="宋体" w:hAnsi="Arial" w:cs="Arial"/>
                <w:color w:val="000000"/>
                <w:sz w:val="18"/>
                <w:szCs w:val="18"/>
              </w:rPr>
              <w:t>4.09</w:t>
            </w:r>
          </w:p>
        </w:tc>
        <w:tc>
          <w:tcPr>
            <w:tcW w:w="0" w:type="auto"/>
            <w:gridSpan w:val="3"/>
            <w:shd w:val="clear" w:color="auto" w:fill="auto"/>
            <w:tcMar>
              <w:top w:w="0" w:type="dxa"/>
              <w:left w:w="20" w:type="dxa"/>
              <w:bottom w:w="0" w:type="dxa"/>
              <w:right w:w="20" w:type="dxa"/>
            </w:tcMar>
            <w:vAlign w:val="bottom"/>
          </w:tcPr>
          <w:p w14:paraId="22CFDC4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43" w14:textId="77777777" w:rsidR="002661BA" w:rsidRDefault="00D972BC">
            <w:pPr>
              <w:textAlignment w:val="top"/>
            </w:pPr>
            <w:hyperlink r:id="rId169" w:history="1">
              <w:r>
                <w:rPr>
                  <w:rStyle w:val="a5"/>
                  <w:rFonts w:ascii="Arial" w:eastAsia="宋体" w:hAnsi="Arial" w:cs="Arial"/>
                  <w:sz w:val="18"/>
                  <w:szCs w:val="18"/>
                </w:rPr>
                <w:t>Officer’s Certificate dated March 9, 2016.</w:t>
              </w:r>
            </w:hyperlink>
          </w:p>
        </w:tc>
        <w:tc>
          <w:tcPr>
            <w:tcW w:w="0" w:type="auto"/>
            <w:gridSpan w:val="3"/>
            <w:shd w:val="clear" w:color="auto" w:fill="auto"/>
            <w:tcMar>
              <w:top w:w="0" w:type="dxa"/>
              <w:left w:w="20" w:type="dxa"/>
              <w:bottom w:w="0" w:type="dxa"/>
              <w:right w:w="20" w:type="dxa"/>
            </w:tcMar>
            <w:vAlign w:val="bottom"/>
          </w:tcPr>
          <w:p w14:paraId="22CFDC4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4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4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47"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C4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49"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C4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4B" w14:textId="77777777" w:rsidR="002661BA" w:rsidRDefault="00D972BC">
            <w:pPr>
              <w:jc w:val="center"/>
              <w:textAlignment w:val="top"/>
            </w:pPr>
            <w:r>
              <w:rPr>
                <w:rFonts w:ascii="Arial" w:eastAsia="宋体" w:hAnsi="Arial" w:cs="Arial"/>
                <w:color w:val="000000"/>
                <w:sz w:val="18"/>
                <w:szCs w:val="18"/>
              </w:rPr>
              <w:t>3/9/2016</w:t>
            </w:r>
          </w:p>
        </w:tc>
      </w:tr>
      <w:tr w:rsidR="002661BA" w14:paraId="22CFDC58"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C4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4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4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5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5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5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5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5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5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5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57" w14:textId="77777777" w:rsidR="002661BA" w:rsidRDefault="002661BA">
            <w:pPr>
              <w:rPr>
                <w:rFonts w:ascii="宋体"/>
              </w:rPr>
            </w:pPr>
          </w:p>
        </w:tc>
      </w:tr>
      <w:tr w:rsidR="002661BA" w14:paraId="22CFDC64" w14:textId="77777777">
        <w:trPr>
          <w:jc w:val="center"/>
        </w:trPr>
        <w:tc>
          <w:tcPr>
            <w:tcW w:w="0" w:type="auto"/>
            <w:gridSpan w:val="3"/>
            <w:shd w:val="clear" w:color="auto" w:fill="auto"/>
            <w:tcMar>
              <w:top w:w="40" w:type="dxa"/>
              <w:left w:w="20" w:type="dxa"/>
              <w:bottom w:w="40" w:type="dxa"/>
              <w:right w:w="20" w:type="dxa"/>
            </w:tcMar>
          </w:tcPr>
          <w:p w14:paraId="22CFDC59" w14:textId="77777777" w:rsidR="002661BA" w:rsidRDefault="00D972BC">
            <w:pPr>
              <w:textAlignment w:val="top"/>
            </w:pPr>
            <w:r>
              <w:rPr>
                <w:rFonts w:ascii="Arial" w:eastAsia="宋体" w:hAnsi="Arial" w:cs="Arial"/>
                <w:color w:val="000000"/>
                <w:sz w:val="18"/>
                <w:szCs w:val="18"/>
              </w:rPr>
              <w:t>4.10</w:t>
            </w:r>
          </w:p>
        </w:tc>
        <w:tc>
          <w:tcPr>
            <w:tcW w:w="0" w:type="auto"/>
            <w:gridSpan w:val="3"/>
            <w:shd w:val="clear" w:color="auto" w:fill="auto"/>
            <w:tcMar>
              <w:top w:w="0" w:type="dxa"/>
              <w:left w:w="20" w:type="dxa"/>
              <w:bottom w:w="0" w:type="dxa"/>
              <w:right w:w="20" w:type="dxa"/>
            </w:tcMar>
            <w:vAlign w:val="bottom"/>
          </w:tcPr>
          <w:p w14:paraId="22CFDC5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5B" w14:textId="77777777" w:rsidR="002661BA" w:rsidRDefault="00D972BC">
            <w:pPr>
              <w:textAlignment w:val="top"/>
            </w:pPr>
            <w:hyperlink r:id="rId170" w:history="1">
              <w:r>
                <w:rPr>
                  <w:rStyle w:val="a5"/>
                  <w:rFonts w:ascii="Arial" w:eastAsia="宋体" w:hAnsi="Arial" w:cs="Arial"/>
                  <w:sz w:val="18"/>
                  <w:szCs w:val="18"/>
                </w:rPr>
                <w:t>Form of 3.800% Note due 2022 (included in Exhibit 4.09).</w:t>
              </w:r>
            </w:hyperlink>
          </w:p>
        </w:tc>
        <w:tc>
          <w:tcPr>
            <w:tcW w:w="0" w:type="auto"/>
            <w:gridSpan w:val="3"/>
            <w:shd w:val="clear" w:color="auto" w:fill="auto"/>
            <w:tcMar>
              <w:top w:w="0" w:type="dxa"/>
              <w:left w:w="20" w:type="dxa"/>
              <w:bottom w:w="0" w:type="dxa"/>
              <w:right w:w="20" w:type="dxa"/>
            </w:tcMar>
            <w:vAlign w:val="bottom"/>
          </w:tcPr>
          <w:p w14:paraId="22CFDC5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5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5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5F"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C6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61"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C6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63" w14:textId="77777777" w:rsidR="002661BA" w:rsidRDefault="00D972BC">
            <w:pPr>
              <w:jc w:val="center"/>
              <w:textAlignment w:val="top"/>
            </w:pPr>
            <w:r>
              <w:rPr>
                <w:rFonts w:ascii="Arial" w:eastAsia="宋体" w:hAnsi="Arial" w:cs="Arial"/>
                <w:color w:val="000000"/>
                <w:sz w:val="18"/>
                <w:szCs w:val="18"/>
              </w:rPr>
              <w:t>3/9/2016</w:t>
            </w:r>
          </w:p>
        </w:tc>
      </w:tr>
      <w:tr w:rsidR="002661BA" w14:paraId="22CFDC70"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C6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6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6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6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6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6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6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6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6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6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6F" w14:textId="77777777" w:rsidR="002661BA" w:rsidRDefault="002661BA">
            <w:pPr>
              <w:rPr>
                <w:rFonts w:ascii="宋体"/>
              </w:rPr>
            </w:pPr>
          </w:p>
        </w:tc>
      </w:tr>
      <w:tr w:rsidR="002661BA" w14:paraId="22CFDC7C" w14:textId="77777777">
        <w:trPr>
          <w:jc w:val="center"/>
        </w:trPr>
        <w:tc>
          <w:tcPr>
            <w:tcW w:w="0" w:type="auto"/>
            <w:gridSpan w:val="3"/>
            <w:shd w:val="clear" w:color="auto" w:fill="auto"/>
            <w:tcMar>
              <w:top w:w="40" w:type="dxa"/>
              <w:left w:w="20" w:type="dxa"/>
              <w:bottom w:w="40" w:type="dxa"/>
              <w:right w:w="20" w:type="dxa"/>
            </w:tcMar>
          </w:tcPr>
          <w:p w14:paraId="22CFDC71" w14:textId="77777777" w:rsidR="002661BA" w:rsidRDefault="00D972BC">
            <w:pPr>
              <w:textAlignment w:val="top"/>
            </w:pPr>
            <w:r>
              <w:rPr>
                <w:rFonts w:ascii="Arial" w:eastAsia="宋体" w:hAnsi="Arial" w:cs="Arial"/>
                <w:color w:val="000000"/>
                <w:sz w:val="18"/>
                <w:szCs w:val="18"/>
              </w:rPr>
              <w:t>4.11</w:t>
            </w:r>
          </w:p>
        </w:tc>
        <w:tc>
          <w:tcPr>
            <w:tcW w:w="0" w:type="auto"/>
            <w:gridSpan w:val="3"/>
            <w:shd w:val="clear" w:color="auto" w:fill="auto"/>
            <w:tcMar>
              <w:top w:w="0" w:type="dxa"/>
              <w:left w:w="20" w:type="dxa"/>
              <w:bottom w:w="0" w:type="dxa"/>
              <w:right w:w="20" w:type="dxa"/>
            </w:tcMar>
            <w:vAlign w:val="bottom"/>
          </w:tcPr>
          <w:p w14:paraId="22CFDC7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73" w14:textId="77777777" w:rsidR="002661BA" w:rsidRDefault="00D972BC">
            <w:pPr>
              <w:textAlignment w:val="top"/>
            </w:pPr>
            <w:hyperlink r:id="rId171" w:history="1">
              <w:r>
                <w:rPr>
                  <w:rStyle w:val="a5"/>
                  <w:rFonts w:ascii="Arial" w:eastAsia="宋体" w:hAnsi="Arial" w:cs="Arial"/>
                  <w:sz w:val="18"/>
                  <w:szCs w:val="18"/>
                </w:rPr>
                <w:t>Officer’s Certificate dated June 6, 2017.</w:t>
              </w:r>
            </w:hyperlink>
          </w:p>
        </w:tc>
        <w:tc>
          <w:tcPr>
            <w:tcW w:w="0" w:type="auto"/>
            <w:gridSpan w:val="3"/>
            <w:shd w:val="clear" w:color="auto" w:fill="auto"/>
            <w:tcMar>
              <w:top w:w="0" w:type="dxa"/>
              <w:left w:w="20" w:type="dxa"/>
              <w:bottom w:w="0" w:type="dxa"/>
              <w:right w:w="20" w:type="dxa"/>
            </w:tcMar>
            <w:vAlign w:val="bottom"/>
          </w:tcPr>
          <w:p w14:paraId="22CFDC7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7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7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77"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C7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79"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C7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7B" w14:textId="77777777" w:rsidR="002661BA" w:rsidRDefault="00D972BC">
            <w:pPr>
              <w:jc w:val="center"/>
              <w:textAlignment w:val="top"/>
            </w:pPr>
            <w:r>
              <w:rPr>
                <w:rFonts w:ascii="Arial" w:eastAsia="宋体" w:hAnsi="Arial" w:cs="Arial"/>
                <w:color w:val="000000"/>
                <w:sz w:val="18"/>
                <w:szCs w:val="18"/>
              </w:rPr>
              <w:t>6/6/2017</w:t>
            </w:r>
          </w:p>
        </w:tc>
      </w:tr>
      <w:tr w:rsidR="002661BA" w14:paraId="22CFDC88"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C7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7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7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8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8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8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8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8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8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8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87" w14:textId="77777777" w:rsidR="002661BA" w:rsidRDefault="002661BA">
            <w:pPr>
              <w:rPr>
                <w:rFonts w:ascii="宋体"/>
              </w:rPr>
            </w:pPr>
          </w:p>
        </w:tc>
      </w:tr>
      <w:tr w:rsidR="002661BA" w14:paraId="22CFDC94" w14:textId="77777777">
        <w:trPr>
          <w:jc w:val="center"/>
        </w:trPr>
        <w:tc>
          <w:tcPr>
            <w:tcW w:w="0" w:type="auto"/>
            <w:gridSpan w:val="3"/>
            <w:shd w:val="clear" w:color="auto" w:fill="auto"/>
            <w:tcMar>
              <w:top w:w="40" w:type="dxa"/>
              <w:left w:w="20" w:type="dxa"/>
              <w:bottom w:w="40" w:type="dxa"/>
              <w:right w:w="20" w:type="dxa"/>
            </w:tcMar>
          </w:tcPr>
          <w:p w14:paraId="22CFDC89" w14:textId="77777777" w:rsidR="002661BA" w:rsidRDefault="00D972BC">
            <w:pPr>
              <w:textAlignment w:val="top"/>
            </w:pPr>
            <w:r>
              <w:rPr>
                <w:rFonts w:ascii="Arial" w:eastAsia="宋体" w:hAnsi="Arial" w:cs="Arial"/>
                <w:color w:val="000000"/>
                <w:sz w:val="18"/>
                <w:szCs w:val="18"/>
              </w:rPr>
              <w:t>4.12</w:t>
            </w:r>
          </w:p>
        </w:tc>
        <w:tc>
          <w:tcPr>
            <w:tcW w:w="0" w:type="auto"/>
            <w:gridSpan w:val="3"/>
            <w:shd w:val="clear" w:color="auto" w:fill="auto"/>
            <w:tcMar>
              <w:top w:w="0" w:type="dxa"/>
              <w:left w:w="20" w:type="dxa"/>
              <w:bottom w:w="0" w:type="dxa"/>
              <w:right w:w="20" w:type="dxa"/>
            </w:tcMar>
            <w:vAlign w:val="bottom"/>
          </w:tcPr>
          <w:p w14:paraId="22CFDC8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8B" w14:textId="77777777" w:rsidR="002661BA" w:rsidRDefault="00D972BC">
            <w:pPr>
              <w:textAlignment w:val="top"/>
            </w:pPr>
            <w:hyperlink r:id="rId172" w:history="1">
              <w:r>
                <w:rPr>
                  <w:rStyle w:val="a5"/>
                  <w:rFonts w:ascii="Arial" w:eastAsia="宋体" w:hAnsi="Arial" w:cs="Arial"/>
                  <w:sz w:val="18"/>
                  <w:szCs w:val="18"/>
                </w:rPr>
                <w:t>Form of Floating Rate Note due 2023, 2.150% Note due 2020, 2.750% Note due 2023 and 3.600% Note due 2027 (included in Exhibit 4.11).</w:t>
              </w:r>
            </w:hyperlink>
          </w:p>
        </w:tc>
        <w:tc>
          <w:tcPr>
            <w:tcW w:w="0" w:type="auto"/>
            <w:gridSpan w:val="3"/>
            <w:shd w:val="clear" w:color="auto" w:fill="auto"/>
            <w:tcMar>
              <w:top w:w="0" w:type="dxa"/>
              <w:left w:w="20" w:type="dxa"/>
              <w:bottom w:w="0" w:type="dxa"/>
              <w:right w:w="20" w:type="dxa"/>
            </w:tcMar>
            <w:vAlign w:val="bottom"/>
          </w:tcPr>
          <w:p w14:paraId="22CFDC8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8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8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8F"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C9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91"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C9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93" w14:textId="77777777" w:rsidR="002661BA" w:rsidRDefault="00D972BC">
            <w:pPr>
              <w:jc w:val="center"/>
              <w:textAlignment w:val="top"/>
            </w:pPr>
            <w:r>
              <w:rPr>
                <w:rFonts w:ascii="Arial" w:eastAsia="宋体" w:hAnsi="Arial" w:cs="Arial"/>
                <w:color w:val="000000"/>
                <w:sz w:val="18"/>
                <w:szCs w:val="18"/>
              </w:rPr>
              <w:t>6/6/2</w:t>
            </w:r>
            <w:r>
              <w:rPr>
                <w:rFonts w:ascii="Arial" w:eastAsia="宋体" w:hAnsi="Arial" w:cs="Arial"/>
                <w:color w:val="000000"/>
                <w:sz w:val="18"/>
                <w:szCs w:val="18"/>
              </w:rPr>
              <w:t>017</w:t>
            </w:r>
          </w:p>
        </w:tc>
      </w:tr>
      <w:tr w:rsidR="002661BA" w14:paraId="22CFDCA0"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C9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9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9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9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9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9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9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9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9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9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9F" w14:textId="77777777" w:rsidR="002661BA" w:rsidRDefault="002661BA">
            <w:pPr>
              <w:rPr>
                <w:rFonts w:ascii="宋体"/>
              </w:rPr>
            </w:pPr>
          </w:p>
        </w:tc>
      </w:tr>
      <w:tr w:rsidR="002661BA" w14:paraId="22CFDCAC" w14:textId="77777777">
        <w:trPr>
          <w:jc w:val="center"/>
        </w:trPr>
        <w:tc>
          <w:tcPr>
            <w:tcW w:w="0" w:type="auto"/>
            <w:gridSpan w:val="3"/>
            <w:shd w:val="clear" w:color="auto" w:fill="auto"/>
            <w:tcMar>
              <w:top w:w="40" w:type="dxa"/>
              <w:left w:w="20" w:type="dxa"/>
              <w:bottom w:w="40" w:type="dxa"/>
              <w:right w:w="20" w:type="dxa"/>
            </w:tcMar>
          </w:tcPr>
          <w:p w14:paraId="22CFDCA1" w14:textId="77777777" w:rsidR="002661BA" w:rsidRDefault="00D972BC">
            <w:pPr>
              <w:textAlignment w:val="top"/>
            </w:pPr>
            <w:r>
              <w:rPr>
                <w:rFonts w:ascii="Arial" w:eastAsia="宋体" w:hAnsi="Arial" w:cs="Arial"/>
                <w:color w:val="000000"/>
                <w:sz w:val="18"/>
                <w:szCs w:val="18"/>
              </w:rPr>
              <w:t>4.13</w:t>
            </w:r>
          </w:p>
        </w:tc>
        <w:tc>
          <w:tcPr>
            <w:tcW w:w="0" w:type="auto"/>
            <w:gridSpan w:val="3"/>
            <w:shd w:val="clear" w:color="auto" w:fill="auto"/>
            <w:tcMar>
              <w:top w:w="0" w:type="dxa"/>
              <w:left w:w="20" w:type="dxa"/>
              <w:bottom w:w="0" w:type="dxa"/>
              <w:right w:w="20" w:type="dxa"/>
            </w:tcMar>
            <w:vAlign w:val="bottom"/>
          </w:tcPr>
          <w:p w14:paraId="22CFDCA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A3" w14:textId="77777777" w:rsidR="002661BA" w:rsidRDefault="00D972BC">
            <w:pPr>
              <w:textAlignment w:val="top"/>
            </w:pPr>
            <w:hyperlink r:id="rId173" w:history="1">
              <w:r>
                <w:rPr>
                  <w:rStyle w:val="a5"/>
                  <w:rFonts w:ascii="Arial" w:eastAsia="宋体" w:hAnsi="Arial" w:cs="Arial"/>
                  <w:sz w:val="18"/>
                  <w:szCs w:val="18"/>
                </w:rPr>
                <w:t>Officer’s Certificate dated March 11, 2020.</w:t>
              </w:r>
            </w:hyperlink>
          </w:p>
        </w:tc>
        <w:tc>
          <w:tcPr>
            <w:tcW w:w="0" w:type="auto"/>
            <w:gridSpan w:val="3"/>
            <w:shd w:val="clear" w:color="auto" w:fill="auto"/>
            <w:tcMar>
              <w:top w:w="0" w:type="dxa"/>
              <w:left w:w="20" w:type="dxa"/>
              <w:bottom w:w="0" w:type="dxa"/>
              <w:right w:w="20" w:type="dxa"/>
            </w:tcMar>
            <w:vAlign w:val="bottom"/>
          </w:tcPr>
          <w:p w14:paraId="22CFDCA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A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A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A7"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CA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A9"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CA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AB" w14:textId="77777777" w:rsidR="002661BA" w:rsidRDefault="00D972BC">
            <w:pPr>
              <w:jc w:val="center"/>
              <w:textAlignment w:val="top"/>
            </w:pPr>
            <w:r>
              <w:rPr>
                <w:rFonts w:ascii="Arial" w:eastAsia="宋体" w:hAnsi="Arial" w:cs="Arial"/>
                <w:color w:val="000000"/>
                <w:sz w:val="18"/>
                <w:szCs w:val="18"/>
              </w:rPr>
              <w:t>3/11/2020</w:t>
            </w:r>
          </w:p>
        </w:tc>
      </w:tr>
      <w:tr w:rsidR="002661BA" w14:paraId="22CFDCB8"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CA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A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A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B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B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B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B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B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B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B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B7" w14:textId="77777777" w:rsidR="002661BA" w:rsidRDefault="002661BA">
            <w:pPr>
              <w:rPr>
                <w:rFonts w:ascii="宋体"/>
              </w:rPr>
            </w:pPr>
          </w:p>
        </w:tc>
      </w:tr>
      <w:tr w:rsidR="002661BA" w14:paraId="22CFDCC4" w14:textId="77777777">
        <w:trPr>
          <w:jc w:val="center"/>
        </w:trPr>
        <w:tc>
          <w:tcPr>
            <w:tcW w:w="0" w:type="auto"/>
            <w:gridSpan w:val="3"/>
            <w:shd w:val="clear" w:color="auto" w:fill="auto"/>
            <w:tcMar>
              <w:top w:w="40" w:type="dxa"/>
              <w:left w:w="20" w:type="dxa"/>
              <w:bottom w:w="40" w:type="dxa"/>
              <w:right w:w="20" w:type="dxa"/>
            </w:tcMar>
          </w:tcPr>
          <w:p w14:paraId="22CFDCB9" w14:textId="77777777" w:rsidR="002661BA" w:rsidRDefault="00D972BC">
            <w:pPr>
              <w:textAlignment w:val="top"/>
            </w:pPr>
            <w:r>
              <w:rPr>
                <w:rFonts w:ascii="Arial" w:eastAsia="宋体" w:hAnsi="Arial" w:cs="Arial"/>
                <w:color w:val="000000"/>
                <w:sz w:val="18"/>
                <w:szCs w:val="18"/>
              </w:rPr>
              <w:t>4.14</w:t>
            </w:r>
          </w:p>
        </w:tc>
        <w:tc>
          <w:tcPr>
            <w:tcW w:w="0" w:type="auto"/>
            <w:gridSpan w:val="3"/>
            <w:shd w:val="clear" w:color="auto" w:fill="auto"/>
            <w:tcMar>
              <w:top w:w="0" w:type="dxa"/>
              <w:left w:w="20" w:type="dxa"/>
              <w:bottom w:w="0" w:type="dxa"/>
              <w:right w:w="20" w:type="dxa"/>
            </w:tcMar>
            <w:vAlign w:val="bottom"/>
          </w:tcPr>
          <w:p w14:paraId="22CFDCB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BB" w14:textId="77777777" w:rsidR="002661BA" w:rsidRDefault="00D972BC">
            <w:pPr>
              <w:textAlignment w:val="top"/>
            </w:pPr>
            <w:hyperlink r:id="rId174" w:history="1">
              <w:r>
                <w:rPr>
                  <w:rStyle w:val="a5"/>
                  <w:rFonts w:ascii="Arial" w:eastAsia="宋体" w:hAnsi="Arial" w:cs="Arial"/>
                  <w:sz w:val="18"/>
                  <w:szCs w:val="18"/>
                </w:rPr>
                <w:t>Form of Note due 2025, 1.900% and Note due 2030, 2.700% (included in Exhibit 4.13).</w:t>
              </w:r>
            </w:hyperlink>
          </w:p>
        </w:tc>
        <w:tc>
          <w:tcPr>
            <w:tcW w:w="0" w:type="auto"/>
            <w:gridSpan w:val="3"/>
            <w:shd w:val="clear" w:color="auto" w:fill="auto"/>
            <w:tcMar>
              <w:top w:w="0" w:type="dxa"/>
              <w:left w:w="20" w:type="dxa"/>
              <w:bottom w:w="0" w:type="dxa"/>
              <w:right w:w="20" w:type="dxa"/>
            </w:tcMar>
            <w:vAlign w:val="bottom"/>
          </w:tcPr>
          <w:p w14:paraId="22CFDCB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B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B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BF"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CC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C1"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CC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C3" w14:textId="77777777" w:rsidR="002661BA" w:rsidRDefault="00D972BC">
            <w:pPr>
              <w:jc w:val="center"/>
              <w:textAlignment w:val="top"/>
            </w:pPr>
            <w:r>
              <w:rPr>
                <w:rFonts w:ascii="Arial" w:eastAsia="宋体" w:hAnsi="Arial" w:cs="Arial"/>
                <w:color w:val="000000"/>
                <w:sz w:val="18"/>
                <w:szCs w:val="18"/>
              </w:rPr>
              <w:t>3/11/2020</w:t>
            </w:r>
          </w:p>
        </w:tc>
      </w:tr>
      <w:tr w:rsidR="002661BA" w14:paraId="22CFDCD0"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CC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C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C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C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C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C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C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C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C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C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CF" w14:textId="77777777" w:rsidR="002661BA" w:rsidRDefault="002661BA">
            <w:pPr>
              <w:rPr>
                <w:rFonts w:ascii="宋体"/>
              </w:rPr>
            </w:pPr>
          </w:p>
        </w:tc>
      </w:tr>
      <w:tr w:rsidR="002661BA" w14:paraId="22CFDCDC" w14:textId="77777777">
        <w:trPr>
          <w:jc w:val="center"/>
        </w:trPr>
        <w:tc>
          <w:tcPr>
            <w:tcW w:w="0" w:type="auto"/>
            <w:gridSpan w:val="3"/>
            <w:shd w:val="clear" w:color="auto" w:fill="auto"/>
            <w:tcMar>
              <w:top w:w="40" w:type="dxa"/>
              <w:left w:w="20" w:type="dxa"/>
              <w:bottom w:w="40" w:type="dxa"/>
              <w:right w:w="20" w:type="dxa"/>
            </w:tcMar>
          </w:tcPr>
          <w:p w14:paraId="22CFDCD1" w14:textId="77777777" w:rsidR="002661BA" w:rsidRDefault="00D972BC">
            <w:pPr>
              <w:textAlignment w:val="top"/>
            </w:pPr>
            <w:r>
              <w:rPr>
                <w:rFonts w:ascii="Arial" w:eastAsia="宋体" w:hAnsi="Arial" w:cs="Arial"/>
                <w:color w:val="000000"/>
                <w:sz w:val="18"/>
                <w:szCs w:val="18"/>
              </w:rPr>
              <w:t>4.15</w:t>
            </w:r>
          </w:p>
        </w:tc>
        <w:tc>
          <w:tcPr>
            <w:tcW w:w="0" w:type="auto"/>
            <w:gridSpan w:val="3"/>
            <w:shd w:val="clear" w:color="auto" w:fill="auto"/>
            <w:tcMar>
              <w:top w:w="0" w:type="dxa"/>
              <w:left w:w="20" w:type="dxa"/>
              <w:bottom w:w="0" w:type="dxa"/>
              <w:right w:w="20" w:type="dxa"/>
            </w:tcMar>
            <w:vAlign w:val="bottom"/>
          </w:tcPr>
          <w:p w14:paraId="22CFDCD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D3" w14:textId="77777777" w:rsidR="002661BA" w:rsidRDefault="00D972BC">
            <w:pPr>
              <w:textAlignment w:val="top"/>
            </w:pPr>
            <w:hyperlink r:id="rId175" w:history="1">
              <w:r>
                <w:rPr>
                  <w:rStyle w:val="a5"/>
                  <w:rFonts w:ascii="Arial" w:eastAsia="宋体" w:hAnsi="Arial" w:cs="Arial"/>
                  <w:sz w:val="18"/>
                  <w:szCs w:val="18"/>
                </w:rPr>
                <w:t>Officer’s Certificate dated June 15, 2020.</w:t>
              </w:r>
            </w:hyperlink>
          </w:p>
        </w:tc>
        <w:tc>
          <w:tcPr>
            <w:tcW w:w="0" w:type="auto"/>
            <w:gridSpan w:val="3"/>
            <w:shd w:val="clear" w:color="auto" w:fill="auto"/>
            <w:tcMar>
              <w:top w:w="0" w:type="dxa"/>
              <w:left w:w="20" w:type="dxa"/>
              <w:bottom w:w="0" w:type="dxa"/>
              <w:right w:w="20" w:type="dxa"/>
            </w:tcMar>
            <w:vAlign w:val="bottom"/>
          </w:tcPr>
          <w:p w14:paraId="22CFDCD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D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D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D7"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CD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D9"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CD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DB" w14:textId="77777777" w:rsidR="002661BA" w:rsidRDefault="00D972BC">
            <w:pPr>
              <w:jc w:val="center"/>
              <w:textAlignment w:val="top"/>
            </w:pPr>
            <w:r>
              <w:rPr>
                <w:rFonts w:ascii="Arial" w:eastAsia="宋体" w:hAnsi="Arial" w:cs="Arial"/>
                <w:color w:val="000000"/>
                <w:sz w:val="18"/>
                <w:szCs w:val="18"/>
              </w:rPr>
              <w:t>6/15/2020</w:t>
            </w:r>
          </w:p>
        </w:tc>
      </w:tr>
      <w:tr w:rsidR="002661BA" w14:paraId="22CFDCE8"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CD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D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D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E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E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E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E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E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E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E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E7" w14:textId="77777777" w:rsidR="002661BA" w:rsidRDefault="002661BA">
            <w:pPr>
              <w:rPr>
                <w:rFonts w:ascii="宋体"/>
              </w:rPr>
            </w:pPr>
          </w:p>
        </w:tc>
      </w:tr>
      <w:tr w:rsidR="002661BA" w14:paraId="22CFDCF4" w14:textId="77777777">
        <w:trPr>
          <w:jc w:val="center"/>
        </w:trPr>
        <w:tc>
          <w:tcPr>
            <w:tcW w:w="0" w:type="auto"/>
            <w:gridSpan w:val="3"/>
            <w:shd w:val="clear" w:color="auto" w:fill="auto"/>
            <w:tcMar>
              <w:top w:w="40" w:type="dxa"/>
              <w:left w:w="20" w:type="dxa"/>
              <w:bottom w:w="40" w:type="dxa"/>
              <w:right w:w="20" w:type="dxa"/>
            </w:tcMar>
          </w:tcPr>
          <w:p w14:paraId="22CFDCE9" w14:textId="77777777" w:rsidR="002661BA" w:rsidRDefault="00D972BC">
            <w:pPr>
              <w:textAlignment w:val="top"/>
            </w:pPr>
            <w:r>
              <w:rPr>
                <w:rFonts w:ascii="Arial" w:eastAsia="宋体" w:hAnsi="Arial" w:cs="Arial"/>
                <w:color w:val="000000"/>
                <w:sz w:val="18"/>
                <w:szCs w:val="18"/>
              </w:rPr>
              <w:t>4.16</w:t>
            </w:r>
          </w:p>
        </w:tc>
        <w:tc>
          <w:tcPr>
            <w:tcW w:w="0" w:type="auto"/>
            <w:gridSpan w:val="3"/>
            <w:shd w:val="clear" w:color="auto" w:fill="auto"/>
            <w:tcMar>
              <w:top w:w="0" w:type="dxa"/>
              <w:left w:w="20" w:type="dxa"/>
              <w:bottom w:w="0" w:type="dxa"/>
              <w:right w:w="20" w:type="dxa"/>
            </w:tcMar>
            <w:vAlign w:val="bottom"/>
          </w:tcPr>
          <w:p w14:paraId="22CFDCE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EB" w14:textId="77777777" w:rsidR="002661BA" w:rsidRDefault="00D972BC">
            <w:pPr>
              <w:textAlignment w:val="top"/>
            </w:pPr>
            <w:hyperlink r:id="rId176" w:history="1">
              <w:r>
                <w:rPr>
                  <w:rStyle w:val="a5"/>
                  <w:rFonts w:ascii="Arial" w:eastAsia="宋体" w:hAnsi="Arial" w:cs="Arial"/>
                  <w:sz w:val="18"/>
                  <w:szCs w:val="18"/>
                </w:rPr>
                <w:t>Form of Note due 2025, 1.900% and Note due 2030, 2.700% (included in Exhibit 4.15).</w:t>
              </w:r>
            </w:hyperlink>
          </w:p>
        </w:tc>
        <w:tc>
          <w:tcPr>
            <w:tcW w:w="0" w:type="auto"/>
            <w:gridSpan w:val="3"/>
            <w:shd w:val="clear" w:color="auto" w:fill="auto"/>
            <w:tcMar>
              <w:top w:w="0" w:type="dxa"/>
              <w:left w:w="20" w:type="dxa"/>
              <w:bottom w:w="0" w:type="dxa"/>
              <w:right w:w="20" w:type="dxa"/>
            </w:tcMar>
            <w:vAlign w:val="bottom"/>
          </w:tcPr>
          <w:p w14:paraId="22CFDCE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E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E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EF"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CF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F1"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CF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CF3" w14:textId="77777777" w:rsidR="002661BA" w:rsidRDefault="00D972BC">
            <w:pPr>
              <w:jc w:val="center"/>
              <w:textAlignment w:val="top"/>
            </w:pPr>
            <w:r>
              <w:rPr>
                <w:rFonts w:ascii="Arial" w:eastAsia="宋体" w:hAnsi="Arial" w:cs="Arial"/>
                <w:color w:val="000000"/>
                <w:sz w:val="18"/>
                <w:szCs w:val="18"/>
              </w:rPr>
              <w:t>6/15/2020</w:t>
            </w:r>
          </w:p>
        </w:tc>
      </w:tr>
      <w:tr w:rsidR="002661BA" w14:paraId="22CFDD00"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CF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F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F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F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F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F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F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F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F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F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CFF" w14:textId="77777777" w:rsidR="002661BA" w:rsidRDefault="002661BA">
            <w:pPr>
              <w:rPr>
                <w:rFonts w:ascii="宋体"/>
              </w:rPr>
            </w:pPr>
          </w:p>
        </w:tc>
      </w:tr>
    </w:tbl>
    <w:p w14:paraId="22CFDD01" w14:textId="77777777" w:rsidR="002661BA" w:rsidRDefault="00D972BC">
      <w:pPr>
        <w:jc w:val="center"/>
      </w:pPr>
      <w:r>
        <w:rPr>
          <w:rFonts w:ascii="Arial" w:eastAsia="宋体" w:hAnsi="Arial" w:cs="Arial"/>
          <w:color w:val="000000"/>
          <w:sz w:val="18"/>
          <w:szCs w:val="18"/>
        </w:rPr>
        <w:t>116</w:t>
      </w:r>
    </w:p>
    <w:p w14:paraId="22CFDD02" w14:textId="77777777" w:rsidR="002661BA" w:rsidRDefault="00D972BC">
      <w:r>
        <w:pict w14:anchorId="22CFE525">
          <v:rect id="_x0000_i1140" style="width:415.3pt;height:1.5pt" o:hralign="center" o:hrstd="t" o:hr="t" fillcolor="#a0a0a0" stroked="f"/>
        </w:pict>
      </w:r>
    </w:p>
    <w:p w14:paraId="22CFDD03" w14:textId="77777777" w:rsidR="002661BA" w:rsidRDefault="00D972BC">
      <w:hyperlink r:id="rId177" w:anchor="id0d7a71b05ce452ea9fdb54f3cb359c7_7" w:history="1">
        <w:r>
          <w:rPr>
            <w:rStyle w:val="a5"/>
            <w:rFonts w:ascii="Arial" w:eastAsia="宋体" w:hAnsi="Arial" w:cs="Arial"/>
            <w:sz w:val="18"/>
            <w:szCs w:val="18"/>
          </w:rPr>
          <w:t>Table of Contents</w:t>
        </w:r>
      </w:hyperlink>
    </w:p>
    <w:tbl>
      <w:tblPr>
        <w:tblW w:w="4963" w:type="pct"/>
        <w:jc w:val="center"/>
        <w:tblCellMar>
          <w:top w:w="15" w:type="dxa"/>
          <w:left w:w="15" w:type="dxa"/>
          <w:bottom w:w="15" w:type="dxa"/>
          <w:right w:w="15" w:type="dxa"/>
        </w:tblCellMar>
        <w:tblLook w:val="04A0" w:firstRow="1" w:lastRow="0" w:firstColumn="1" w:lastColumn="0" w:noHBand="0" w:noVBand="1"/>
      </w:tblPr>
      <w:tblGrid>
        <w:gridCol w:w="68"/>
        <w:gridCol w:w="522"/>
        <w:gridCol w:w="36"/>
        <w:gridCol w:w="37"/>
        <w:gridCol w:w="85"/>
        <w:gridCol w:w="36"/>
        <w:gridCol w:w="40"/>
        <w:gridCol w:w="3596"/>
        <w:gridCol w:w="39"/>
        <w:gridCol w:w="36"/>
        <w:gridCol w:w="36"/>
        <w:gridCol w:w="36"/>
        <w:gridCol w:w="61"/>
        <w:gridCol w:w="738"/>
        <w:gridCol w:w="36"/>
        <w:gridCol w:w="36"/>
        <w:gridCol w:w="36"/>
        <w:gridCol w:w="36"/>
        <w:gridCol w:w="75"/>
        <w:gridCol w:w="529"/>
        <w:gridCol w:w="39"/>
        <w:gridCol w:w="37"/>
        <w:gridCol w:w="37"/>
        <w:gridCol w:w="37"/>
        <w:gridCol w:w="84"/>
        <w:gridCol w:w="809"/>
        <w:gridCol w:w="37"/>
        <w:gridCol w:w="37"/>
        <w:gridCol w:w="37"/>
        <w:gridCol w:w="36"/>
        <w:gridCol w:w="88"/>
        <w:gridCol w:w="845"/>
        <w:gridCol w:w="37"/>
      </w:tblGrid>
      <w:tr w:rsidR="002661BA" w14:paraId="22CFDD25" w14:textId="77777777">
        <w:trPr>
          <w:jc w:val="center"/>
        </w:trPr>
        <w:tc>
          <w:tcPr>
            <w:tcW w:w="50" w:type="pct"/>
            <w:shd w:val="clear" w:color="auto" w:fill="auto"/>
            <w:vAlign w:val="bottom"/>
          </w:tcPr>
          <w:p w14:paraId="22CFDD04" w14:textId="77777777" w:rsidR="002661BA" w:rsidRDefault="002661BA">
            <w:pPr>
              <w:rPr>
                <w:rFonts w:ascii="宋体"/>
              </w:rPr>
            </w:pPr>
          </w:p>
        </w:tc>
        <w:tc>
          <w:tcPr>
            <w:tcW w:w="386" w:type="pct"/>
            <w:shd w:val="clear" w:color="auto" w:fill="auto"/>
            <w:vAlign w:val="bottom"/>
          </w:tcPr>
          <w:p w14:paraId="22CFDD05" w14:textId="77777777" w:rsidR="002661BA" w:rsidRDefault="002661BA">
            <w:pPr>
              <w:rPr>
                <w:rFonts w:ascii="宋体"/>
              </w:rPr>
            </w:pPr>
          </w:p>
        </w:tc>
        <w:tc>
          <w:tcPr>
            <w:tcW w:w="5" w:type="pct"/>
            <w:shd w:val="clear" w:color="auto" w:fill="auto"/>
            <w:vAlign w:val="bottom"/>
          </w:tcPr>
          <w:p w14:paraId="22CFDD06" w14:textId="77777777" w:rsidR="002661BA" w:rsidRDefault="002661BA">
            <w:pPr>
              <w:rPr>
                <w:rFonts w:ascii="宋体"/>
              </w:rPr>
            </w:pPr>
          </w:p>
        </w:tc>
        <w:tc>
          <w:tcPr>
            <w:tcW w:w="5" w:type="pct"/>
            <w:shd w:val="clear" w:color="auto" w:fill="auto"/>
            <w:vAlign w:val="bottom"/>
          </w:tcPr>
          <w:p w14:paraId="22CFDD07" w14:textId="77777777" w:rsidR="002661BA" w:rsidRDefault="002661BA">
            <w:pPr>
              <w:rPr>
                <w:rFonts w:ascii="宋体"/>
              </w:rPr>
            </w:pPr>
          </w:p>
        </w:tc>
        <w:tc>
          <w:tcPr>
            <w:tcW w:w="26" w:type="pct"/>
            <w:shd w:val="clear" w:color="auto" w:fill="auto"/>
            <w:vAlign w:val="bottom"/>
          </w:tcPr>
          <w:p w14:paraId="22CFDD08" w14:textId="77777777" w:rsidR="002661BA" w:rsidRDefault="002661BA">
            <w:pPr>
              <w:rPr>
                <w:rFonts w:ascii="宋体"/>
              </w:rPr>
            </w:pPr>
          </w:p>
        </w:tc>
        <w:tc>
          <w:tcPr>
            <w:tcW w:w="5" w:type="pct"/>
            <w:shd w:val="clear" w:color="auto" w:fill="auto"/>
            <w:vAlign w:val="bottom"/>
          </w:tcPr>
          <w:p w14:paraId="22CFDD09" w14:textId="77777777" w:rsidR="002661BA" w:rsidRDefault="002661BA">
            <w:pPr>
              <w:rPr>
                <w:rFonts w:ascii="宋体"/>
              </w:rPr>
            </w:pPr>
          </w:p>
        </w:tc>
        <w:tc>
          <w:tcPr>
            <w:tcW w:w="50" w:type="pct"/>
            <w:shd w:val="clear" w:color="auto" w:fill="auto"/>
            <w:vAlign w:val="bottom"/>
          </w:tcPr>
          <w:p w14:paraId="22CFDD0A" w14:textId="77777777" w:rsidR="002661BA" w:rsidRDefault="002661BA">
            <w:pPr>
              <w:rPr>
                <w:rFonts w:ascii="宋体"/>
              </w:rPr>
            </w:pPr>
          </w:p>
        </w:tc>
        <w:tc>
          <w:tcPr>
            <w:tcW w:w="2235" w:type="pct"/>
            <w:shd w:val="clear" w:color="auto" w:fill="auto"/>
            <w:vAlign w:val="bottom"/>
          </w:tcPr>
          <w:p w14:paraId="22CFDD0B" w14:textId="77777777" w:rsidR="002661BA" w:rsidRDefault="002661BA">
            <w:pPr>
              <w:rPr>
                <w:rFonts w:ascii="宋体"/>
              </w:rPr>
            </w:pPr>
          </w:p>
        </w:tc>
        <w:tc>
          <w:tcPr>
            <w:tcW w:w="5" w:type="pct"/>
            <w:shd w:val="clear" w:color="auto" w:fill="auto"/>
            <w:vAlign w:val="bottom"/>
          </w:tcPr>
          <w:p w14:paraId="22CFDD0C" w14:textId="77777777" w:rsidR="002661BA" w:rsidRDefault="002661BA">
            <w:pPr>
              <w:rPr>
                <w:rFonts w:ascii="宋体"/>
              </w:rPr>
            </w:pPr>
          </w:p>
        </w:tc>
        <w:tc>
          <w:tcPr>
            <w:tcW w:w="5" w:type="pct"/>
            <w:shd w:val="clear" w:color="auto" w:fill="auto"/>
            <w:vAlign w:val="bottom"/>
          </w:tcPr>
          <w:p w14:paraId="22CFDD0D" w14:textId="77777777" w:rsidR="002661BA" w:rsidRDefault="002661BA">
            <w:pPr>
              <w:rPr>
                <w:rFonts w:ascii="宋体"/>
              </w:rPr>
            </w:pPr>
          </w:p>
        </w:tc>
        <w:tc>
          <w:tcPr>
            <w:tcW w:w="26" w:type="pct"/>
            <w:shd w:val="clear" w:color="auto" w:fill="auto"/>
            <w:vAlign w:val="bottom"/>
          </w:tcPr>
          <w:p w14:paraId="22CFDD0E" w14:textId="77777777" w:rsidR="002661BA" w:rsidRDefault="002661BA">
            <w:pPr>
              <w:rPr>
                <w:rFonts w:ascii="宋体"/>
              </w:rPr>
            </w:pPr>
          </w:p>
        </w:tc>
        <w:tc>
          <w:tcPr>
            <w:tcW w:w="5" w:type="pct"/>
            <w:shd w:val="clear" w:color="auto" w:fill="auto"/>
            <w:vAlign w:val="bottom"/>
          </w:tcPr>
          <w:p w14:paraId="22CFDD0F" w14:textId="77777777" w:rsidR="002661BA" w:rsidRDefault="002661BA">
            <w:pPr>
              <w:rPr>
                <w:rFonts w:ascii="宋体"/>
              </w:rPr>
            </w:pPr>
          </w:p>
        </w:tc>
        <w:tc>
          <w:tcPr>
            <w:tcW w:w="50" w:type="pct"/>
            <w:shd w:val="clear" w:color="auto" w:fill="auto"/>
            <w:vAlign w:val="bottom"/>
          </w:tcPr>
          <w:p w14:paraId="22CFDD10" w14:textId="77777777" w:rsidR="002661BA" w:rsidRDefault="002661BA">
            <w:pPr>
              <w:rPr>
                <w:rFonts w:ascii="宋体"/>
              </w:rPr>
            </w:pPr>
          </w:p>
        </w:tc>
        <w:tc>
          <w:tcPr>
            <w:tcW w:w="541" w:type="pct"/>
            <w:shd w:val="clear" w:color="auto" w:fill="auto"/>
            <w:vAlign w:val="bottom"/>
          </w:tcPr>
          <w:p w14:paraId="22CFDD11" w14:textId="77777777" w:rsidR="002661BA" w:rsidRDefault="002661BA">
            <w:pPr>
              <w:rPr>
                <w:rFonts w:ascii="宋体"/>
              </w:rPr>
            </w:pPr>
          </w:p>
        </w:tc>
        <w:tc>
          <w:tcPr>
            <w:tcW w:w="5" w:type="pct"/>
            <w:shd w:val="clear" w:color="auto" w:fill="auto"/>
            <w:vAlign w:val="bottom"/>
          </w:tcPr>
          <w:p w14:paraId="22CFDD12" w14:textId="77777777" w:rsidR="002661BA" w:rsidRDefault="002661BA">
            <w:pPr>
              <w:rPr>
                <w:rFonts w:ascii="宋体"/>
              </w:rPr>
            </w:pPr>
          </w:p>
        </w:tc>
        <w:tc>
          <w:tcPr>
            <w:tcW w:w="5" w:type="pct"/>
            <w:shd w:val="clear" w:color="auto" w:fill="auto"/>
            <w:vAlign w:val="bottom"/>
          </w:tcPr>
          <w:p w14:paraId="22CFDD13" w14:textId="77777777" w:rsidR="002661BA" w:rsidRDefault="002661BA">
            <w:pPr>
              <w:rPr>
                <w:rFonts w:ascii="宋体"/>
              </w:rPr>
            </w:pPr>
          </w:p>
        </w:tc>
        <w:tc>
          <w:tcPr>
            <w:tcW w:w="26" w:type="pct"/>
            <w:shd w:val="clear" w:color="auto" w:fill="auto"/>
            <w:vAlign w:val="bottom"/>
          </w:tcPr>
          <w:p w14:paraId="22CFDD14" w14:textId="77777777" w:rsidR="002661BA" w:rsidRDefault="002661BA">
            <w:pPr>
              <w:rPr>
                <w:rFonts w:ascii="宋体"/>
              </w:rPr>
            </w:pPr>
          </w:p>
        </w:tc>
        <w:tc>
          <w:tcPr>
            <w:tcW w:w="5" w:type="pct"/>
            <w:shd w:val="clear" w:color="auto" w:fill="auto"/>
            <w:vAlign w:val="bottom"/>
          </w:tcPr>
          <w:p w14:paraId="22CFDD15" w14:textId="77777777" w:rsidR="002661BA" w:rsidRDefault="002661BA">
            <w:pPr>
              <w:rPr>
                <w:rFonts w:ascii="宋体"/>
              </w:rPr>
            </w:pPr>
          </w:p>
        </w:tc>
        <w:tc>
          <w:tcPr>
            <w:tcW w:w="50" w:type="pct"/>
            <w:shd w:val="clear" w:color="auto" w:fill="auto"/>
            <w:vAlign w:val="bottom"/>
          </w:tcPr>
          <w:p w14:paraId="22CFDD16" w14:textId="77777777" w:rsidR="002661BA" w:rsidRDefault="002661BA">
            <w:pPr>
              <w:rPr>
                <w:rFonts w:ascii="宋体"/>
              </w:rPr>
            </w:pPr>
          </w:p>
        </w:tc>
        <w:tc>
          <w:tcPr>
            <w:tcW w:w="357" w:type="pct"/>
            <w:shd w:val="clear" w:color="auto" w:fill="auto"/>
            <w:vAlign w:val="bottom"/>
          </w:tcPr>
          <w:p w14:paraId="22CFDD17" w14:textId="77777777" w:rsidR="002661BA" w:rsidRDefault="002661BA">
            <w:pPr>
              <w:rPr>
                <w:rFonts w:ascii="宋体"/>
              </w:rPr>
            </w:pPr>
          </w:p>
        </w:tc>
        <w:tc>
          <w:tcPr>
            <w:tcW w:w="5" w:type="pct"/>
            <w:shd w:val="clear" w:color="auto" w:fill="auto"/>
            <w:vAlign w:val="bottom"/>
          </w:tcPr>
          <w:p w14:paraId="22CFDD18" w14:textId="77777777" w:rsidR="002661BA" w:rsidRDefault="002661BA">
            <w:pPr>
              <w:rPr>
                <w:rFonts w:ascii="宋体"/>
              </w:rPr>
            </w:pPr>
          </w:p>
        </w:tc>
        <w:tc>
          <w:tcPr>
            <w:tcW w:w="5" w:type="pct"/>
            <w:shd w:val="clear" w:color="auto" w:fill="auto"/>
            <w:vAlign w:val="bottom"/>
          </w:tcPr>
          <w:p w14:paraId="22CFDD19" w14:textId="77777777" w:rsidR="002661BA" w:rsidRDefault="002661BA">
            <w:pPr>
              <w:rPr>
                <w:rFonts w:ascii="宋体"/>
              </w:rPr>
            </w:pPr>
          </w:p>
        </w:tc>
        <w:tc>
          <w:tcPr>
            <w:tcW w:w="26" w:type="pct"/>
            <w:shd w:val="clear" w:color="auto" w:fill="auto"/>
            <w:vAlign w:val="bottom"/>
          </w:tcPr>
          <w:p w14:paraId="22CFDD1A" w14:textId="77777777" w:rsidR="002661BA" w:rsidRDefault="002661BA">
            <w:pPr>
              <w:rPr>
                <w:rFonts w:ascii="宋体"/>
              </w:rPr>
            </w:pPr>
          </w:p>
        </w:tc>
        <w:tc>
          <w:tcPr>
            <w:tcW w:w="5" w:type="pct"/>
            <w:shd w:val="clear" w:color="auto" w:fill="auto"/>
            <w:vAlign w:val="bottom"/>
          </w:tcPr>
          <w:p w14:paraId="22CFDD1B" w14:textId="77777777" w:rsidR="002661BA" w:rsidRDefault="002661BA">
            <w:pPr>
              <w:rPr>
                <w:rFonts w:ascii="宋体"/>
              </w:rPr>
            </w:pPr>
          </w:p>
        </w:tc>
        <w:tc>
          <w:tcPr>
            <w:tcW w:w="50" w:type="pct"/>
            <w:shd w:val="clear" w:color="auto" w:fill="auto"/>
            <w:vAlign w:val="bottom"/>
          </w:tcPr>
          <w:p w14:paraId="22CFDD1C" w14:textId="77777777" w:rsidR="002661BA" w:rsidRDefault="002661BA">
            <w:pPr>
              <w:rPr>
                <w:rFonts w:ascii="宋体"/>
              </w:rPr>
            </w:pPr>
          </w:p>
        </w:tc>
        <w:tc>
          <w:tcPr>
            <w:tcW w:w="482" w:type="pct"/>
            <w:shd w:val="clear" w:color="auto" w:fill="auto"/>
            <w:vAlign w:val="bottom"/>
          </w:tcPr>
          <w:p w14:paraId="22CFDD1D" w14:textId="77777777" w:rsidR="002661BA" w:rsidRDefault="002661BA">
            <w:pPr>
              <w:rPr>
                <w:rFonts w:ascii="宋体"/>
              </w:rPr>
            </w:pPr>
          </w:p>
        </w:tc>
        <w:tc>
          <w:tcPr>
            <w:tcW w:w="5" w:type="pct"/>
            <w:shd w:val="clear" w:color="auto" w:fill="auto"/>
            <w:vAlign w:val="bottom"/>
          </w:tcPr>
          <w:p w14:paraId="22CFDD1E" w14:textId="77777777" w:rsidR="002661BA" w:rsidRDefault="002661BA">
            <w:pPr>
              <w:rPr>
                <w:rFonts w:ascii="宋体"/>
              </w:rPr>
            </w:pPr>
          </w:p>
        </w:tc>
        <w:tc>
          <w:tcPr>
            <w:tcW w:w="5" w:type="pct"/>
            <w:shd w:val="clear" w:color="auto" w:fill="auto"/>
            <w:vAlign w:val="bottom"/>
          </w:tcPr>
          <w:p w14:paraId="22CFDD1F" w14:textId="77777777" w:rsidR="002661BA" w:rsidRDefault="002661BA">
            <w:pPr>
              <w:rPr>
                <w:rFonts w:ascii="宋体"/>
              </w:rPr>
            </w:pPr>
          </w:p>
        </w:tc>
        <w:tc>
          <w:tcPr>
            <w:tcW w:w="26" w:type="pct"/>
            <w:shd w:val="clear" w:color="auto" w:fill="auto"/>
            <w:vAlign w:val="bottom"/>
          </w:tcPr>
          <w:p w14:paraId="22CFDD20" w14:textId="77777777" w:rsidR="002661BA" w:rsidRDefault="002661BA">
            <w:pPr>
              <w:rPr>
                <w:rFonts w:ascii="宋体"/>
              </w:rPr>
            </w:pPr>
          </w:p>
        </w:tc>
        <w:tc>
          <w:tcPr>
            <w:tcW w:w="5" w:type="pct"/>
            <w:shd w:val="clear" w:color="auto" w:fill="auto"/>
            <w:vAlign w:val="bottom"/>
          </w:tcPr>
          <w:p w14:paraId="22CFDD21" w14:textId="77777777" w:rsidR="002661BA" w:rsidRDefault="002661BA">
            <w:pPr>
              <w:rPr>
                <w:rFonts w:ascii="宋体"/>
              </w:rPr>
            </w:pPr>
          </w:p>
        </w:tc>
        <w:tc>
          <w:tcPr>
            <w:tcW w:w="50" w:type="pct"/>
            <w:shd w:val="clear" w:color="auto" w:fill="auto"/>
            <w:vAlign w:val="bottom"/>
          </w:tcPr>
          <w:p w14:paraId="22CFDD22" w14:textId="77777777" w:rsidR="002661BA" w:rsidRDefault="002661BA">
            <w:pPr>
              <w:rPr>
                <w:rFonts w:ascii="宋体"/>
              </w:rPr>
            </w:pPr>
          </w:p>
        </w:tc>
        <w:tc>
          <w:tcPr>
            <w:tcW w:w="482" w:type="pct"/>
            <w:shd w:val="clear" w:color="auto" w:fill="auto"/>
            <w:vAlign w:val="bottom"/>
          </w:tcPr>
          <w:p w14:paraId="22CFDD23" w14:textId="77777777" w:rsidR="002661BA" w:rsidRDefault="002661BA">
            <w:pPr>
              <w:rPr>
                <w:rFonts w:ascii="宋体"/>
              </w:rPr>
            </w:pPr>
          </w:p>
        </w:tc>
        <w:tc>
          <w:tcPr>
            <w:tcW w:w="5" w:type="pct"/>
            <w:shd w:val="clear" w:color="auto" w:fill="auto"/>
            <w:vAlign w:val="bottom"/>
          </w:tcPr>
          <w:p w14:paraId="22CFDD24" w14:textId="77777777" w:rsidR="002661BA" w:rsidRDefault="002661BA">
            <w:pPr>
              <w:rPr>
                <w:rFonts w:ascii="宋体"/>
              </w:rPr>
            </w:pPr>
          </w:p>
        </w:tc>
      </w:tr>
      <w:tr w:rsidR="002661BA" w14:paraId="22CFDD2D" w14:textId="77777777">
        <w:trPr>
          <w:trHeight w:val="240"/>
          <w:jc w:val="center"/>
        </w:trPr>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22CFDD26" w14:textId="77777777" w:rsidR="002661BA" w:rsidRDefault="00D972BC">
            <w:pPr>
              <w:textAlignment w:val="bottom"/>
            </w:pPr>
            <w:r>
              <w:rPr>
                <w:rFonts w:ascii="Arial" w:eastAsia="宋体" w:hAnsi="Arial" w:cs="Arial"/>
                <w:b/>
                <w:bCs/>
                <w:color w:val="000000"/>
                <w:sz w:val="14"/>
                <w:szCs w:val="14"/>
              </w:rPr>
              <w:t>No.</w:t>
            </w:r>
          </w:p>
        </w:tc>
        <w:tc>
          <w:tcPr>
            <w:tcW w:w="0" w:type="auto"/>
            <w:gridSpan w:val="3"/>
            <w:shd w:val="clear" w:color="auto" w:fill="auto"/>
            <w:tcMar>
              <w:top w:w="40" w:type="dxa"/>
              <w:left w:w="20" w:type="dxa"/>
              <w:bottom w:w="40" w:type="dxa"/>
              <w:right w:w="20" w:type="dxa"/>
            </w:tcMar>
            <w:vAlign w:val="bottom"/>
          </w:tcPr>
          <w:p w14:paraId="22CFDD27" w14:textId="77777777" w:rsidR="002661BA" w:rsidRDefault="00D972BC">
            <w:pPr>
              <w:textAlignment w:val="bottom"/>
            </w:pPr>
            <w:r>
              <w:rPr>
                <w:rFonts w:ascii="Arial" w:eastAsia="宋体" w:hAnsi="Arial" w:cs="Arial"/>
                <w:color w:val="000000"/>
                <w:sz w:val="14"/>
                <w:szCs w:val="14"/>
              </w:rPr>
              <w:t>  </w:t>
            </w: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22CFDD28" w14:textId="77777777" w:rsidR="002661BA" w:rsidRDefault="00D972BC">
            <w:pPr>
              <w:jc w:val="center"/>
              <w:textAlignment w:val="bottom"/>
            </w:pPr>
            <w:r>
              <w:rPr>
                <w:rFonts w:ascii="Arial" w:eastAsia="宋体" w:hAnsi="Arial" w:cs="Arial"/>
                <w:b/>
                <w:bCs/>
                <w:color w:val="000000"/>
                <w:sz w:val="14"/>
                <w:szCs w:val="14"/>
              </w:rPr>
              <w:t>Exhibit Description</w:t>
            </w:r>
          </w:p>
        </w:tc>
        <w:tc>
          <w:tcPr>
            <w:tcW w:w="0" w:type="auto"/>
            <w:gridSpan w:val="3"/>
            <w:shd w:val="clear" w:color="auto" w:fill="auto"/>
            <w:tcMar>
              <w:top w:w="40" w:type="dxa"/>
              <w:left w:w="20" w:type="dxa"/>
              <w:bottom w:w="40" w:type="dxa"/>
              <w:right w:w="20" w:type="dxa"/>
            </w:tcMar>
            <w:vAlign w:val="bottom"/>
          </w:tcPr>
          <w:p w14:paraId="22CFDD29" w14:textId="77777777" w:rsidR="002661BA" w:rsidRDefault="00D972BC">
            <w:pPr>
              <w:textAlignment w:val="bottom"/>
            </w:pPr>
            <w:r>
              <w:rPr>
                <w:rFonts w:ascii="Arial" w:eastAsia="宋体" w:hAnsi="Arial" w:cs="Arial"/>
                <w:color w:val="000000"/>
                <w:sz w:val="14"/>
                <w:szCs w:val="14"/>
              </w:rPr>
              <w:t> </w:t>
            </w: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22CFDD2A" w14:textId="77777777" w:rsidR="002661BA" w:rsidRDefault="00D972BC">
            <w:pPr>
              <w:jc w:val="center"/>
              <w:textAlignment w:val="bottom"/>
            </w:pPr>
            <w:r>
              <w:rPr>
                <w:rFonts w:ascii="Arial" w:eastAsia="宋体" w:hAnsi="Arial" w:cs="Arial"/>
                <w:b/>
                <w:bCs/>
                <w:color w:val="000000"/>
                <w:sz w:val="14"/>
                <w:szCs w:val="14"/>
              </w:rPr>
              <w:t>Filed or Furnished with</w:t>
            </w:r>
            <w:r>
              <w:rPr>
                <w:rFonts w:ascii="Arial" w:eastAsia="宋体" w:hAnsi="Arial" w:cs="Arial"/>
                <w:b/>
                <w:bCs/>
                <w:color w:val="000000"/>
                <w:sz w:val="14"/>
                <w:szCs w:val="14"/>
              </w:rPr>
              <w:br/>
              <w:t>this 10-K</w:t>
            </w:r>
          </w:p>
        </w:tc>
        <w:tc>
          <w:tcPr>
            <w:tcW w:w="0" w:type="auto"/>
            <w:gridSpan w:val="3"/>
            <w:shd w:val="clear" w:color="auto" w:fill="auto"/>
            <w:tcMar>
              <w:top w:w="40" w:type="dxa"/>
              <w:left w:w="20" w:type="dxa"/>
              <w:bottom w:w="40" w:type="dxa"/>
              <w:right w:w="20" w:type="dxa"/>
            </w:tcMar>
            <w:vAlign w:val="bottom"/>
          </w:tcPr>
          <w:p w14:paraId="22CFDD2B" w14:textId="77777777" w:rsidR="002661BA" w:rsidRDefault="00D972BC">
            <w:pPr>
              <w:textAlignment w:val="bottom"/>
            </w:pPr>
            <w:r>
              <w:rPr>
                <w:rFonts w:ascii="Arial" w:eastAsia="宋体" w:hAnsi="Arial" w:cs="Arial"/>
                <w:color w:val="000000"/>
                <w:sz w:val="14"/>
                <w:szCs w:val="14"/>
              </w:rPr>
              <w:t> </w:t>
            </w:r>
          </w:p>
        </w:tc>
        <w:tc>
          <w:tcPr>
            <w:tcW w:w="0" w:type="auto"/>
            <w:gridSpan w:val="15"/>
            <w:shd w:val="clear" w:color="auto" w:fill="auto"/>
            <w:tcMar>
              <w:top w:w="40" w:type="dxa"/>
              <w:left w:w="20" w:type="dxa"/>
              <w:bottom w:w="40" w:type="dxa"/>
              <w:right w:w="20" w:type="dxa"/>
            </w:tcMar>
            <w:vAlign w:val="bottom"/>
          </w:tcPr>
          <w:p w14:paraId="22CFDD2C" w14:textId="77777777" w:rsidR="002661BA" w:rsidRDefault="00D972BC">
            <w:pPr>
              <w:jc w:val="center"/>
              <w:textAlignment w:val="bottom"/>
            </w:pPr>
            <w:r>
              <w:rPr>
                <w:rFonts w:ascii="Arial" w:eastAsia="宋体" w:hAnsi="Arial" w:cs="Arial"/>
                <w:b/>
                <w:bCs/>
                <w:color w:val="000000"/>
                <w:sz w:val="14"/>
                <w:szCs w:val="14"/>
              </w:rPr>
              <w:t>Incorporated by Reference</w:t>
            </w:r>
          </w:p>
        </w:tc>
      </w:tr>
      <w:tr w:rsidR="002661BA" w14:paraId="22CFDD39" w14:textId="77777777">
        <w:trPr>
          <w:trHeight w:val="240"/>
          <w:jc w:val="center"/>
        </w:trPr>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22CFDD2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D2F" w14:textId="77777777" w:rsidR="002661BA" w:rsidRDefault="00D972BC">
            <w:pPr>
              <w:textAlignment w:val="bottom"/>
            </w:pPr>
            <w:r>
              <w:rPr>
                <w:rFonts w:ascii="Arial" w:eastAsia="宋体" w:hAnsi="Arial" w:cs="Arial"/>
                <w:color w:val="000000"/>
                <w:sz w:val="14"/>
                <w:szCs w:val="14"/>
              </w:rPr>
              <w:t>  </w:t>
            </w: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22CFDD30" w14:textId="77777777" w:rsidR="002661BA" w:rsidRDefault="002661BA">
            <w:pPr>
              <w:jc w:val="center"/>
              <w:rPr>
                <w:rFonts w:ascii="宋体"/>
              </w:rPr>
            </w:pPr>
          </w:p>
        </w:tc>
        <w:tc>
          <w:tcPr>
            <w:tcW w:w="0" w:type="auto"/>
            <w:gridSpan w:val="3"/>
            <w:shd w:val="clear" w:color="auto" w:fill="auto"/>
            <w:tcMar>
              <w:top w:w="40" w:type="dxa"/>
              <w:left w:w="20" w:type="dxa"/>
              <w:bottom w:w="40" w:type="dxa"/>
              <w:right w:w="20" w:type="dxa"/>
            </w:tcMar>
            <w:vAlign w:val="bottom"/>
          </w:tcPr>
          <w:p w14:paraId="22CFDD31" w14:textId="77777777" w:rsidR="002661BA" w:rsidRDefault="00D972BC">
            <w:pPr>
              <w:textAlignment w:val="bottom"/>
            </w:pPr>
            <w:r>
              <w:rPr>
                <w:rFonts w:ascii="Arial" w:eastAsia="宋体" w:hAnsi="Arial" w:cs="Arial"/>
                <w:color w:val="000000"/>
                <w:sz w:val="14"/>
                <w:szCs w:val="14"/>
              </w:rPr>
              <w:t> </w:t>
            </w: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22CFDD32" w14:textId="77777777" w:rsidR="002661BA" w:rsidRDefault="002661BA">
            <w:pPr>
              <w:jc w:val="center"/>
              <w:rPr>
                <w:rFonts w:ascii="宋体"/>
              </w:rPr>
            </w:pPr>
          </w:p>
        </w:tc>
        <w:tc>
          <w:tcPr>
            <w:tcW w:w="0" w:type="auto"/>
            <w:gridSpan w:val="3"/>
            <w:shd w:val="clear" w:color="auto" w:fill="auto"/>
            <w:tcMar>
              <w:top w:w="40" w:type="dxa"/>
              <w:left w:w="20" w:type="dxa"/>
              <w:bottom w:w="40" w:type="dxa"/>
              <w:right w:w="20" w:type="dxa"/>
            </w:tcMar>
            <w:vAlign w:val="bottom"/>
          </w:tcPr>
          <w:p w14:paraId="22CFDD33" w14:textId="77777777" w:rsidR="002661BA" w:rsidRDefault="00D972BC">
            <w:pPr>
              <w:textAlignment w:val="bottom"/>
            </w:pPr>
            <w:r>
              <w:rPr>
                <w:rFonts w:ascii="Arial" w:eastAsia="宋体" w:hAnsi="Arial" w:cs="Arial"/>
                <w:color w:val="000000"/>
                <w:sz w:val="14"/>
                <w:szCs w:val="14"/>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DD34" w14:textId="77777777" w:rsidR="002661BA" w:rsidRDefault="00D972BC">
            <w:pPr>
              <w:jc w:val="center"/>
              <w:textAlignment w:val="bottom"/>
            </w:pPr>
            <w:r>
              <w:rPr>
                <w:rFonts w:ascii="Arial" w:eastAsia="宋体" w:hAnsi="Arial" w:cs="Arial"/>
                <w:b/>
                <w:bCs/>
                <w:color w:val="000000"/>
                <w:sz w:val="14"/>
                <w:szCs w:val="14"/>
              </w:rPr>
              <w:t>Form</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D35" w14:textId="77777777" w:rsidR="002661BA" w:rsidRDefault="00D972BC">
            <w:pPr>
              <w:textAlignment w:val="bottom"/>
            </w:pPr>
            <w:r>
              <w:rPr>
                <w:rFonts w:ascii="Arial" w:eastAsia="宋体" w:hAnsi="Arial" w:cs="Arial"/>
                <w:color w:val="000000"/>
                <w:sz w:val="14"/>
                <w:szCs w:val="14"/>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DD36" w14:textId="77777777" w:rsidR="002661BA" w:rsidRDefault="00D972BC">
            <w:pPr>
              <w:jc w:val="center"/>
              <w:textAlignment w:val="bottom"/>
            </w:pPr>
            <w:r>
              <w:rPr>
                <w:rFonts w:ascii="Arial" w:eastAsia="宋体" w:hAnsi="Arial" w:cs="Arial"/>
                <w:b/>
                <w:bCs/>
                <w:color w:val="000000"/>
                <w:sz w:val="14"/>
                <w:szCs w:val="14"/>
              </w:rPr>
              <w:t>File No.</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D37" w14:textId="77777777" w:rsidR="002661BA" w:rsidRDefault="00D972BC">
            <w:pPr>
              <w:textAlignment w:val="bottom"/>
            </w:pPr>
            <w:r>
              <w:rPr>
                <w:rFonts w:ascii="Arial" w:eastAsia="宋体" w:hAnsi="Arial" w:cs="Arial"/>
                <w:color w:val="000000"/>
                <w:sz w:val="14"/>
                <w:szCs w:val="14"/>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DD38" w14:textId="77777777" w:rsidR="002661BA" w:rsidRDefault="00D972BC">
            <w:pPr>
              <w:jc w:val="center"/>
              <w:textAlignment w:val="bottom"/>
            </w:pPr>
            <w:r>
              <w:rPr>
                <w:rFonts w:ascii="Arial" w:eastAsia="宋体" w:hAnsi="Arial" w:cs="Arial"/>
                <w:b/>
                <w:bCs/>
                <w:color w:val="000000"/>
                <w:sz w:val="14"/>
                <w:szCs w:val="14"/>
              </w:rPr>
              <w:t>Date Filed</w:t>
            </w:r>
          </w:p>
        </w:tc>
      </w:tr>
      <w:tr w:rsidR="002661BA" w14:paraId="22CFDD45" w14:textId="77777777">
        <w:trPr>
          <w:jc w:val="center"/>
        </w:trPr>
        <w:tc>
          <w:tcPr>
            <w:tcW w:w="0" w:type="auto"/>
            <w:gridSpan w:val="3"/>
            <w:shd w:val="clear" w:color="auto" w:fill="auto"/>
            <w:tcMar>
              <w:top w:w="40" w:type="dxa"/>
              <w:left w:w="20" w:type="dxa"/>
              <w:bottom w:w="40" w:type="dxa"/>
              <w:right w:w="20" w:type="dxa"/>
            </w:tcMar>
          </w:tcPr>
          <w:p w14:paraId="22CFDD3A" w14:textId="77777777" w:rsidR="002661BA" w:rsidRDefault="00D972BC">
            <w:pPr>
              <w:textAlignment w:val="top"/>
            </w:pPr>
            <w:r>
              <w:rPr>
                <w:rFonts w:ascii="Arial" w:eastAsia="宋体" w:hAnsi="Arial" w:cs="Arial"/>
                <w:color w:val="000000"/>
                <w:sz w:val="18"/>
                <w:szCs w:val="18"/>
              </w:rPr>
              <w:t>4.17</w:t>
            </w:r>
          </w:p>
        </w:tc>
        <w:tc>
          <w:tcPr>
            <w:tcW w:w="0" w:type="auto"/>
            <w:gridSpan w:val="3"/>
            <w:shd w:val="clear" w:color="auto" w:fill="auto"/>
            <w:tcMar>
              <w:top w:w="0" w:type="dxa"/>
              <w:left w:w="20" w:type="dxa"/>
              <w:bottom w:w="0" w:type="dxa"/>
              <w:right w:w="20" w:type="dxa"/>
            </w:tcMar>
            <w:vAlign w:val="bottom"/>
          </w:tcPr>
          <w:p w14:paraId="22CFDD3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3C" w14:textId="77777777" w:rsidR="002661BA" w:rsidRDefault="00D972BC">
            <w:pPr>
              <w:textAlignment w:val="top"/>
            </w:pPr>
            <w:hyperlink r:id="rId178" w:history="1">
              <w:r>
                <w:rPr>
                  <w:rStyle w:val="a5"/>
                  <w:rFonts w:ascii="Arial" w:eastAsia="宋体" w:hAnsi="Arial" w:cs="Arial"/>
                  <w:sz w:val="18"/>
                  <w:szCs w:val="18"/>
                </w:rPr>
                <w:t>Description of Securities.</w:t>
              </w:r>
            </w:hyperlink>
          </w:p>
        </w:tc>
        <w:tc>
          <w:tcPr>
            <w:tcW w:w="0" w:type="auto"/>
            <w:gridSpan w:val="3"/>
            <w:shd w:val="clear" w:color="auto" w:fill="auto"/>
            <w:tcMar>
              <w:top w:w="0" w:type="dxa"/>
              <w:left w:w="20" w:type="dxa"/>
              <w:bottom w:w="0" w:type="dxa"/>
              <w:right w:w="20" w:type="dxa"/>
            </w:tcMar>
            <w:vAlign w:val="bottom"/>
          </w:tcPr>
          <w:p w14:paraId="22CFDD3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3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3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40" w14:textId="77777777" w:rsidR="002661BA" w:rsidRDefault="00D972BC">
            <w:pPr>
              <w:jc w:val="center"/>
              <w:textAlignment w:val="top"/>
            </w:pPr>
            <w:r>
              <w:rPr>
                <w:rFonts w:ascii="Arial" w:eastAsia="宋体" w:hAnsi="Arial" w:cs="Arial"/>
                <w:color w:val="000000"/>
                <w:sz w:val="18"/>
                <w:szCs w:val="18"/>
              </w:rPr>
              <w:t>10-K</w:t>
            </w:r>
          </w:p>
        </w:tc>
        <w:tc>
          <w:tcPr>
            <w:tcW w:w="0" w:type="auto"/>
            <w:gridSpan w:val="3"/>
            <w:shd w:val="clear" w:color="auto" w:fill="auto"/>
            <w:tcMar>
              <w:top w:w="0" w:type="dxa"/>
              <w:left w:w="20" w:type="dxa"/>
              <w:bottom w:w="0" w:type="dxa"/>
              <w:right w:w="20" w:type="dxa"/>
            </w:tcMar>
            <w:vAlign w:val="bottom"/>
          </w:tcPr>
          <w:p w14:paraId="22CFDD4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42"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D4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44" w14:textId="77777777" w:rsidR="002661BA" w:rsidRDefault="00D972BC">
            <w:pPr>
              <w:jc w:val="center"/>
              <w:textAlignment w:val="top"/>
            </w:pPr>
            <w:r>
              <w:rPr>
                <w:rFonts w:ascii="Arial" w:eastAsia="宋体" w:hAnsi="Arial" w:cs="Arial"/>
                <w:color w:val="000000"/>
                <w:sz w:val="18"/>
                <w:szCs w:val="18"/>
              </w:rPr>
              <w:t>1/31/2020</w:t>
            </w:r>
          </w:p>
        </w:tc>
      </w:tr>
      <w:tr w:rsidR="002661BA" w14:paraId="22CFDD51"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D4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4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4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4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4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4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4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4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4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4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50" w14:textId="77777777" w:rsidR="002661BA" w:rsidRDefault="002661BA">
            <w:pPr>
              <w:rPr>
                <w:rFonts w:ascii="宋体"/>
              </w:rPr>
            </w:pPr>
          </w:p>
        </w:tc>
      </w:tr>
      <w:tr w:rsidR="002661BA" w14:paraId="22CFDD5D" w14:textId="77777777">
        <w:trPr>
          <w:jc w:val="center"/>
        </w:trPr>
        <w:tc>
          <w:tcPr>
            <w:tcW w:w="0" w:type="auto"/>
            <w:gridSpan w:val="3"/>
            <w:shd w:val="clear" w:color="auto" w:fill="auto"/>
            <w:tcMar>
              <w:top w:w="40" w:type="dxa"/>
              <w:left w:w="20" w:type="dxa"/>
              <w:bottom w:w="40" w:type="dxa"/>
              <w:right w:w="20" w:type="dxa"/>
            </w:tcMar>
          </w:tcPr>
          <w:p w14:paraId="22CFDD52" w14:textId="77777777" w:rsidR="002661BA" w:rsidRDefault="00D972BC">
            <w:pPr>
              <w:textAlignment w:val="top"/>
            </w:pPr>
            <w:r>
              <w:rPr>
                <w:rFonts w:ascii="Arial" w:eastAsia="宋体" w:hAnsi="Arial" w:cs="Arial"/>
                <w:color w:val="000000"/>
                <w:sz w:val="18"/>
                <w:szCs w:val="18"/>
              </w:rPr>
              <w:t>4.18</w:t>
            </w:r>
          </w:p>
        </w:tc>
        <w:tc>
          <w:tcPr>
            <w:tcW w:w="0" w:type="auto"/>
            <w:gridSpan w:val="3"/>
            <w:shd w:val="clear" w:color="auto" w:fill="auto"/>
            <w:tcMar>
              <w:top w:w="0" w:type="dxa"/>
              <w:left w:w="20" w:type="dxa"/>
              <w:bottom w:w="0" w:type="dxa"/>
              <w:right w:w="20" w:type="dxa"/>
            </w:tcMar>
            <w:vAlign w:val="bottom"/>
          </w:tcPr>
          <w:p w14:paraId="22CFDD5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54" w14:textId="77777777" w:rsidR="002661BA" w:rsidRDefault="00D972BC">
            <w:pPr>
              <w:textAlignment w:val="top"/>
            </w:pPr>
            <w:hyperlink r:id="rId179" w:history="1">
              <w:r>
                <w:rPr>
                  <w:rStyle w:val="a5"/>
                  <w:rFonts w:ascii="Arial" w:eastAsia="宋体" w:hAnsi="Arial" w:cs="Arial"/>
                  <w:sz w:val="18"/>
                  <w:szCs w:val="18"/>
                </w:rPr>
                <w:t>Officers’ Certificate dated May 10, 2021 establishing the terms of the 1.400% Notes due 2026, 2.600% Notes due 2031 and the 3.650% Notes due 2051</w:t>
              </w:r>
            </w:hyperlink>
          </w:p>
        </w:tc>
        <w:tc>
          <w:tcPr>
            <w:tcW w:w="0" w:type="auto"/>
            <w:gridSpan w:val="3"/>
            <w:shd w:val="clear" w:color="auto" w:fill="auto"/>
            <w:tcMar>
              <w:top w:w="0" w:type="dxa"/>
              <w:left w:w="20" w:type="dxa"/>
              <w:bottom w:w="0" w:type="dxa"/>
              <w:right w:w="20" w:type="dxa"/>
            </w:tcMar>
            <w:vAlign w:val="bottom"/>
          </w:tcPr>
          <w:p w14:paraId="22CFDD5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5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57"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58"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D59"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5A"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D5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5C" w14:textId="77777777" w:rsidR="002661BA" w:rsidRDefault="00D972BC">
            <w:pPr>
              <w:jc w:val="center"/>
              <w:textAlignment w:val="top"/>
            </w:pPr>
            <w:r>
              <w:rPr>
                <w:rFonts w:ascii="Arial" w:eastAsia="宋体" w:hAnsi="Arial" w:cs="Arial"/>
                <w:color w:val="000000"/>
                <w:sz w:val="18"/>
                <w:szCs w:val="18"/>
              </w:rPr>
              <w:t>5/10/2021</w:t>
            </w:r>
          </w:p>
        </w:tc>
      </w:tr>
      <w:tr w:rsidR="002661BA" w14:paraId="22CFDD69"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D5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5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6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6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6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6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6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6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6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6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68" w14:textId="77777777" w:rsidR="002661BA" w:rsidRDefault="002661BA">
            <w:pPr>
              <w:rPr>
                <w:rFonts w:ascii="宋体"/>
              </w:rPr>
            </w:pPr>
          </w:p>
        </w:tc>
      </w:tr>
      <w:tr w:rsidR="002661BA" w14:paraId="22CFDD75" w14:textId="77777777">
        <w:trPr>
          <w:jc w:val="center"/>
        </w:trPr>
        <w:tc>
          <w:tcPr>
            <w:tcW w:w="0" w:type="auto"/>
            <w:gridSpan w:val="3"/>
            <w:shd w:val="clear" w:color="auto" w:fill="auto"/>
            <w:tcMar>
              <w:top w:w="40" w:type="dxa"/>
              <w:left w:w="20" w:type="dxa"/>
              <w:bottom w:w="40" w:type="dxa"/>
              <w:right w:w="20" w:type="dxa"/>
            </w:tcMar>
          </w:tcPr>
          <w:p w14:paraId="22CFDD6A" w14:textId="77777777" w:rsidR="002661BA" w:rsidRDefault="00D972BC">
            <w:pPr>
              <w:textAlignment w:val="top"/>
            </w:pPr>
            <w:r>
              <w:rPr>
                <w:rFonts w:ascii="Arial" w:eastAsia="宋体" w:hAnsi="Arial" w:cs="Arial"/>
                <w:color w:val="000000"/>
                <w:sz w:val="18"/>
                <w:szCs w:val="18"/>
              </w:rPr>
              <w:t>4.19</w:t>
            </w:r>
          </w:p>
        </w:tc>
        <w:tc>
          <w:tcPr>
            <w:tcW w:w="0" w:type="auto"/>
            <w:gridSpan w:val="3"/>
            <w:shd w:val="clear" w:color="auto" w:fill="auto"/>
            <w:tcMar>
              <w:top w:w="0" w:type="dxa"/>
              <w:left w:w="20" w:type="dxa"/>
              <w:bottom w:w="0" w:type="dxa"/>
              <w:right w:w="20" w:type="dxa"/>
            </w:tcMar>
            <w:vAlign w:val="bottom"/>
          </w:tcPr>
          <w:p w14:paraId="22CFDD6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6C" w14:textId="77777777" w:rsidR="002661BA" w:rsidRDefault="00D972BC">
            <w:pPr>
              <w:textAlignment w:val="top"/>
            </w:pPr>
            <w:hyperlink r:id="rId180" w:history="1">
              <w:r>
                <w:rPr>
                  <w:rStyle w:val="a5"/>
                  <w:rFonts w:ascii="Arial" w:eastAsia="宋体" w:hAnsi="Arial" w:cs="Arial"/>
                  <w:sz w:val="18"/>
                  <w:szCs w:val="18"/>
                </w:rPr>
                <w:t>Form of 1.400% Note Due 2026 (included in Exhibit 4.18)</w:t>
              </w:r>
            </w:hyperlink>
          </w:p>
        </w:tc>
        <w:tc>
          <w:tcPr>
            <w:tcW w:w="0" w:type="auto"/>
            <w:gridSpan w:val="3"/>
            <w:shd w:val="clear" w:color="auto" w:fill="auto"/>
            <w:tcMar>
              <w:top w:w="0" w:type="dxa"/>
              <w:left w:w="20" w:type="dxa"/>
              <w:bottom w:w="0" w:type="dxa"/>
              <w:right w:w="20" w:type="dxa"/>
            </w:tcMar>
            <w:vAlign w:val="bottom"/>
          </w:tcPr>
          <w:p w14:paraId="22CFDD6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6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6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70"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D7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72"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D7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74" w14:textId="77777777" w:rsidR="002661BA" w:rsidRDefault="00D972BC">
            <w:pPr>
              <w:jc w:val="center"/>
              <w:textAlignment w:val="top"/>
            </w:pPr>
            <w:r>
              <w:rPr>
                <w:rFonts w:ascii="Arial" w:eastAsia="宋体" w:hAnsi="Arial" w:cs="Arial"/>
                <w:color w:val="000000"/>
                <w:sz w:val="18"/>
                <w:szCs w:val="18"/>
              </w:rPr>
              <w:t>5/10/2021</w:t>
            </w:r>
          </w:p>
        </w:tc>
      </w:tr>
      <w:tr w:rsidR="002661BA" w14:paraId="22CFDD81"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D7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7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7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7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7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7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7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7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7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7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80" w14:textId="77777777" w:rsidR="002661BA" w:rsidRDefault="002661BA">
            <w:pPr>
              <w:rPr>
                <w:rFonts w:ascii="宋体"/>
              </w:rPr>
            </w:pPr>
          </w:p>
        </w:tc>
      </w:tr>
      <w:tr w:rsidR="002661BA" w14:paraId="22CFDD8D" w14:textId="77777777">
        <w:trPr>
          <w:jc w:val="center"/>
        </w:trPr>
        <w:tc>
          <w:tcPr>
            <w:tcW w:w="0" w:type="auto"/>
            <w:gridSpan w:val="3"/>
            <w:shd w:val="clear" w:color="auto" w:fill="auto"/>
            <w:tcMar>
              <w:top w:w="40" w:type="dxa"/>
              <w:left w:w="20" w:type="dxa"/>
              <w:bottom w:w="40" w:type="dxa"/>
              <w:right w:w="20" w:type="dxa"/>
            </w:tcMar>
          </w:tcPr>
          <w:p w14:paraId="22CFDD82" w14:textId="77777777" w:rsidR="002661BA" w:rsidRDefault="00D972BC">
            <w:pPr>
              <w:textAlignment w:val="top"/>
            </w:pPr>
            <w:r>
              <w:rPr>
                <w:rFonts w:ascii="Arial" w:eastAsia="宋体" w:hAnsi="Arial" w:cs="Arial"/>
                <w:color w:val="000000"/>
                <w:sz w:val="18"/>
                <w:szCs w:val="18"/>
              </w:rPr>
              <w:t>4.20</w:t>
            </w:r>
          </w:p>
        </w:tc>
        <w:tc>
          <w:tcPr>
            <w:tcW w:w="0" w:type="auto"/>
            <w:gridSpan w:val="3"/>
            <w:shd w:val="clear" w:color="auto" w:fill="auto"/>
            <w:tcMar>
              <w:top w:w="0" w:type="dxa"/>
              <w:left w:w="20" w:type="dxa"/>
              <w:bottom w:w="0" w:type="dxa"/>
              <w:right w:w="20" w:type="dxa"/>
            </w:tcMar>
            <w:vAlign w:val="bottom"/>
          </w:tcPr>
          <w:p w14:paraId="22CFDD8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84" w14:textId="77777777" w:rsidR="002661BA" w:rsidRDefault="00D972BC">
            <w:pPr>
              <w:textAlignment w:val="top"/>
            </w:pPr>
            <w:hyperlink r:id="rId181" w:history="1">
              <w:r>
                <w:rPr>
                  <w:rStyle w:val="a5"/>
                  <w:rFonts w:ascii="Arial" w:eastAsia="宋体" w:hAnsi="Arial" w:cs="Arial"/>
                  <w:sz w:val="18"/>
                  <w:szCs w:val="18"/>
                </w:rPr>
                <w:t>Form of 2.600% Note Due 2031 (included in Exhibit 4.18)</w:t>
              </w:r>
            </w:hyperlink>
          </w:p>
        </w:tc>
        <w:tc>
          <w:tcPr>
            <w:tcW w:w="0" w:type="auto"/>
            <w:gridSpan w:val="3"/>
            <w:shd w:val="clear" w:color="auto" w:fill="auto"/>
            <w:tcMar>
              <w:top w:w="0" w:type="dxa"/>
              <w:left w:w="20" w:type="dxa"/>
              <w:bottom w:w="0" w:type="dxa"/>
              <w:right w:w="20" w:type="dxa"/>
            </w:tcMar>
            <w:vAlign w:val="bottom"/>
          </w:tcPr>
          <w:p w14:paraId="22CFDD8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8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87"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88"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D89"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8A"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D8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8C" w14:textId="77777777" w:rsidR="002661BA" w:rsidRDefault="00D972BC">
            <w:pPr>
              <w:jc w:val="center"/>
              <w:textAlignment w:val="top"/>
            </w:pPr>
            <w:r>
              <w:rPr>
                <w:rFonts w:ascii="Arial" w:eastAsia="宋体" w:hAnsi="Arial" w:cs="Arial"/>
                <w:color w:val="000000"/>
                <w:sz w:val="18"/>
                <w:szCs w:val="18"/>
              </w:rPr>
              <w:t>5/10/2021</w:t>
            </w:r>
          </w:p>
        </w:tc>
      </w:tr>
      <w:tr w:rsidR="002661BA" w14:paraId="22CFDD99"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D8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8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9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9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9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9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9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9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9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9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98" w14:textId="77777777" w:rsidR="002661BA" w:rsidRDefault="002661BA">
            <w:pPr>
              <w:rPr>
                <w:rFonts w:ascii="宋体"/>
              </w:rPr>
            </w:pPr>
          </w:p>
        </w:tc>
      </w:tr>
      <w:tr w:rsidR="002661BA" w14:paraId="22CFDDA5" w14:textId="77777777">
        <w:trPr>
          <w:jc w:val="center"/>
        </w:trPr>
        <w:tc>
          <w:tcPr>
            <w:tcW w:w="0" w:type="auto"/>
            <w:gridSpan w:val="3"/>
            <w:shd w:val="clear" w:color="auto" w:fill="auto"/>
            <w:tcMar>
              <w:top w:w="40" w:type="dxa"/>
              <w:left w:w="20" w:type="dxa"/>
              <w:bottom w:w="40" w:type="dxa"/>
              <w:right w:w="20" w:type="dxa"/>
            </w:tcMar>
          </w:tcPr>
          <w:p w14:paraId="22CFDD9A" w14:textId="77777777" w:rsidR="002661BA" w:rsidRDefault="00D972BC">
            <w:pPr>
              <w:textAlignment w:val="top"/>
            </w:pPr>
            <w:r>
              <w:rPr>
                <w:rFonts w:ascii="Arial" w:eastAsia="宋体" w:hAnsi="Arial" w:cs="Arial"/>
                <w:color w:val="000000"/>
                <w:sz w:val="18"/>
                <w:szCs w:val="18"/>
              </w:rPr>
              <w:t>4.21</w:t>
            </w:r>
          </w:p>
        </w:tc>
        <w:tc>
          <w:tcPr>
            <w:tcW w:w="0" w:type="auto"/>
            <w:gridSpan w:val="3"/>
            <w:shd w:val="clear" w:color="auto" w:fill="auto"/>
            <w:tcMar>
              <w:top w:w="0" w:type="dxa"/>
              <w:left w:w="20" w:type="dxa"/>
              <w:bottom w:w="0" w:type="dxa"/>
              <w:right w:w="20" w:type="dxa"/>
            </w:tcMar>
            <w:vAlign w:val="bottom"/>
          </w:tcPr>
          <w:p w14:paraId="22CFDD9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9C" w14:textId="77777777" w:rsidR="002661BA" w:rsidRDefault="00D972BC">
            <w:pPr>
              <w:textAlignment w:val="top"/>
            </w:pPr>
            <w:hyperlink r:id="rId182" w:history="1">
              <w:r>
                <w:rPr>
                  <w:rStyle w:val="a5"/>
                  <w:rFonts w:ascii="Arial" w:eastAsia="宋体" w:hAnsi="Arial" w:cs="Arial"/>
                  <w:sz w:val="18"/>
                  <w:szCs w:val="18"/>
                </w:rPr>
                <w:t>Form of 3.650% Note Due 2051 (included in Exhibit 4.18)</w:t>
              </w:r>
            </w:hyperlink>
          </w:p>
        </w:tc>
        <w:tc>
          <w:tcPr>
            <w:tcW w:w="0" w:type="auto"/>
            <w:gridSpan w:val="3"/>
            <w:shd w:val="clear" w:color="auto" w:fill="auto"/>
            <w:tcMar>
              <w:top w:w="0" w:type="dxa"/>
              <w:left w:w="20" w:type="dxa"/>
              <w:bottom w:w="0" w:type="dxa"/>
              <w:right w:w="20" w:type="dxa"/>
            </w:tcMar>
            <w:vAlign w:val="bottom"/>
          </w:tcPr>
          <w:p w14:paraId="22CFDD9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9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9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A0"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DA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A2"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DA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A4" w14:textId="77777777" w:rsidR="002661BA" w:rsidRDefault="00D972BC">
            <w:pPr>
              <w:jc w:val="center"/>
              <w:textAlignment w:val="top"/>
            </w:pPr>
            <w:r>
              <w:rPr>
                <w:rFonts w:ascii="Arial" w:eastAsia="宋体" w:hAnsi="Arial" w:cs="Arial"/>
                <w:color w:val="000000"/>
                <w:sz w:val="18"/>
                <w:szCs w:val="18"/>
              </w:rPr>
              <w:t>5/10/2021</w:t>
            </w:r>
          </w:p>
        </w:tc>
      </w:tr>
      <w:tr w:rsidR="002661BA" w14:paraId="22CFDDB1"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DA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A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A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A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A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A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A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A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A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A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B0" w14:textId="77777777" w:rsidR="002661BA" w:rsidRDefault="002661BA">
            <w:pPr>
              <w:rPr>
                <w:rFonts w:ascii="宋体"/>
              </w:rPr>
            </w:pPr>
          </w:p>
        </w:tc>
      </w:tr>
      <w:tr w:rsidR="002661BA" w14:paraId="22CFDDBD" w14:textId="77777777">
        <w:trPr>
          <w:jc w:val="center"/>
        </w:trPr>
        <w:tc>
          <w:tcPr>
            <w:tcW w:w="0" w:type="auto"/>
            <w:gridSpan w:val="3"/>
            <w:shd w:val="clear" w:color="auto" w:fill="auto"/>
            <w:tcMar>
              <w:top w:w="40" w:type="dxa"/>
              <w:left w:w="20" w:type="dxa"/>
              <w:bottom w:w="40" w:type="dxa"/>
              <w:right w:w="20" w:type="dxa"/>
            </w:tcMar>
          </w:tcPr>
          <w:p w14:paraId="22CFDDB2" w14:textId="77777777" w:rsidR="002661BA" w:rsidRDefault="00D972BC">
            <w:pPr>
              <w:textAlignment w:val="top"/>
            </w:pPr>
            <w:r>
              <w:rPr>
                <w:rFonts w:ascii="Arial" w:eastAsia="宋体" w:hAnsi="Arial" w:cs="Arial"/>
                <w:color w:val="000000"/>
                <w:sz w:val="18"/>
                <w:szCs w:val="18"/>
              </w:rPr>
              <w:t>10.01+</w:t>
            </w:r>
          </w:p>
        </w:tc>
        <w:tc>
          <w:tcPr>
            <w:tcW w:w="0" w:type="auto"/>
            <w:gridSpan w:val="3"/>
            <w:shd w:val="clear" w:color="auto" w:fill="auto"/>
            <w:tcMar>
              <w:top w:w="40" w:type="dxa"/>
              <w:left w:w="20" w:type="dxa"/>
              <w:bottom w:w="40" w:type="dxa"/>
              <w:right w:w="20" w:type="dxa"/>
            </w:tcMar>
          </w:tcPr>
          <w:p w14:paraId="22CFDDB3" w14:textId="77777777" w:rsidR="002661BA" w:rsidRDefault="00D972BC">
            <w:pP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DB4" w14:textId="77777777" w:rsidR="002661BA" w:rsidRDefault="00D972BC">
            <w:pPr>
              <w:textAlignment w:val="top"/>
            </w:pPr>
            <w:hyperlink r:id="rId183" w:history="1">
              <w:r>
                <w:rPr>
                  <w:rStyle w:val="a5"/>
                  <w:rFonts w:ascii="Arial" w:eastAsia="宋体" w:hAnsi="Arial" w:cs="Arial"/>
                  <w:sz w:val="18"/>
                  <w:szCs w:val="18"/>
                </w:rPr>
                <w:t>Form of Indemnity Agreement entered into by Registrant with each of its directors and executive officers.</w:t>
              </w:r>
            </w:hyperlink>
          </w:p>
        </w:tc>
        <w:tc>
          <w:tcPr>
            <w:tcW w:w="0" w:type="auto"/>
            <w:gridSpan w:val="3"/>
            <w:shd w:val="clear" w:color="auto" w:fill="auto"/>
            <w:tcMar>
              <w:top w:w="40" w:type="dxa"/>
              <w:left w:w="20" w:type="dxa"/>
              <w:bottom w:w="40" w:type="dxa"/>
              <w:right w:w="20" w:type="dxa"/>
            </w:tcMar>
            <w:vAlign w:val="bottom"/>
          </w:tcPr>
          <w:p w14:paraId="22CFDDB5"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DDB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B7" w14:textId="77777777" w:rsidR="002661BA" w:rsidRDefault="00D972BC">
            <w:pP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DB8" w14:textId="77777777" w:rsidR="002661BA" w:rsidRDefault="00D972BC">
            <w:pPr>
              <w:jc w:val="center"/>
              <w:textAlignment w:val="top"/>
            </w:pPr>
            <w:r>
              <w:rPr>
                <w:rFonts w:ascii="Arial" w:eastAsia="宋体" w:hAnsi="Arial" w:cs="Arial"/>
                <w:color w:val="000000"/>
                <w:sz w:val="18"/>
                <w:szCs w:val="18"/>
              </w:rPr>
              <w:t>S-1</w:t>
            </w:r>
          </w:p>
        </w:tc>
        <w:tc>
          <w:tcPr>
            <w:tcW w:w="0" w:type="auto"/>
            <w:gridSpan w:val="3"/>
            <w:shd w:val="clear" w:color="auto" w:fill="auto"/>
            <w:tcMar>
              <w:top w:w="40" w:type="dxa"/>
              <w:left w:w="20" w:type="dxa"/>
              <w:bottom w:w="40" w:type="dxa"/>
              <w:right w:w="20" w:type="dxa"/>
            </w:tcMar>
          </w:tcPr>
          <w:p w14:paraId="22CFDDB9"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DBA" w14:textId="77777777" w:rsidR="002661BA" w:rsidRDefault="00D972BC">
            <w:pPr>
              <w:jc w:val="center"/>
              <w:textAlignment w:val="top"/>
            </w:pPr>
            <w:r>
              <w:rPr>
                <w:rFonts w:ascii="Arial" w:eastAsia="宋体" w:hAnsi="Arial" w:cs="Arial"/>
                <w:color w:val="000000"/>
                <w:sz w:val="18"/>
                <w:szCs w:val="18"/>
              </w:rPr>
              <w:t>333-59097</w:t>
            </w:r>
          </w:p>
        </w:tc>
        <w:tc>
          <w:tcPr>
            <w:tcW w:w="0" w:type="auto"/>
            <w:gridSpan w:val="3"/>
            <w:shd w:val="clear" w:color="auto" w:fill="auto"/>
            <w:tcMar>
              <w:top w:w="40" w:type="dxa"/>
              <w:left w:w="20" w:type="dxa"/>
              <w:bottom w:w="40" w:type="dxa"/>
              <w:right w:w="20" w:type="dxa"/>
            </w:tcMar>
          </w:tcPr>
          <w:p w14:paraId="22CFDDBB"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DBC" w14:textId="77777777" w:rsidR="002661BA" w:rsidRDefault="00D972BC">
            <w:pPr>
              <w:jc w:val="center"/>
              <w:textAlignment w:val="top"/>
            </w:pPr>
            <w:r>
              <w:rPr>
                <w:rFonts w:ascii="Arial" w:eastAsia="宋体" w:hAnsi="Arial" w:cs="Arial"/>
                <w:color w:val="000000"/>
                <w:sz w:val="18"/>
                <w:szCs w:val="18"/>
              </w:rPr>
              <w:t>7/15/1998</w:t>
            </w:r>
          </w:p>
        </w:tc>
      </w:tr>
      <w:tr w:rsidR="002661BA" w14:paraId="22CFDDC5"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DB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B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C0"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DC1"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DC2"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DC3"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DC4" w14:textId="77777777" w:rsidR="002661BA" w:rsidRDefault="002661BA">
            <w:pPr>
              <w:rPr>
                <w:rFonts w:ascii="宋体"/>
              </w:rPr>
            </w:pPr>
          </w:p>
        </w:tc>
      </w:tr>
      <w:tr w:rsidR="002661BA" w14:paraId="22CFDDD1" w14:textId="77777777">
        <w:trPr>
          <w:jc w:val="center"/>
        </w:trPr>
        <w:tc>
          <w:tcPr>
            <w:tcW w:w="0" w:type="auto"/>
            <w:gridSpan w:val="3"/>
            <w:shd w:val="clear" w:color="auto" w:fill="auto"/>
            <w:tcMar>
              <w:top w:w="40" w:type="dxa"/>
              <w:left w:w="20" w:type="dxa"/>
              <w:bottom w:w="40" w:type="dxa"/>
              <w:right w:w="20" w:type="dxa"/>
            </w:tcMar>
          </w:tcPr>
          <w:p w14:paraId="22CFDDC6" w14:textId="77777777" w:rsidR="002661BA" w:rsidRDefault="00D972BC">
            <w:pPr>
              <w:textAlignment w:val="top"/>
            </w:pPr>
            <w:r>
              <w:rPr>
                <w:rFonts w:ascii="Arial" w:eastAsia="宋体" w:hAnsi="Arial" w:cs="Arial"/>
                <w:color w:val="000000"/>
                <w:sz w:val="18"/>
                <w:szCs w:val="18"/>
              </w:rPr>
              <w:t>10.02+</w:t>
            </w:r>
          </w:p>
        </w:tc>
        <w:tc>
          <w:tcPr>
            <w:tcW w:w="0" w:type="auto"/>
            <w:gridSpan w:val="3"/>
            <w:shd w:val="clear" w:color="auto" w:fill="auto"/>
            <w:tcMar>
              <w:top w:w="40" w:type="dxa"/>
              <w:left w:w="20" w:type="dxa"/>
              <w:bottom w:w="40" w:type="dxa"/>
              <w:right w:w="20" w:type="dxa"/>
            </w:tcMar>
            <w:vAlign w:val="bottom"/>
          </w:tcPr>
          <w:p w14:paraId="22CFDDC7"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22CFDDC8" w14:textId="77777777" w:rsidR="002661BA" w:rsidRDefault="00D972BC">
            <w:pPr>
              <w:textAlignment w:val="bottom"/>
            </w:pPr>
            <w:hyperlink r:id="rId184" w:history="1">
              <w:r>
                <w:rPr>
                  <w:rStyle w:val="a5"/>
                  <w:rFonts w:ascii="Arial" w:eastAsia="宋体" w:hAnsi="Arial" w:cs="Arial"/>
                  <w:sz w:val="18"/>
                  <w:szCs w:val="18"/>
                </w:rPr>
                <w:t>Registrant’s 2003 Deferred Stock Unit Plan, as amended.</w:t>
              </w:r>
            </w:hyperlink>
          </w:p>
        </w:tc>
        <w:tc>
          <w:tcPr>
            <w:tcW w:w="0" w:type="auto"/>
            <w:gridSpan w:val="3"/>
            <w:shd w:val="clear" w:color="auto" w:fill="auto"/>
            <w:tcMar>
              <w:top w:w="40" w:type="dxa"/>
              <w:left w:w="20" w:type="dxa"/>
              <w:bottom w:w="40" w:type="dxa"/>
              <w:right w:w="20" w:type="dxa"/>
            </w:tcMar>
            <w:vAlign w:val="bottom"/>
          </w:tcPr>
          <w:p w14:paraId="22CFDDC9"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DDC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CB" w14:textId="77777777" w:rsidR="002661BA" w:rsidRDefault="00D972BC">
            <w:pP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DCC" w14:textId="77777777" w:rsidR="002661BA" w:rsidRDefault="00D972BC">
            <w:pPr>
              <w:jc w:val="center"/>
              <w:textAlignment w:val="top"/>
            </w:pPr>
            <w:r>
              <w:rPr>
                <w:rFonts w:ascii="Arial" w:eastAsia="宋体" w:hAnsi="Arial" w:cs="Arial"/>
                <w:color w:val="000000"/>
                <w:sz w:val="18"/>
                <w:szCs w:val="18"/>
              </w:rPr>
              <w:t>10-K</w:t>
            </w:r>
          </w:p>
        </w:tc>
        <w:tc>
          <w:tcPr>
            <w:tcW w:w="0" w:type="auto"/>
            <w:gridSpan w:val="3"/>
            <w:shd w:val="clear" w:color="auto" w:fill="auto"/>
            <w:tcMar>
              <w:top w:w="40" w:type="dxa"/>
              <w:left w:w="20" w:type="dxa"/>
              <w:bottom w:w="40" w:type="dxa"/>
              <w:right w:w="20" w:type="dxa"/>
            </w:tcMar>
          </w:tcPr>
          <w:p w14:paraId="22CFDDCD"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DCE"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40" w:type="dxa"/>
              <w:left w:w="20" w:type="dxa"/>
              <w:bottom w:w="40" w:type="dxa"/>
              <w:right w:w="20" w:type="dxa"/>
            </w:tcMar>
          </w:tcPr>
          <w:p w14:paraId="22CFDDCF"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DD0" w14:textId="77777777" w:rsidR="002661BA" w:rsidRDefault="00D972BC">
            <w:pPr>
              <w:jc w:val="center"/>
              <w:textAlignment w:val="top"/>
            </w:pPr>
            <w:r>
              <w:rPr>
                <w:rFonts w:ascii="Arial" w:eastAsia="宋体" w:hAnsi="Arial" w:cs="Arial"/>
                <w:color w:val="000000"/>
                <w:sz w:val="18"/>
                <w:szCs w:val="18"/>
              </w:rPr>
              <w:t>2/28/2007</w:t>
            </w:r>
          </w:p>
        </w:tc>
      </w:tr>
      <w:tr w:rsidR="002661BA" w14:paraId="22CFDDDD"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DD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D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D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D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D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D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D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D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D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D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DC" w14:textId="77777777" w:rsidR="002661BA" w:rsidRDefault="002661BA">
            <w:pPr>
              <w:rPr>
                <w:rFonts w:ascii="宋体"/>
              </w:rPr>
            </w:pPr>
          </w:p>
        </w:tc>
      </w:tr>
      <w:tr w:rsidR="002661BA" w14:paraId="22CFDDE9" w14:textId="77777777">
        <w:trPr>
          <w:jc w:val="center"/>
        </w:trPr>
        <w:tc>
          <w:tcPr>
            <w:tcW w:w="0" w:type="auto"/>
            <w:gridSpan w:val="3"/>
            <w:shd w:val="clear" w:color="auto" w:fill="auto"/>
            <w:tcMar>
              <w:top w:w="40" w:type="dxa"/>
              <w:left w:w="20" w:type="dxa"/>
              <w:bottom w:w="40" w:type="dxa"/>
              <w:right w:w="20" w:type="dxa"/>
            </w:tcMar>
          </w:tcPr>
          <w:p w14:paraId="22CFDDDE" w14:textId="77777777" w:rsidR="002661BA" w:rsidRDefault="00D972BC">
            <w:pPr>
              <w:textAlignment w:val="top"/>
            </w:pPr>
            <w:r>
              <w:rPr>
                <w:rFonts w:ascii="Arial" w:eastAsia="宋体" w:hAnsi="Arial" w:cs="Arial"/>
                <w:color w:val="000000"/>
                <w:sz w:val="18"/>
                <w:szCs w:val="18"/>
              </w:rPr>
              <w:t>10.03+</w:t>
            </w:r>
          </w:p>
        </w:tc>
        <w:tc>
          <w:tcPr>
            <w:tcW w:w="0" w:type="auto"/>
            <w:gridSpan w:val="3"/>
            <w:shd w:val="clear" w:color="auto" w:fill="auto"/>
            <w:tcMar>
              <w:top w:w="0" w:type="dxa"/>
              <w:left w:w="20" w:type="dxa"/>
              <w:bottom w:w="0" w:type="dxa"/>
              <w:right w:w="20" w:type="dxa"/>
            </w:tcMar>
            <w:vAlign w:val="bottom"/>
          </w:tcPr>
          <w:p w14:paraId="22CFDDD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DE0" w14:textId="77777777" w:rsidR="002661BA" w:rsidRDefault="00D972BC">
            <w:pPr>
              <w:textAlignment w:val="bottom"/>
            </w:pPr>
            <w:hyperlink r:id="rId185" w:history="1">
              <w:r>
                <w:rPr>
                  <w:rStyle w:val="a5"/>
                  <w:rFonts w:ascii="Arial" w:eastAsia="宋体" w:hAnsi="Arial" w:cs="Arial"/>
                  <w:sz w:val="18"/>
                  <w:szCs w:val="18"/>
                </w:rPr>
                <w:t>Amendment to Registrant’s 2003 Deferred Stock Unit Plan, effective April 2, 2012.</w:t>
              </w:r>
            </w:hyperlink>
          </w:p>
        </w:tc>
        <w:tc>
          <w:tcPr>
            <w:tcW w:w="0" w:type="auto"/>
            <w:gridSpan w:val="3"/>
            <w:shd w:val="clear" w:color="auto" w:fill="auto"/>
            <w:tcMar>
              <w:top w:w="0" w:type="dxa"/>
              <w:left w:w="20" w:type="dxa"/>
              <w:bottom w:w="0" w:type="dxa"/>
              <w:right w:w="20" w:type="dxa"/>
            </w:tcMar>
            <w:vAlign w:val="bottom"/>
          </w:tcPr>
          <w:p w14:paraId="22CFDDE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E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E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E4"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40" w:type="dxa"/>
              <w:left w:w="20" w:type="dxa"/>
              <w:bottom w:w="40" w:type="dxa"/>
              <w:right w:w="20" w:type="dxa"/>
            </w:tcMar>
          </w:tcPr>
          <w:p w14:paraId="22CFDDE5"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DE6"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DDE7"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E8" w14:textId="77777777" w:rsidR="002661BA" w:rsidRDefault="00D972BC">
            <w:pPr>
              <w:jc w:val="center"/>
              <w:textAlignment w:val="top"/>
            </w:pPr>
            <w:r>
              <w:rPr>
                <w:rFonts w:ascii="Arial" w:eastAsia="宋体" w:hAnsi="Arial" w:cs="Arial"/>
                <w:color w:val="000000"/>
                <w:sz w:val="18"/>
                <w:szCs w:val="18"/>
              </w:rPr>
              <w:t>7/19/2012</w:t>
            </w:r>
          </w:p>
        </w:tc>
      </w:tr>
      <w:tr w:rsidR="002661BA" w14:paraId="22CFDDF1"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DE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E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EC"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DED"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DEE"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DEF"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DF0" w14:textId="77777777" w:rsidR="002661BA" w:rsidRDefault="002661BA">
            <w:pPr>
              <w:rPr>
                <w:rFonts w:ascii="宋体"/>
              </w:rPr>
            </w:pPr>
          </w:p>
        </w:tc>
      </w:tr>
      <w:tr w:rsidR="002661BA" w14:paraId="22CFDDFD" w14:textId="77777777">
        <w:trPr>
          <w:jc w:val="center"/>
        </w:trPr>
        <w:tc>
          <w:tcPr>
            <w:tcW w:w="0" w:type="auto"/>
            <w:gridSpan w:val="3"/>
            <w:shd w:val="clear" w:color="auto" w:fill="auto"/>
            <w:tcMar>
              <w:top w:w="40" w:type="dxa"/>
              <w:left w:w="20" w:type="dxa"/>
              <w:bottom w:w="40" w:type="dxa"/>
              <w:right w:w="20" w:type="dxa"/>
            </w:tcMar>
          </w:tcPr>
          <w:p w14:paraId="22CFDDF2" w14:textId="77777777" w:rsidR="002661BA" w:rsidRDefault="00D972BC">
            <w:pPr>
              <w:textAlignment w:val="top"/>
            </w:pPr>
            <w:r>
              <w:rPr>
                <w:rFonts w:ascii="Arial" w:eastAsia="宋体" w:hAnsi="Arial" w:cs="Arial"/>
                <w:color w:val="000000"/>
                <w:sz w:val="18"/>
                <w:szCs w:val="18"/>
              </w:rPr>
              <w:t>10.04+</w:t>
            </w:r>
          </w:p>
        </w:tc>
        <w:tc>
          <w:tcPr>
            <w:tcW w:w="0" w:type="auto"/>
            <w:gridSpan w:val="3"/>
            <w:shd w:val="clear" w:color="auto" w:fill="auto"/>
            <w:tcMar>
              <w:top w:w="0" w:type="dxa"/>
              <w:left w:w="20" w:type="dxa"/>
              <w:bottom w:w="0" w:type="dxa"/>
              <w:right w:w="20" w:type="dxa"/>
            </w:tcMar>
            <w:vAlign w:val="bottom"/>
          </w:tcPr>
          <w:p w14:paraId="22CFDDF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DF4" w14:textId="77777777" w:rsidR="002661BA" w:rsidRDefault="00D972BC">
            <w:pPr>
              <w:textAlignment w:val="bottom"/>
            </w:pPr>
            <w:hyperlink r:id="rId186" w:history="1">
              <w:r>
                <w:rPr>
                  <w:rStyle w:val="a5"/>
                  <w:rFonts w:ascii="Arial" w:eastAsia="宋体" w:hAnsi="Arial" w:cs="Arial"/>
                  <w:sz w:val="18"/>
                  <w:szCs w:val="18"/>
                </w:rPr>
                <w:t>Form of Director Award Agreement under Registrant’s 2003 Deferred Stock Unit Plan.</w:t>
              </w:r>
            </w:hyperlink>
          </w:p>
        </w:tc>
        <w:tc>
          <w:tcPr>
            <w:tcW w:w="0" w:type="auto"/>
            <w:gridSpan w:val="3"/>
            <w:shd w:val="clear" w:color="auto" w:fill="auto"/>
            <w:tcMar>
              <w:top w:w="0" w:type="dxa"/>
              <w:left w:w="20" w:type="dxa"/>
              <w:bottom w:w="0" w:type="dxa"/>
              <w:right w:w="20" w:type="dxa"/>
            </w:tcMar>
            <w:vAlign w:val="bottom"/>
          </w:tcPr>
          <w:p w14:paraId="22CFDDF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F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F7"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F8"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DDF9"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FA"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DDF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DFC" w14:textId="77777777" w:rsidR="002661BA" w:rsidRDefault="00D972BC">
            <w:pPr>
              <w:jc w:val="center"/>
              <w:textAlignment w:val="top"/>
            </w:pPr>
            <w:r>
              <w:rPr>
                <w:rFonts w:ascii="Arial" w:eastAsia="宋体" w:hAnsi="Arial" w:cs="Arial"/>
                <w:color w:val="000000"/>
                <w:sz w:val="18"/>
                <w:szCs w:val="18"/>
              </w:rPr>
              <w:t>7/19/2012</w:t>
            </w:r>
          </w:p>
        </w:tc>
      </w:tr>
      <w:tr w:rsidR="002661BA" w14:paraId="22CFDE09"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DF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DF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0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0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0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0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0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0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0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0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08" w14:textId="77777777" w:rsidR="002661BA" w:rsidRDefault="002661BA">
            <w:pPr>
              <w:rPr>
                <w:rFonts w:ascii="宋体"/>
              </w:rPr>
            </w:pPr>
          </w:p>
        </w:tc>
      </w:tr>
      <w:tr w:rsidR="002661BA" w14:paraId="22CFDE15" w14:textId="77777777">
        <w:trPr>
          <w:jc w:val="center"/>
        </w:trPr>
        <w:tc>
          <w:tcPr>
            <w:tcW w:w="0" w:type="auto"/>
            <w:gridSpan w:val="3"/>
            <w:shd w:val="clear" w:color="auto" w:fill="auto"/>
            <w:tcMar>
              <w:top w:w="40" w:type="dxa"/>
              <w:left w:w="20" w:type="dxa"/>
              <w:bottom w:w="40" w:type="dxa"/>
              <w:right w:w="20" w:type="dxa"/>
            </w:tcMar>
          </w:tcPr>
          <w:p w14:paraId="22CFDE0A" w14:textId="77777777" w:rsidR="002661BA" w:rsidRDefault="00D972BC">
            <w:pPr>
              <w:textAlignment w:val="top"/>
            </w:pPr>
            <w:r>
              <w:rPr>
                <w:rFonts w:ascii="Arial" w:eastAsia="宋体" w:hAnsi="Arial" w:cs="Arial"/>
                <w:color w:val="000000"/>
                <w:sz w:val="18"/>
                <w:szCs w:val="18"/>
              </w:rPr>
              <w:t>10.05+</w:t>
            </w:r>
          </w:p>
        </w:tc>
        <w:tc>
          <w:tcPr>
            <w:tcW w:w="0" w:type="auto"/>
            <w:gridSpan w:val="3"/>
            <w:shd w:val="clear" w:color="auto" w:fill="auto"/>
            <w:tcMar>
              <w:top w:w="40" w:type="dxa"/>
              <w:left w:w="20" w:type="dxa"/>
              <w:bottom w:w="40" w:type="dxa"/>
              <w:right w:w="20" w:type="dxa"/>
            </w:tcMar>
            <w:vAlign w:val="bottom"/>
          </w:tcPr>
          <w:p w14:paraId="22CFDE0B"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22CFDE0C" w14:textId="77777777" w:rsidR="002661BA" w:rsidRDefault="00D972BC">
            <w:pPr>
              <w:textAlignment w:val="bottom"/>
            </w:pPr>
            <w:hyperlink r:id="rId187" w:history="1">
              <w:r>
                <w:rPr>
                  <w:rStyle w:val="a5"/>
                  <w:rFonts w:ascii="Arial" w:eastAsia="宋体" w:hAnsi="Arial" w:cs="Arial"/>
                  <w:sz w:val="18"/>
                  <w:szCs w:val="18"/>
                </w:rPr>
                <w:t>Form of Electing Director Award Agreement under Registrant’s 2003 Deferred Stock Unit Plan.</w:t>
              </w:r>
            </w:hyperlink>
          </w:p>
        </w:tc>
        <w:tc>
          <w:tcPr>
            <w:tcW w:w="0" w:type="auto"/>
            <w:gridSpan w:val="3"/>
            <w:shd w:val="clear" w:color="auto" w:fill="auto"/>
            <w:tcMar>
              <w:top w:w="40" w:type="dxa"/>
              <w:left w:w="20" w:type="dxa"/>
              <w:bottom w:w="40" w:type="dxa"/>
              <w:right w:w="20" w:type="dxa"/>
            </w:tcMar>
            <w:vAlign w:val="bottom"/>
          </w:tcPr>
          <w:p w14:paraId="22CFDE0D"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DE0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E0F" w14:textId="77777777" w:rsidR="002661BA" w:rsidRDefault="00D972BC">
            <w:pP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E10"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40" w:type="dxa"/>
              <w:left w:w="20" w:type="dxa"/>
              <w:bottom w:w="40" w:type="dxa"/>
              <w:right w:w="20" w:type="dxa"/>
            </w:tcMar>
          </w:tcPr>
          <w:p w14:paraId="22CFDE11"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E12"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40" w:type="dxa"/>
              <w:left w:w="20" w:type="dxa"/>
              <w:bottom w:w="40" w:type="dxa"/>
              <w:right w:w="20" w:type="dxa"/>
            </w:tcMar>
          </w:tcPr>
          <w:p w14:paraId="22CFDE13"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E14" w14:textId="77777777" w:rsidR="002661BA" w:rsidRDefault="00D972BC">
            <w:pPr>
              <w:jc w:val="center"/>
              <w:textAlignment w:val="top"/>
            </w:pPr>
            <w:r>
              <w:rPr>
                <w:rFonts w:ascii="Arial" w:eastAsia="宋体" w:hAnsi="Arial" w:cs="Arial"/>
                <w:color w:val="000000"/>
                <w:sz w:val="18"/>
                <w:szCs w:val="18"/>
              </w:rPr>
              <w:t>7/19/2012</w:t>
            </w:r>
          </w:p>
        </w:tc>
      </w:tr>
      <w:tr w:rsidR="002661BA" w14:paraId="22CFDE1C"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E16"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E17"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E18"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E19"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E1A"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E1B" w14:textId="77777777" w:rsidR="002661BA" w:rsidRDefault="002661BA">
            <w:pPr>
              <w:rPr>
                <w:rFonts w:ascii="宋体"/>
              </w:rPr>
            </w:pPr>
          </w:p>
        </w:tc>
      </w:tr>
      <w:tr w:rsidR="002661BA" w14:paraId="22CFDE28" w14:textId="77777777">
        <w:trPr>
          <w:jc w:val="center"/>
        </w:trPr>
        <w:tc>
          <w:tcPr>
            <w:tcW w:w="0" w:type="auto"/>
            <w:gridSpan w:val="3"/>
            <w:shd w:val="clear" w:color="auto" w:fill="auto"/>
            <w:tcMar>
              <w:top w:w="40" w:type="dxa"/>
              <w:left w:w="20" w:type="dxa"/>
              <w:bottom w:w="40" w:type="dxa"/>
              <w:right w:w="20" w:type="dxa"/>
            </w:tcMar>
          </w:tcPr>
          <w:p w14:paraId="22CFDE1D" w14:textId="77777777" w:rsidR="002661BA" w:rsidRDefault="00D972BC">
            <w:pPr>
              <w:textAlignment w:val="top"/>
            </w:pPr>
            <w:r>
              <w:rPr>
                <w:rFonts w:ascii="Arial" w:eastAsia="宋体" w:hAnsi="Arial" w:cs="Arial"/>
                <w:color w:val="000000"/>
                <w:sz w:val="18"/>
                <w:szCs w:val="18"/>
              </w:rPr>
              <w:t>10.06+</w:t>
            </w:r>
          </w:p>
        </w:tc>
        <w:tc>
          <w:tcPr>
            <w:tcW w:w="0" w:type="auto"/>
            <w:gridSpan w:val="3"/>
            <w:shd w:val="clear" w:color="auto" w:fill="auto"/>
            <w:tcMar>
              <w:top w:w="40" w:type="dxa"/>
              <w:left w:w="20" w:type="dxa"/>
              <w:bottom w:w="40" w:type="dxa"/>
              <w:right w:w="20" w:type="dxa"/>
            </w:tcMar>
            <w:vAlign w:val="bottom"/>
          </w:tcPr>
          <w:p w14:paraId="22CFDE1E"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22CFDE1F" w14:textId="77777777" w:rsidR="002661BA" w:rsidRDefault="00D972BC">
            <w:pPr>
              <w:textAlignment w:val="bottom"/>
            </w:pPr>
            <w:hyperlink r:id="rId188" w:history="1">
              <w:r>
                <w:rPr>
                  <w:rStyle w:val="a5"/>
                  <w:rFonts w:ascii="Arial" w:eastAsia="宋体" w:hAnsi="Arial" w:cs="Arial"/>
                  <w:sz w:val="18"/>
                  <w:szCs w:val="18"/>
                </w:rPr>
                <w:t>Form of New Director Award Agreement under Registrant’s 2003 Deferred Stock Unit Plan.</w:t>
              </w:r>
            </w:hyperlink>
          </w:p>
        </w:tc>
        <w:tc>
          <w:tcPr>
            <w:tcW w:w="0" w:type="auto"/>
            <w:gridSpan w:val="3"/>
            <w:shd w:val="clear" w:color="auto" w:fill="auto"/>
            <w:tcMar>
              <w:top w:w="40" w:type="dxa"/>
              <w:left w:w="20" w:type="dxa"/>
              <w:bottom w:w="40" w:type="dxa"/>
              <w:right w:w="20" w:type="dxa"/>
            </w:tcMar>
            <w:vAlign w:val="bottom"/>
          </w:tcPr>
          <w:p w14:paraId="22CFDE20"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DE2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E22" w14:textId="77777777" w:rsidR="002661BA" w:rsidRDefault="00D972BC">
            <w:pP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E23"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40" w:type="dxa"/>
              <w:left w:w="20" w:type="dxa"/>
              <w:bottom w:w="40" w:type="dxa"/>
              <w:right w:w="20" w:type="dxa"/>
            </w:tcMar>
          </w:tcPr>
          <w:p w14:paraId="22CFDE24"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E25"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40" w:type="dxa"/>
              <w:left w:w="20" w:type="dxa"/>
              <w:bottom w:w="40" w:type="dxa"/>
              <w:right w:w="20" w:type="dxa"/>
            </w:tcMar>
          </w:tcPr>
          <w:p w14:paraId="22CFDE26"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E27" w14:textId="77777777" w:rsidR="002661BA" w:rsidRDefault="00D972BC">
            <w:pPr>
              <w:jc w:val="center"/>
              <w:textAlignment w:val="top"/>
            </w:pPr>
            <w:r>
              <w:rPr>
                <w:rFonts w:ascii="Arial" w:eastAsia="宋体" w:hAnsi="Arial" w:cs="Arial"/>
                <w:color w:val="000000"/>
                <w:sz w:val="18"/>
                <w:szCs w:val="18"/>
              </w:rPr>
              <w:t>7/19/2012</w:t>
            </w:r>
          </w:p>
        </w:tc>
      </w:tr>
      <w:tr w:rsidR="002661BA" w14:paraId="22CFDE30"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E2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2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2B"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E2C"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E2D"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E2E"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E2F" w14:textId="77777777" w:rsidR="002661BA" w:rsidRDefault="002661BA">
            <w:pPr>
              <w:rPr>
                <w:rFonts w:ascii="宋体"/>
              </w:rPr>
            </w:pPr>
          </w:p>
        </w:tc>
      </w:tr>
      <w:tr w:rsidR="002661BA" w14:paraId="22CFDE3C" w14:textId="77777777">
        <w:trPr>
          <w:jc w:val="center"/>
        </w:trPr>
        <w:tc>
          <w:tcPr>
            <w:tcW w:w="0" w:type="auto"/>
            <w:gridSpan w:val="3"/>
            <w:shd w:val="clear" w:color="auto" w:fill="auto"/>
            <w:tcMar>
              <w:top w:w="40" w:type="dxa"/>
              <w:left w:w="20" w:type="dxa"/>
              <w:bottom w:w="40" w:type="dxa"/>
              <w:right w:w="20" w:type="dxa"/>
            </w:tcMar>
          </w:tcPr>
          <w:p w14:paraId="22CFDE31" w14:textId="77777777" w:rsidR="002661BA" w:rsidRDefault="00D972BC">
            <w:pPr>
              <w:textAlignment w:val="top"/>
            </w:pPr>
            <w:r>
              <w:rPr>
                <w:rFonts w:ascii="Arial" w:eastAsia="宋体" w:hAnsi="Arial" w:cs="Arial"/>
                <w:color w:val="000000"/>
                <w:sz w:val="18"/>
                <w:szCs w:val="18"/>
              </w:rPr>
              <w:t>10.07+</w:t>
            </w:r>
          </w:p>
        </w:tc>
        <w:tc>
          <w:tcPr>
            <w:tcW w:w="0" w:type="auto"/>
            <w:gridSpan w:val="3"/>
            <w:shd w:val="clear" w:color="auto" w:fill="auto"/>
            <w:tcMar>
              <w:top w:w="40" w:type="dxa"/>
              <w:left w:w="20" w:type="dxa"/>
              <w:bottom w:w="40" w:type="dxa"/>
              <w:right w:w="20" w:type="dxa"/>
            </w:tcMar>
            <w:vAlign w:val="bottom"/>
          </w:tcPr>
          <w:p w14:paraId="22CFDE32"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22CFDE33" w14:textId="77777777" w:rsidR="002661BA" w:rsidRDefault="00D972BC">
            <w:pPr>
              <w:textAlignment w:val="bottom"/>
            </w:pPr>
            <w:hyperlink r:id="rId189" w:history="1">
              <w:r>
                <w:rPr>
                  <w:rStyle w:val="a5"/>
                  <w:rFonts w:ascii="Arial" w:eastAsia="宋体" w:hAnsi="Arial" w:cs="Arial"/>
                  <w:sz w:val="18"/>
                  <w:szCs w:val="18"/>
                </w:rPr>
                <w:t>Form of 2003 Deferred Stock Unit Plan Restricted Stock Unit Grant Notice and Agreement.</w:t>
              </w:r>
            </w:hyperlink>
          </w:p>
        </w:tc>
        <w:tc>
          <w:tcPr>
            <w:tcW w:w="0" w:type="auto"/>
            <w:gridSpan w:val="3"/>
            <w:shd w:val="clear" w:color="auto" w:fill="auto"/>
            <w:tcMar>
              <w:top w:w="40" w:type="dxa"/>
              <w:left w:w="20" w:type="dxa"/>
              <w:bottom w:w="40" w:type="dxa"/>
              <w:right w:w="20" w:type="dxa"/>
            </w:tcMar>
            <w:vAlign w:val="bottom"/>
          </w:tcPr>
          <w:p w14:paraId="22CFDE34"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DE35"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E36" w14:textId="77777777" w:rsidR="002661BA" w:rsidRDefault="00D972BC">
            <w:pP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E37" w14:textId="77777777" w:rsidR="002661BA" w:rsidRDefault="00D972BC">
            <w:pPr>
              <w:jc w:val="center"/>
              <w:textAlignment w:val="top"/>
            </w:pPr>
            <w:r>
              <w:rPr>
                <w:rFonts w:ascii="Arial" w:eastAsia="宋体" w:hAnsi="Arial" w:cs="Arial"/>
                <w:color w:val="000000"/>
                <w:sz w:val="18"/>
                <w:szCs w:val="18"/>
              </w:rPr>
              <w:t>10-Q/A</w:t>
            </w:r>
          </w:p>
        </w:tc>
        <w:tc>
          <w:tcPr>
            <w:tcW w:w="0" w:type="auto"/>
            <w:gridSpan w:val="3"/>
            <w:shd w:val="clear" w:color="auto" w:fill="auto"/>
            <w:tcMar>
              <w:top w:w="40" w:type="dxa"/>
              <w:left w:w="20" w:type="dxa"/>
              <w:bottom w:w="40" w:type="dxa"/>
              <w:right w:w="20" w:type="dxa"/>
            </w:tcMar>
          </w:tcPr>
          <w:p w14:paraId="22CFDE38"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E39"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40" w:type="dxa"/>
              <w:left w:w="20" w:type="dxa"/>
              <w:bottom w:w="40" w:type="dxa"/>
              <w:right w:w="20" w:type="dxa"/>
            </w:tcMar>
          </w:tcPr>
          <w:p w14:paraId="22CFDE3A"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E3B" w14:textId="77777777" w:rsidR="002661BA" w:rsidRDefault="00D972BC">
            <w:pPr>
              <w:jc w:val="center"/>
              <w:textAlignment w:val="top"/>
            </w:pPr>
            <w:r>
              <w:rPr>
                <w:rFonts w:ascii="Arial" w:eastAsia="宋体" w:hAnsi="Arial" w:cs="Arial"/>
                <w:color w:val="000000"/>
                <w:sz w:val="18"/>
                <w:szCs w:val="18"/>
              </w:rPr>
              <w:t>4/24/2008</w:t>
            </w:r>
          </w:p>
        </w:tc>
      </w:tr>
      <w:tr w:rsidR="002661BA" w14:paraId="22CFDE44"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E3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3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3F"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E40"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E41"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E42"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E43" w14:textId="77777777" w:rsidR="002661BA" w:rsidRDefault="002661BA">
            <w:pPr>
              <w:rPr>
                <w:rFonts w:ascii="宋体"/>
              </w:rPr>
            </w:pPr>
          </w:p>
        </w:tc>
      </w:tr>
      <w:tr w:rsidR="002661BA" w14:paraId="22CFDE50" w14:textId="77777777">
        <w:trPr>
          <w:jc w:val="center"/>
        </w:trPr>
        <w:tc>
          <w:tcPr>
            <w:tcW w:w="0" w:type="auto"/>
            <w:gridSpan w:val="3"/>
            <w:shd w:val="clear" w:color="auto" w:fill="auto"/>
            <w:tcMar>
              <w:top w:w="40" w:type="dxa"/>
              <w:left w:w="20" w:type="dxa"/>
              <w:bottom w:w="40" w:type="dxa"/>
              <w:right w:w="20" w:type="dxa"/>
            </w:tcMar>
          </w:tcPr>
          <w:p w14:paraId="22CFDE45" w14:textId="77777777" w:rsidR="002661BA" w:rsidRDefault="00D972BC">
            <w:pPr>
              <w:textAlignment w:val="top"/>
            </w:pPr>
            <w:r>
              <w:rPr>
                <w:rFonts w:ascii="Arial" w:eastAsia="宋体" w:hAnsi="Arial" w:cs="Arial"/>
                <w:color w:val="000000"/>
                <w:sz w:val="18"/>
                <w:szCs w:val="18"/>
              </w:rPr>
              <w:t>10.08+</w:t>
            </w:r>
          </w:p>
        </w:tc>
        <w:tc>
          <w:tcPr>
            <w:tcW w:w="0" w:type="auto"/>
            <w:gridSpan w:val="3"/>
            <w:shd w:val="clear" w:color="auto" w:fill="auto"/>
            <w:tcMar>
              <w:top w:w="40" w:type="dxa"/>
              <w:left w:w="20" w:type="dxa"/>
              <w:bottom w:w="40" w:type="dxa"/>
              <w:right w:w="20" w:type="dxa"/>
            </w:tcMar>
            <w:vAlign w:val="bottom"/>
          </w:tcPr>
          <w:p w14:paraId="22CFDE46"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22CFDE47" w14:textId="77777777" w:rsidR="002661BA" w:rsidRDefault="00D972BC">
            <w:pPr>
              <w:textAlignment w:val="bottom"/>
            </w:pPr>
            <w:hyperlink r:id="rId190" w:history="1">
              <w:r>
                <w:rPr>
                  <w:rStyle w:val="a5"/>
                  <w:rFonts w:ascii="Arial" w:eastAsia="宋体" w:hAnsi="Arial" w:cs="Arial"/>
                  <w:sz w:val="18"/>
                  <w:szCs w:val="18"/>
                </w:rPr>
                <w:t>Registrant’s 2008 Equity Incentive Award Plan, as amended and restated.</w:t>
              </w:r>
            </w:hyperlink>
          </w:p>
        </w:tc>
        <w:tc>
          <w:tcPr>
            <w:tcW w:w="0" w:type="auto"/>
            <w:gridSpan w:val="3"/>
            <w:shd w:val="clear" w:color="auto" w:fill="auto"/>
            <w:tcMar>
              <w:top w:w="40" w:type="dxa"/>
              <w:left w:w="20" w:type="dxa"/>
              <w:bottom w:w="40" w:type="dxa"/>
              <w:right w:w="20" w:type="dxa"/>
            </w:tcMar>
            <w:vAlign w:val="bottom"/>
          </w:tcPr>
          <w:p w14:paraId="22CFDE48"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DE49"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E4A" w14:textId="77777777" w:rsidR="002661BA" w:rsidRDefault="00D972BC">
            <w:pP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E4B"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40" w:type="dxa"/>
              <w:left w:w="20" w:type="dxa"/>
              <w:bottom w:w="40" w:type="dxa"/>
              <w:right w:w="20" w:type="dxa"/>
            </w:tcMar>
          </w:tcPr>
          <w:p w14:paraId="22CFDE4C"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E4D"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E4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E4F" w14:textId="77777777" w:rsidR="002661BA" w:rsidRDefault="00D972BC">
            <w:pPr>
              <w:jc w:val="center"/>
              <w:textAlignment w:val="top"/>
            </w:pPr>
            <w:r>
              <w:rPr>
                <w:rFonts w:ascii="Arial" w:eastAsia="宋体" w:hAnsi="Arial" w:cs="Arial"/>
                <w:color w:val="000000"/>
                <w:sz w:val="18"/>
                <w:szCs w:val="18"/>
              </w:rPr>
              <w:t>4/27/2016</w:t>
            </w:r>
          </w:p>
        </w:tc>
      </w:tr>
      <w:tr w:rsidR="002661BA" w14:paraId="22CFDE58"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E5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5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53"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E54"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E55"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E56"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DE57" w14:textId="77777777" w:rsidR="002661BA" w:rsidRDefault="002661BA">
            <w:pPr>
              <w:rPr>
                <w:rFonts w:ascii="宋体"/>
              </w:rPr>
            </w:pPr>
          </w:p>
        </w:tc>
      </w:tr>
      <w:tr w:rsidR="002661BA" w14:paraId="22CFDE64" w14:textId="77777777">
        <w:trPr>
          <w:jc w:val="center"/>
        </w:trPr>
        <w:tc>
          <w:tcPr>
            <w:tcW w:w="0" w:type="auto"/>
            <w:gridSpan w:val="3"/>
            <w:shd w:val="clear" w:color="auto" w:fill="auto"/>
            <w:tcMar>
              <w:top w:w="40" w:type="dxa"/>
              <w:left w:w="20" w:type="dxa"/>
              <w:bottom w:w="40" w:type="dxa"/>
              <w:right w:w="20" w:type="dxa"/>
            </w:tcMar>
          </w:tcPr>
          <w:p w14:paraId="22CFDE59" w14:textId="77777777" w:rsidR="002661BA" w:rsidRDefault="00D972BC">
            <w:pPr>
              <w:textAlignment w:val="top"/>
            </w:pPr>
            <w:r>
              <w:rPr>
                <w:rFonts w:ascii="Arial" w:eastAsia="宋体" w:hAnsi="Arial" w:cs="Arial"/>
                <w:color w:val="000000"/>
                <w:sz w:val="18"/>
                <w:szCs w:val="18"/>
              </w:rPr>
              <w:t>10.09+</w:t>
            </w:r>
          </w:p>
        </w:tc>
        <w:tc>
          <w:tcPr>
            <w:tcW w:w="0" w:type="auto"/>
            <w:gridSpan w:val="3"/>
            <w:shd w:val="clear" w:color="auto" w:fill="auto"/>
            <w:tcMar>
              <w:top w:w="0" w:type="dxa"/>
              <w:left w:w="20" w:type="dxa"/>
              <w:bottom w:w="0" w:type="dxa"/>
              <w:right w:w="20" w:type="dxa"/>
            </w:tcMar>
            <w:vAlign w:val="bottom"/>
          </w:tcPr>
          <w:p w14:paraId="22CFDE5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E5B" w14:textId="77777777" w:rsidR="002661BA" w:rsidRDefault="00D972BC">
            <w:pPr>
              <w:textAlignment w:val="bottom"/>
            </w:pPr>
            <w:hyperlink r:id="rId191" w:history="1">
              <w:r>
                <w:rPr>
                  <w:rStyle w:val="a5"/>
                  <w:rFonts w:ascii="Arial" w:eastAsia="宋体" w:hAnsi="Arial" w:cs="Arial"/>
                  <w:sz w:val="18"/>
                  <w:szCs w:val="18"/>
                </w:rPr>
                <w:t>Form of Restricted Stock Unit Award Agreement under Registrant’s 2003 Deferred Stock Unit Plan and Registrant’s 2008 Equity Incentive Plan.</w:t>
              </w:r>
            </w:hyperlink>
          </w:p>
        </w:tc>
        <w:tc>
          <w:tcPr>
            <w:tcW w:w="0" w:type="auto"/>
            <w:gridSpan w:val="3"/>
            <w:shd w:val="clear" w:color="auto" w:fill="auto"/>
            <w:tcMar>
              <w:top w:w="0" w:type="dxa"/>
              <w:left w:w="20" w:type="dxa"/>
              <w:bottom w:w="0" w:type="dxa"/>
              <w:right w:w="20" w:type="dxa"/>
            </w:tcMar>
            <w:vAlign w:val="bottom"/>
          </w:tcPr>
          <w:p w14:paraId="22CFDE5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5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5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E5F"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DE6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E61"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DE6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E63" w14:textId="77777777" w:rsidR="002661BA" w:rsidRDefault="00D972BC">
            <w:pPr>
              <w:jc w:val="center"/>
              <w:textAlignment w:val="top"/>
            </w:pPr>
            <w:r>
              <w:rPr>
                <w:rFonts w:ascii="Arial" w:eastAsia="宋体" w:hAnsi="Arial" w:cs="Arial"/>
                <w:color w:val="000000"/>
                <w:sz w:val="18"/>
                <w:szCs w:val="18"/>
              </w:rPr>
              <w:t>7/19/2012</w:t>
            </w:r>
          </w:p>
        </w:tc>
      </w:tr>
      <w:tr w:rsidR="002661BA" w14:paraId="22CFDE70"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E6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6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6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6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6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6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6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6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6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6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6F" w14:textId="77777777" w:rsidR="002661BA" w:rsidRDefault="002661BA">
            <w:pPr>
              <w:rPr>
                <w:rFonts w:ascii="宋体"/>
              </w:rPr>
            </w:pPr>
          </w:p>
        </w:tc>
      </w:tr>
      <w:tr w:rsidR="002661BA" w14:paraId="22CFDE7C" w14:textId="77777777">
        <w:trPr>
          <w:jc w:val="center"/>
        </w:trPr>
        <w:tc>
          <w:tcPr>
            <w:tcW w:w="0" w:type="auto"/>
            <w:gridSpan w:val="3"/>
            <w:shd w:val="clear" w:color="auto" w:fill="auto"/>
            <w:tcMar>
              <w:top w:w="40" w:type="dxa"/>
              <w:left w:w="20" w:type="dxa"/>
              <w:bottom w:w="40" w:type="dxa"/>
              <w:right w:w="20" w:type="dxa"/>
            </w:tcMar>
          </w:tcPr>
          <w:p w14:paraId="22CFDE71" w14:textId="77777777" w:rsidR="002661BA" w:rsidRDefault="00D972BC">
            <w:pPr>
              <w:textAlignment w:val="top"/>
            </w:pPr>
            <w:r>
              <w:rPr>
                <w:rFonts w:ascii="Arial" w:eastAsia="宋体" w:hAnsi="Arial" w:cs="Arial"/>
                <w:color w:val="000000"/>
                <w:sz w:val="18"/>
                <w:szCs w:val="18"/>
              </w:rPr>
              <w:t>10.10+</w:t>
            </w:r>
          </w:p>
        </w:tc>
        <w:tc>
          <w:tcPr>
            <w:tcW w:w="0" w:type="auto"/>
            <w:gridSpan w:val="3"/>
            <w:shd w:val="clear" w:color="auto" w:fill="auto"/>
            <w:tcMar>
              <w:top w:w="0" w:type="dxa"/>
              <w:left w:w="20" w:type="dxa"/>
              <w:bottom w:w="0" w:type="dxa"/>
              <w:right w:w="20" w:type="dxa"/>
            </w:tcMar>
            <w:vAlign w:val="bottom"/>
          </w:tcPr>
          <w:p w14:paraId="22CFDE7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E73" w14:textId="77777777" w:rsidR="002661BA" w:rsidRDefault="00D972BC">
            <w:pPr>
              <w:textAlignment w:val="bottom"/>
            </w:pPr>
            <w:hyperlink r:id="rId192" w:history="1">
              <w:r>
                <w:rPr>
                  <w:rStyle w:val="a5"/>
                  <w:rFonts w:ascii="Arial" w:eastAsia="宋体" w:hAnsi="Arial" w:cs="Arial"/>
                  <w:sz w:val="18"/>
                  <w:szCs w:val="18"/>
                </w:rPr>
                <w:t>Form of Restricted Stock Unit Award Agreement (with Modified Vesting) under Registrant’s 2008 Equity Incentive Award Plan.</w:t>
              </w:r>
            </w:hyperlink>
          </w:p>
        </w:tc>
        <w:tc>
          <w:tcPr>
            <w:tcW w:w="0" w:type="auto"/>
            <w:gridSpan w:val="3"/>
            <w:shd w:val="clear" w:color="auto" w:fill="auto"/>
            <w:tcMar>
              <w:top w:w="0" w:type="dxa"/>
              <w:left w:w="20" w:type="dxa"/>
              <w:bottom w:w="0" w:type="dxa"/>
              <w:right w:w="20" w:type="dxa"/>
            </w:tcMar>
            <w:vAlign w:val="bottom"/>
          </w:tcPr>
          <w:p w14:paraId="22CFDE7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7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7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E77"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40" w:type="dxa"/>
              <w:left w:w="20" w:type="dxa"/>
              <w:bottom w:w="40" w:type="dxa"/>
              <w:right w:w="20" w:type="dxa"/>
            </w:tcMar>
          </w:tcPr>
          <w:p w14:paraId="22CFDE78"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E79"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40" w:type="dxa"/>
              <w:left w:w="20" w:type="dxa"/>
              <w:bottom w:w="40" w:type="dxa"/>
              <w:right w:w="20" w:type="dxa"/>
            </w:tcMar>
          </w:tcPr>
          <w:p w14:paraId="22CFDE7A"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E7B" w14:textId="77777777" w:rsidR="002661BA" w:rsidRDefault="00D972BC">
            <w:pPr>
              <w:jc w:val="center"/>
              <w:textAlignment w:val="top"/>
            </w:pPr>
            <w:r>
              <w:rPr>
                <w:rFonts w:ascii="Arial" w:eastAsia="宋体" w:hAnsi="Arial" w:cs="Arial"/>
                <w:color w:val="000000"/>
                <w:sz w:val="18"/>
                <w:szCs w:val="18"/>
              </w:rPr>
              <w:t>7/19/2012</w:t>
            </w:r>
          </w:p>
        </w:tc>
      </w:tr>
      <w:tr w:rsidR="002661BA" w14:paraId="22CFDE88"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E7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7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7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8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8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8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8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8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8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8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87" w14:textId="77777777" w:rsidR="002661BA" w:rsidRDefault="002661BA">
            <w:pPr>
              <w:rPr>
                <w:rFonts w:ascii="宋体"/>
              </w:rPr>
            </w:pPr>
          </w:p>
        </w:tc>
      </w:tr>
      <w:tr w:rsidR="002661BA" w14:paraId="22CFDE94" w14:textId="77777777">
        <w:trPr>
          <w:jc w:val="center"/>
        </w:trPr>
        <w:tc>
          <w:tcPr>
            <w:tcW w:w="0" w:type="auto"/>
            <w:gridSpan w:val="3"/>
            <w:shd w:val="clear" w:color="auto" w:fill="auto"/>
            <w:tcMar>
              <w:top w:w="40" w:type="dxa"/>
              <w:left w:w="20" w:type="dxa"/>
              <w:bottom w:w="40" w:type="dxa"/>
              <w:right w:w="20" w:type="dxa"/>
            </w:tcMar>
          </w:tcPr>
          <w:p w14:paraId="22CFDE89" w14:textId="77777777" w:rsidR="002661BA" w:rsidRDefault="00D972BC">
            <w:pPr>
              <w:textAlignment w:val="top"/>
            </w:pPr>
            <w:r>
              <w:rPr>
                <w:rFonts w:ascii="Arial" w:eastAsia="宋体" w:hAnsi="Arial" w:cs="Arial"/>
                <w:color w:val="000000"/>
                <w:sz w:val="18"/>
                <w:szCs w:val="18"/>
              </w:rPr>
              <w:t>10.11+</w:t>
            </w:r>
          </w:p>
        </w:tc>
        <w:tc>
          <w:tcPr>
            <w:tcW w:w="0" w:type="auto"/>
            <w:gridSpan w:val="3"/>
            <w:shd w:val="clear" w:color="auto" w:fill="auto"/>
            <w:tcMar>
              <w:top w:w="0" w:type="dxa"/>
              <w:left w:w="20" w:type="dxa"/>
              <w:bottom w:w="0" w:type="dxa"/>
              <w:right w:w="20" w:type="dxa"/>
            </w:tcMar>
            <w:vAlign w:val="bottom"/>
          </w:tcPr>
          <w:p w14:paraId="22CFDE8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E8B" w14:textId="77777777" w:rsidR="002661BA" w:rsidRDefault="00D972BC">
            <w:pPr>
              <w:textAlignment w:val="bottom"/>
            </w:pPr>
            <w:hyperlink r:id="rId193" w:history="1">
              <w:r>
                <w:rPr>
                  <w:rStyle w:val="a5"/>
                  <w:rFonts w:ascii="Arial" w:eastAsia="宋体" w:hAnsi="Arial" w:cs="Arial"/>
                  <w:sz w:val="18"/>
                  <w:szCs w:val="18"/>
                </w:rPr>
                <w:t>Form of Stock Option Agreement under Registrant’s 2008 Equity Incentive Award Plan.</w:t>
              </w:r>
            </w:hyperlink>
          </w:p>
        </w:tc>
        <w:tc>
          <w:tcPr>
            <w:tcW w:w="0" w:type="auto"/>
            <w:gridSpan w:val="3"/>
            <w:shd w:val="clear" w:color="auto" w:fill="auto"/>
            <w:tcMar>
              <w:top w:w="0" w:type="dxa"/>
              <w:left w:w="20" w:type="dxa"/>
              <w:bottom w:w="0" w:type="dxa"/>
              <w:right w:w="20" w:type="dxa"/>
            </w:tcMar>
            <w:vAlign w:val="bottom"/>
          </w:tcPr>
          <w:p w14:paraId="22CFDE8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8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8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E8F"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DE9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E91"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DE9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E93" w14:textId="77777777" w:rsidR="002661BA" w:rsidRDefault="00D972BC">
            <w:pPr>
              <w:jc w:val="center"/>
              <w:textAlignment w:val="top"/>
            </w:pPr>
            <w:r>
              <w:rPr>
                <w:rFonts w:ascii="Arial" w:eastAsia="宋体" w:hAnsi="Arial" w:cs="Arial"/>
                <w:color w:val="000000"/>
                <w:sz w:val="18"/>
                <w:szCs w:val="18"/>
              </w:rPr>
              <w:t>7/19/2012</w:t>
            </w:r>
          </w:p>
        </w:tc>
      </w:tr>
      <w:tr w:rsidR="002661BA" w14:paraId="22CFDEA0"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E9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9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9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9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9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9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9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9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9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9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9F" w14:textId="77777777" w:rsidR="002661BA" w:rsidRDefault="002661BA">
            <w:pPr>
              <w:rPr>
                <w:rFonts w:ascii="宋体"/>
              </w:rPr>
            </w:pPr>
          </w:p>
        </w:tc>
      </w:tr>
      <w:tr w:rsidR="002661BA" w14:paraId="22CFDEAC" w14:textId="77777777">
        <w:trPr>
          <w:jc w:val="center"/>
        </w:trPr>
        <w:tc>
          <w:tcPr>
            <w:tcW w:w="0" w:type="auto"/>
            <w:gridSpan w:val="3"/>
            <w:shd w:val="clear" w:color="auto" w:fill="auto"/>
            <w:tcMar>
              <w:top w:w="40" w:type="dxa"/>
              <w:left w:w="20" w:type="dxa"/>
              <w:bottom w:w="40" w:type="dxa"/>
              <w:right w:w="20" w:type="dxa"/>
            </w:tcMar>
          </w:tcPr>
          <w:p w14:paraId="22CFDEA1" w14:textId="77777777" w:rsidR="002661BA" w:rsidRDefault="00D972BC">
            <w:pPr>
              <w:textAlignment w:val="top"/>
            </w:pPr>
            <w:r>
              <w:rPr>
                <w:rFonts w:ascii="Arial" w:eastAsia="宋体" w:hAnsi="Arial" w:cs="Arial"/>
                <w:color w:val="000000"/>
                <w:sz w:val="18"/>
                <w:szCs w:val="18"/>
              </w:rPr>
              <w:t>10.12+</w:t>
            </w:r>
          </w:p>
        </w:tc>
        <w:tc>
          <w:tcPr>
            <w:tcW w:w="0" w:type="auto"/>
            <w:gridSpan w:val="3"/>
            <w:shd w:val="clear" w:color="auto" w:fill="auto"/>
            <w:tcMar>
              <w:top w:w="0" w:type="dxa"/>
              <w:left w:w="20" w:type="dxa"/>
              <w:bottom w:w="0" w:type="dxa"/>
              <w:right w:w="20" w:type="dxa"/>
            </w:tcMar>
            <w:vAlign w:val="bottom"/>
          </w:tcPr>
          <w:p w14:paraId="22CFDEA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EA3" w14:textId="77777777" w:rsidR="002661BA" w:rsidRDefault="00D972BC">
            <w:pPr>
              <w:textAlignment w:val="bottom"/>
            </w:pPr>
            <w:hyperlink r:id="rId194" w:history="1">
              <w:r>
                <w:rPr>
                  <w:rStyle w:val="a5"/>
                  <w:rFonts w:ascii="Arial" w:eastAsia="宋体" w:hAnsi="Arial" w:cs="Arial"/>
                  <w:sz w:val="18"/>
                  <w:szCs w:val="18"/>
                </w:rPr>
                <w:t>Form of Stock Option Agreement (with Modified Vesting) under Registrant’s 2008 Equity Incentive Award Plan.</w:t>
              </w:r>
            </w:hyperlink>
          </w:p>
        </w:tc>
        <w:tc>
          <w:tcPr>
            <w:tcW w:w="0" w:type="auto"/>
            <w:gridSpan w:val="3"/>
            <w:shd w:val="clear" w:color="auto" w:fill="auto"/>
            <w:tcMar>
              <w:top w:w="0" w:type="dxa"/>
              <w:left w:w="20" w:type="dxa"/>
              <w:bottom w:w="0" w:type="dxa"/>
              <w:right w:w="20" w:type="dxa"/>
            </w:tcMar>
            <w:vAlign w:val="bottom"/>
          </w:tcPr>
          <w:p w14:paraId="22CFDEA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A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A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EA7"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40" w:type="dxa"/>
              <w:left w:w="20" w:type="dxa"/>
              <w:bottom w:w="40" w:type="dxa"/>
              <w:right w:w="20" w:type="dxa"/>
            </w:tcMar>
          </w:tcPr>
          <w:p w14:paraId="22CFDEA8"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EA9"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40" w:type="dxa"/>
              <w:left w:w="20" w:type="dxa"/>
              <w:bottom w:w="40" w:type="dxa"/>
              <w:right w:w="20" w:type="dxa"/>
            </w:tcMar>
          </w:tcPr>
          <w:p w14:paraId="22CFDEAA"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EAB" w14:textId="77777777" w:rsidR="002661BA" w:rsidRDefault="00D972BC">
            <w:pPr>
              <w:jc w:val="center"/>
              <w:textAlignment w:val="top"/>
            </w:pPr>
            <w:r>
              <w:rPr>
                <w:rFonts w:ascii="Arial" w:eastAsia="宋体" w:hAnsi="Arial" w:cs="Arial"/>
                <w:color w:val="000000"/>
                <w:sz w:val="18"/>
                <w:szCs w:val="18"/>
              </w:rPr>
              <w:t>7/19/2012</w:t>
            </w:r>
          </w:p>
        </w:tc>
      </w:tr>
      <w:tr w:rsidR="002661BA" w14:paraId="22CFDEB8"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EA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A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A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B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B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B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B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B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B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B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B7" w14:textId="77777777" w:rsidR="002661BA" w:rsidRDefault="002661BA">
            <w:pPr>
              <w:rPr>
                <w:rFonts w:ascii="宋体"/>
              </w:rPr>
            </w:pPr>
          </w:p>
        </w:tc>
      </w:tr>
      <w:tr w:rsidR="002661BA" w14:paraId="22CFDEC4" w14:textId="77777777">
        <w:trPr>
          <w:jc w:val="center"/>
        </w:trPr>
        <w:tc>
          <w:tcPr>
            <w:tcW w:w="0" w:type="auto"/>
            <w:gridSpan w:val="3"/>
            <w:shd w:val="clear" w:color="auto" w:fill="auto"/>
            <w:tcMar>
              <w:top w:w="40" w:type="dxa"/>
              <w:left w:w="20" w:type="dxa"/>
              <w:bottom w:w="40" w:type="dxa"/>
              <w:right w:w="20" w:type="dxa"/>
            </w:tcMar>
          </w:tcPr>
          <w:p w14:paraId="22CFDEB9" w14:textId="77777777" w:rsidR="002661BA" w:rsidRDefault="00D972BC">
            <w:pPr>
              <w:textAlignment w:val="top"/>
            </w:pPr>
            <w:r>
              <w:rPr>
                <w:rFonts w:ascii="Arial" w:eastAsia="宋体" w:hAnsi="Arial" w:cs="Arial"/>
                <w:color w:val="000000"/>
                <w:sz w:val="18"/>
                <w:szCs w:val="18"/>
              </w:rPr>
              <w:t>10.13+</w:t>
            </w:r>
          </w:p>
        </w:tc>
        <w:tc>
          <w:tcPr>
            <w:tcW w:w="0" w:type="auto"/>
            <w:gridSpan w:val="3"/>
            <w:shd w:val="clear" w:color="auto" w:fill="auto"/>
            <w:tcMar>
              <w:top w:w="0" w:type="dxa"/>
              <w:left w:w="20" w:type="dxa"/>
              <w:bottom w:w="0" w:type="dxa"/>
              <w:right w:w="20" w:type="dxa"/>
            </w:tcMar>
            <w:vAlign w:val="bottom"/>
          </w:tcPr>
          <w:p w14:paraId="22CFDEB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EBB" w14:textId="77777777" w:rsidR="002661BA" w:rsidRDefault="00D972BC">
            <w:pPr>
              <w:textAlignment w:val="bottom"/>
            </w:pPr>
            <w:hyperlink r:id="rId195" w:history="1">
              <w:r>
                <w:rPr>
                  <w:rStyle w:val="a5"/>
                  <w:rFonts w:ascii="Arial" w:eastAsia="宋体" w:hAnsi="Arial" w:cs="Arial"/>
                  <w:sz w:val="18"/>
                  <w:szCs w:val="18"/>
                </w:rPr>
                <w:t>Form of Director Deferred Stock Unit Award Agreement under Registrant’s 2008 Equity Incentive Award Plan.</w:t>
              </w:r>
            </w:hyperlink>
          </w:p>
        </w:tc>
        <w:tc>
          <w:tcPr>
            <w:tcW w:w="0" w:type="auto"/>
            <w:gridSpan w:val="3"/>
            <w:shd w:val="clear" w:color="auto" w:fill="auto"/>
            <w:tcMar>
              <w:top w:w="0" w:type="dxa"/>
              <w:left w:w="20" w:type="dxa"/>
              <w:bottom w:w="0" w:type="dxa"/>
              <w:right w:w="20" w:type="dxa"/>
            </w:tcMar>
            <w:vAlign w:val="bottom"/>
          </w:tcPr>
          <w:p w14:paraId="22CFDEB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B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B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EBF"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40" w:type="dxa"/>
              <w:left w:w="20" w:type="dxa"/>
              <w:bottom w:w="40" w:type="dxa"/>
              <w:right w:w="20" w:type="dxa"/>
            </w:tcMar>
          </w:tcPr>
          <w:p w14:paraId="22CFDEC0"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EC1"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40" w:type="dxa"/>
              <w:left w:w="20" w:type="dxa"/>
              <w:bottom w:w="40" w:type="dxa"/>
              <w:right w:w="20" w:type="dxa"/>
            </w:tcMar>
          </w:tcPr>
          <w:p w14:paraId="22CFDEC2"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EC3" w14:textId="77777777" w:rsidR="002661BA" w:rsidRDefault="00D972BC">
            <w:pPr>
              <w:jc w:val="center"/>
              <w:textAlignment w:val="top"/>
            </w:pPr>
            <w:r>
              <w:rPr>
                <w:rFonts w:ascii="Arial" w:eastAsia="宋体" w:hAnsi="Arial" w:cs="Arial"/>
                <w:color w:val="000000"/>
                <w:sz w:val="18"/>
                <w:szCs w:val="18"/>
              </w:rPr>
              <w:t>7/19/2012</w:t>
            </w:r>
          </w:p>
        </w:tc>
      </w:tr>
      <w:tr w:rsidR="002661BA" w14:paraId="22CFDED0"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EC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C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C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C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C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C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C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C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C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C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CF" w14:textId="77777777" w:rsidR="002661BA" w:rsidRDefault="002661BA">
            <w:pPr>
              <w:rPr>
                <w:rFonts w:ascii="宋体"/>
              </w:rPr>
            </w:pPr>
          </w:p>
        </w:tc>
      </w:tr>
      <w:tr w:rsidR="002661BA" w14:paraId="22CFDEDC" w14:textId="77777777">
        <w:trPr>
          <w:jc w:val="center"/>
        </w:trPr>
        <w:tc>
          <w:tcPr>
            <w:tcW w:w="0" w:type="auto"/>
            <w:gridSpan w:val="3"/>
            <w:shd w:val="clear" w:color="auto" w:fill="auto"/>
            <w:tcMar>
              <w:top w:w="40" w:type="dxa"/>
              <w:left w:w="20" w:type="dxa"/>
              <w:bottom w:w="40" w:type="dxa"/>
              <w:right w:w="20" w:type="dxa"/>
            </w:tcMar>
          </w:tcPr>
          <w:p w14:paraId="22CFDED1" w14:textId="77777777" w:rsidR="002661BA" w:rsidRDefault="00D972BC">
            <w:pPr>
              <w:textAlignment w:val="top"/>
            </w:pPr>
            <w:r>
              <w:rPr>
                <w:rFonts w:ascii="Arial" w:eastAsia="宋体" w:hAnsi="Arial" w:cs="Arial"/>
                <w:color w:val="000000"/>
                <w:sz w:val="18"/>
                <w:szCs w:val="18"/>
              </w:rPr>
              <w:t>10.14+</w:t>
            </w:r>
          </w:p>
        </w:tc>
        <w:tc>
          <w:tcPr>
            <w:tcW w:w="0" w:type="auto"/>
            <w:gridSpan w:val="3"/>
            <w:shd w:val="clear" w:color="auto" w:fill="auto"/>
            <w:tcMar>
              <w:top w:w="40" w:type="dxa"/>
              <w:left w:w="20" w:type="dxa"/>
              <w:bottom w:w="40" w:type="dxa"/>
              <w:right w:w="20" w:type="dxa"/>
            </w:tcMar>
            <w:vAlign w:val="bottom"/>
          </w:tcPr>
          <w:p w14:paraId="22CFDED2"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22CFDED3" w14:textId="77777777" w:rsidR="002661BA" w:rsidRDefault="00D972BC">
            <w:pPr>
              <w:textAlignment w:val="bottom"/>
            </w:pPr>
            <w:hyperlink r:id="rId196" w:history="1">
              <w:r>
                <w:rPr>
                  <w:rStyle w:val="a5"/>
                  <w:rFonts w:ascii="Arial" w:eastAsia="宋体" w:hAnsi="Arial" w:cs="Arial"/>
                  <w:sz w:val="18"/>
                  <w:szCs w:val="18"/>
                </w:rPr>
                <w:t>Amended and Restated eBay Incentive Plan.</w:t>
              </w:r>
            </w:hyperlink>
          </w:p>
        </w:tc>
        <w:tc>
          <w:tcPr>
            <w:tcW w:w="0" w:type="auto"/>
            <w:gridSpan w:val="3"/>
            <w:shd w:val="clear" w:color="auto" w:fill="auto"/>
            <w:tcMar>
              <w:top w:w="40" w:type="dxa"/>
              <w:left w:w="20" w:type="dxa"/>
              <w:bottom w:w="40" w:type="dxa"/>
              <w:right w:w="20" w:type="dxa"/>
            </w:tcMar>
            <w:vAlign w:val="bottom"/>
          </w:tcPr>
          <w:p w14:paraId="22CFDED4"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DED5"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ED6" w14:textId="77777777" w:rsidR="002661BA" w:rsidRDefault="00D972BC">
            <w:pP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ED7" w14:textId="77777777" w:rsidR="002661BA" w:rsidRDefault="00D972BC">
            <w:pPr>
              <w:jc w:val="center"/>
              <w:textAlignment w:val="top"/>
            </w:pPr>
            <w:r>
              <w:rPr>
                <w:rFonts w:ascii="Arial" w:eastAsia="宋体" w:hAnsi="Arial" w:cs="Arial"/>
                <w:color w:val="000000"/>
                <w:sz w:val="18"/>
                <w:szCs w:val="18"/>
              </w:rPr>
              <w:t>10-K</w:t>
            </w:r>
          </w:p>
        </w:tc>
        <w:tc>
          <w:tcPr>
            <w:tcW w:w="0" w:type="auto"/>
            <w:gridSpan w:val="3"/>
            <w:shd w:val="clear" w:color="auto" w:fill="auto"/>
            <w:tcMar>
              <w:top w:w="0" w:type="dxa"/>
              <w:left w:w="20" w:type="dxa"/>
              <w:bottom w:w="0" w:type="dxa"/>
              <w:right w:w="20" w:type="dxa"/>
            </w:tcMar>
            <w:vAlign w:val="bottom"/>
          </w:tcPr>
          <w:p w14:paraId="22CFDED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ED9"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ED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EDB" w14:textId="77777777" w:rsidR="002661BA" w:rsidRDefault="00D972BC">
            <w:pPr>
              <w:jc w:val="center"/>
              <w:textAlignment w:val="top"/>
            </w:pPr>
            <w:r>
              <w:rPr>
                <w:rFonts w:ascii="Arial" w:eastAsia="宋体" w:hAnsi="Arial" w:cs="Arial"/>
                <w:color w:val="000000"/>
                <w:sz w:val="18"/>
                <w:szCs w:val="18"/>
              </w:rPr>
              <w:t>2/4/2020</w:t>
            </w:r>
          </w:p>
        </w:tc>
      </w:tr>
      <w:tr w:rsidR="002661BA" w14:paraId="22CFDEE8"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ED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D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D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E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E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E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E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E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E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E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E7" w14:textId="77777777" w:rsidR="002661BA" w:rsidRDefault="002661BA">
            <w:pPr>
              <w:rPr>
                <w:rFonts w:ascii="宋体"/>
              </w:rPr>
            </w:pPr>
          </w:p>
        </w:tc>
      </w:tr>
      <w:tr w:rsidR="002661BA" w14:paraId="22CFDEF4" w14:textId="77777777">
        <w:trPr>
          <w:jc w:val="center"/>
        </w:trPr>
        <w:tc>
          <w:tcPr>
            <w:tcW w:w="0" w:type="auto"/>
            <w:gridSpan w:val="3"/>
            <w:shd w:val="clear" w:color="auto" w:fill="auto"/>
            <w:tcMar>
              <w:top w:w="40" w:type="dxa"/>
              <w:left w:w="20" w:type="dxa"/>
              <w:bottom w:w="40" w:type="dxa"/>
              <w:right w:w="20" w:type="dxa"/>
            </w:tcMar>
          </w:tcPr>
          <w:p w14:paraId="22CFDEE9" w14:textId="77777777" w:rsidR="002661BA" w:rsidRDefault="00D972BC">
            <w:pPr>
              <w:textAlignment w:val="top"/>
            </w:pPr>
            <w:r>
              <w:rPr>
                <w:rFonts w:ascii="Arial" w:eastAsia="宋体" w:hAnsi="Arial" w:cs="Arial"/>
                <w:color w:val="000000"/>
                <w:sz w:val="18"/>
                <w:szCs w:val="18"/>
              </w:rPr>
              <w:t>10.15+</w:t>
            </w:r>
          </w:p>
        </w:tc>
        <w:tc>
          <w:tcPr>
            <w:tcW w:w="0" w:type="auto"/>
            <w:gridSpan w:val="3"/>
            <w:shd w:val="clear" w:color="auto" w:fill="auto"/>
            <w:tcMar>
              <w:top w:w="40" w:type="dxa"/>
              <w:left w:w="20" w:type="dxa"/>
              <w:bottom w:w="40" w:type="dxa"/>
              <w:right w:w="20" w:type="dxa"/>
            </w:tcMar>
            <w:vAlign w:val="bottom"/>
          </w:tcPr>
          <w:p w14:paraId="22CFDEEA"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22CFDEEB" w14:textId="77777777" w:rsidR="002661BA" w:rsidRDefault="00D972BC">
            <w:pPr>
              <w:textAlignment w:val="bottom"/>
            </w:pPr>
            <w:hyperlink r:id="rId197" w:history="1">
              <w:r>
                <w:rPr>
                  <w:rStyle w:val="a5"/>
                  <w:rFonts w:ascii="Arial" w:eastAsia="宋体" w:hAnsi="Arial" w:cs="Arial"/>
                  <w:sz w:val="18"/>
                  <w:szCs w:val="18"/>
                </w:rPr>
                <w:t>eBay Inc. Deferred Compensation Plan, as amended and restated effective January 1, 2022.</w:t>
              </w:r>
            </w:hyperlink>
          </w:p>
        </w:tc>
        <w:tc>
          <w:tcPr>
            <w:tcW w:w="0" w:type="auto"/>
            <w:gridSpan w:val="3"/>
            <w:shd w:val="clear" w:color="auto" w:fill="auto"/>
            <w:tcMar>
              <w:top w:w="40" w:type="dxa"/>
              <w:left w:w="20" w:type="dxa"/>
              <w:bottom w:w="40" w:type="dxa"/>
              <w:right w:w="20" w:type="dxa"/>
            </w:tcMar>
            <w:vAlign w:val="bottom"/>
          </w:tcPr>
          <w:p w14:paraId="22CFDEEC"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DEED" w14:textId="77777777" w:rsidR="002661BA" w:rsidRDefault="00D972BC">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22CFDEEE" w14:textId="77777777" w:rsidR="002661BA" w:rsidRDefault="00D972BC">
            <w:pP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DEE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F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F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F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F3" w14:textId="77777777" w:rsidR="002661BA" w:rsidRDefault="002661BA">
            <w:pPr>
              <w:rPr>
                <w:rFonts w:ascii="宋体"/>
              </w:rPr>
            </w:pPr>
          </w:p>
        </w:tc>
      </w:tr>
      <w:tr w:rsidR="002661BA" w14:paraId="22CFDF00"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EF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F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F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F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F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F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F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F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F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F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EFF" w14:textId="77777777" w:rsidR="002661BA" w:rsidRDefault="002661BA">
            <w:pPr>
              <w:rPr>
                <w:rFonts w:ascii="宋体"/>
              </w:rPr>
            </w:pPr>
          </w:p>
        </w:tc>
      </w:tr>
      <w:tr w:rsidR="002661BA" w14:paraId="22CFDF0C" w14:textId="77777777">
        <w:trPr>
          <w:jc w:val="center"/>
        </w:trPr>
        <w:tc>
          <w:tcPr>
            <w:tcW w:w="0" w:type="auto"/>
            <w:gridSpan w:val="3"/>
            <w:shd w:val="clear" w:color="auto" w:fill="auto"/>
            <w:tcMar>
              <w:top w:w="40" w:type="dxa"/>
              <w:left w:w="20" w:type="dxa"/>
              <w:bottom w:w="40" w:type="dxa"/>
              <w:right w:w="20" w:type="dxa"/>
            </w:tcMar>
          </w:tcPr>
          <w:p w14:paraId="22CFDF01" w14:textId="77777777" w:rsidR="002661BA" w:rsidRDefault="00D972BC">
            <w:pPr>
              <w:textAlignment w:val="top"/>
            </w:pPr>
            <w:r>
              <w:rPr>
                <w:rFonts w:ascii="Arial" w:eastAsia="宋体" w:hAnsi="Arial" w:cs="Arial"/>
                <w:color w:val="000000"/>
                <w:sz w:val="18"/>
                <w:szCs w:val="18"/>
              </w:rPr>
              <w:t>10.16+</w:t>
            </w:r>
          </w:p>
        </w:tc>
        <w:tc>
          <w:tcPr>
            <w:tcW w:w="0" w:type="auto"/>
            <w:gridSpan w:val="3"/>
            <w:shd w:val="clear" w:color="auto" w:fill="auto"/>
            <w:tcMar>
              <w:top w:w="0" w:type="dxa"/>
              <w:left w:w="20" w:type="dxa"/>
              <w:bottom w:w="0" w:type="dxa"/>
              <w:right w:w="20" w:type="dxa"/>
            </w:tcMar>
            <w:vAlign w:val="bottom"/>
          </w:tcPr>
          <w:p w14:paraId="22CFDF0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03" w14:textId="77777777" w:rsidR="002661BA" w:rsidRDefault="00D972BC">
            <w:pPr>
              <w:textAlignment w:val="top"/>
            </w:pPr>
            <w:hyperlink r:id="rId198" w:history="1">
              <w:r>
                <w:rPr>
                  <w:rStyle w:val="a5"/>
                  <w:rFonts w:ascii="Arial" w:eastAsia="宋体" w:hAnsi="Arial" w:cs="Arial"/>
                  <w:sz w:val="18"/>
                  <w:szCs w:val="18"/>
                </w:rPr>
                <w:t>eBay Inc. Employee Stock Purchase Plan.</w:t>
              </w:r>
            </w:hyperlink>
          </w:p>
        </w:tc>
        <w:tc>
          <w:tcPr>
            <w:tcW w:w="0" w:type="auto"/>
            <w:gridSpan w:val="3"/>
            <w:shd w:val="clear" w:color="auto" w:fill="auto"/>
            <w:tcMar>
              <w:top w:w="0" w:type="dxa"/>
              <w:left w:w="20" w:type="dxa"/>
              <w:bottom w:w="0" w:type="dxa"/>
              <w:right w:w="20" w:type="dxa"/>
            </w:tcMar>
            <w:vAlign w:val="bottom"/>
          </w:tcPr>
          <w:p w14:paraId="22CFDF0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0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0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07" w14:textId="77777777" w:rsidR="002661BA" w:rsidRDefault="00D972BC">
            <w:pPr>
              <w:jc w:val="center"/>
              <w:textAlignment w:val="top"/>
            </w:pPr>
            <w:r>
              <w:rPr>
                <w:rFonts w:ascii="Arial" w:eastAsia="宋体" w:hAnsi="Arial" w:cs="Arial"/>
                <w:color w:val="000000"/>
                <w:sz w:val="18"/>
                <w:szCs w:val="18"/>
              </w:rPr>
              <w:t>DEF 14A</w:t>
            </w:r>
          </w:p>
        </w:tc>
        <w:tc>
          <w:tcPr>
            <w:tcW w:w="0" w:type="auto"/>
            <w:gridSpan w:val="3"/>
            <w:shd w:val="clear" w:color="auto" w:fill="auto"/>
            <w:tcMar>
              <w:top w:w="0" w:type="dxa"/>
              <w:left w:w="20" w:type="dxa"/>
              <w:bottom w:w="0" w:type="dxa"/>
              <w:right w:w="20" w:type="dxa"/>
            </w:tcMar>
            <w:vAlign w:val="bottom"/>
          </w:tcPr>
          <w:p w14:paraId="22CFDF0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09"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DF0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0B" w14:textId="77777777" w:rsidR="002661BA" w:rsidRDefault="00D972BC">
            <w:pPr>
              <w:jc w:val="center"/>
              <w:textAlignment w:val="top"/>
            </w:pPr>
            <w:r>
              <w:rPr>
                <w:rFonts w:ascii="Arial" w:eastAsia="宋体" w:hAnsi="Arial" w:cs="Arial"/>
                <w:color w:val="000000"/>
                <w:sz w:val="18"/>
                <w:szCs w:val="18"/>
              </w:rPr>
              <w:t>3/19/2012</w:t>
            </w:r>
          </w:p>
        </w:tc>
      </w:tr>
      <w:tr w:rsidR="002661BA" w14:paraId="22CFDF18"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F0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0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0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1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1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1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1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1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1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1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17" w14:textId="77777777" w:rsidR="002661BA" w:rsidRDefault="002661BA">
            <w:pPr>
              <w:rPr>
                <w:rFonts w:ascii="宋体"/>
              </w:rPr>
            </w:pPr>
          </w:p>
        </w:tc>
      </w:tr>
      <w:tr w:rsidR="002661BA" w14:paraId="22CFDF24" w14:textId="77777777">
        <w:trPr>
          <w:jc w:val="center"/>
        </w:trPr>
        <w:tc>
          <w:tcPr>
            <w:tcW w:w="0" w:type="auto"/>
            <w:gridSpan w:val="3"/>
            <w:shd w:val="clear" w:color="auto" w:fill="auto"/>
            <w:tcMar>
              <w:top w:w="40" w:type="dxa"/>
              <w:left w:w="20" w:type="dxa"/>
              <w:bottom w:w="40" w:type="dxa"/>
              <w:right w:w="20" w:type="dxa"/>
            </w:tcMar>
          </w:tcPr>
          <w:p w14:paraId="22CFDF19" w14:textId="77777777" w:rsidR="002661BA" w:rsidRDefault="00D972BC">
            <w:pPr>
              <w:textAlignment w:val="top"/>
            </w:pPr>
            <w:r>
              <w:rPr>
                <w:rFonts w:ascii="Arial" w:eastAsia="宋体" w:hAnsi="Arial" w:cs="Arial"/>
                <w:color w:val="000000"/>
                <w:sz w:val="18"/>
                <w:szCs w:val="18"/>
              </w:rPr>
              <w:t>10.17</w:t>
            </w:r>
          </w:p>
        </w:tc>
        <w:tc>
          <w:tcPr>
            <w:tcW w:w="0" w:type="auto"/>
            <w:gridSpan w:val="3"/>
            <w:shd w:val="clear" w:color="auto" w:fill="auto"/>
            <w:tcMar>
              <w:top w:w="0" w:type="dxa"/>
              <w:left w:w="20" w:type="dxa"/>
              <w:bottom w:w="0" w:type="dxa"/>
              <w:right w:w="20" w:type="dxa"/>
            </w:tcMar>
            <w:vAlign w:val="bottom"/>
          </w:tcPr>
          <w:p w14:paraId="22CFDF1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1B" w14:textId="77777777" w:rsidR="002661BA" w:rsidRDefault="00D972BC">
            <w:pPr>
              <w:textAlignment w:val="top"/>
            </w:pPr>
            <w:hyperlink r:id="rId199" w:history="1">
              <w:r>
                <w:rPr>
                  <w:rStyle w:val="a5"/>
                  <w:rFonts w:ascii="Arial" w:eastAsia="宋体" w:hAnsi="Arial" w:cs="Arial"/>
                  <w:sz w:val="18"/>
                  <w:szCs w:val="18"/>
                </w:rPr>
                <w:t>Credit Agreement, dated as of November 9, 2015, by and among Registrant, JPMorgan Chase Bank, N.A., as Administrative Agent, and the other parties thereto.</w:t>
              </w:r>
            </w:hyperlink>
          </w:p>
        </w:tc>
        <w:tc>
          <w:tcPr>
            <w:tcW w:w="0" w:type="auto"/>
            <w:gridSpan w:val="3"/>
            <w:shd w:val="clear" w:color="auto" w:fill="auto"/>
            <w:tcMar>
              <w:top w:w="0" w:type="dxa"/>
              <w:left w:w="20" w:type="dxa"/>
              <w:bottom w:w="0" w:type="dxa"/>
              <w:right w:w="20" w:type="dxa"/>
            </w:tcMar>
            <w:vAlign w:val="bottom"/>
          </w:tcPr>
          <w:p w14:paraId="22CFDF1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1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1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1F"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DF2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21"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DF2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23" w14:textId="77777777" w:rsidR="002661BA" w:rsidRDefault="00D972BC">
            <w:pPr>
              <w:jc w:val="center"/>
              <w:textAlignment w:val="top"/>
            </w:pPr>
            <w:r>
              <w:rPr>
                <w:rFonts w:ascii="Arial" w:eastAsia="宋体" w:hAnsi="Arial" w:cs="Arial"/>
                <w:color w:val="000000"/>
                <w:sz w:val="18"/>
                <w:szCs w:val="18"/>
              </w:rPr>
              <w:t>11/12/2015</w:t>
            </w:r>
          </w:p>
        </w:tc>
      </w:tr>
      <w:tr w:rsidR="002661BA" w14:paraId="22CFDF30"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F2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2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2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2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2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2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2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2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2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2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2F" w14:textId="77777777" w:rsidR="002661BA" w:rsidRDefault="002661BA">
            <w:pPr>
              <w:rPr>
                <w:rFonts w:ascii="宋体"/>
              </w:rPr>
            </w:pPr>
          </w:p>
        </w:tc>
      </w:tr>
      <w:tr w:rsidR="002661BA" w14:paraId="22CFDF3C" w14:textId="77777777">
        <w:trPr>
          <w:jc w:val="center"/>
        </w:trPr>
        <w:tc>
          <w:tcPr>
            <w:tcW w:w="0" w:type="auto"/>
            <w:gridSpan w:val="3"/>
            <w:shd w:val="clear" w:color="auto" w:fill="auto"/>
            <w:tcMar>
              <w:top w:w="40" w:type="dxa"/>
              <w:left w:w="20" w:type="dxa"/>
              <w:bottom w:w="40" w:type="dxa"/>
              <w:right w:w="20" w:type="dxa"/>
            </w:tcMar>
          </w:tcPr>
          <w:p w14:paraId="22CFDF31" w14:textId="77777777" w:rsidR="002661BA" w:rsidRDefault="00D972BC">
            <w:pPr>
              <w:textAlignment w:val="top"/>
            </w:pPr>
            <w:r>
              <w:rPr>
                <w:rFonts w:ascii="Arial" w:eastAsia="宋体" w:hAnsi="Arial" w:cs="Arial"/>
                <w:color w:val="000000"/>
                <w:sz w:val="18"/>
                <w:szCs w:val="18"/>
              </w:rPr>
              <w:t>10.18+</w:t>
            </w:r>
          </w:p>
        </w:tc>
        <w:tc>
          <w:tcPr>
            <w:tcW w:w="0" w:type="auto"/>
            <w:gridSpan w:val="3"/>
            <w:shd w:val="clear" w:color="auto" w:fill="auto"/>
            <w:tcMar>
              <w:top w:w="0" w:type="dxa"/>
              <w:left w:w="20" w:type="dxa"/>
              <w:bottom w:w="0" w:type="dxa"/>
              <w:right w:w="20" w:type="dxa"/>
            </w:tcMar>
            <w:vAlign w:val="bottom"/>
          </w:tcPr>
          <w:p w14:paraId="22CFDF3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33" w14:textId="77777777" w:rsidR="002661BA" w:rsidRDefault="00D972BC">
            <w:pPr>
              <w:textAlignment w:val="top"/>
            </w:pPr>
            <w:hyperlink r:id="rId200" w:history="1">
              <w:r>
                <w:rPr>
                  <w:rStyle w:val="a5"/>
                  <w:rFonts w:ascii="Arial" w:eastAsia="宋体" w:hAnsi="Arial" w:cs="Arial"/>
                  <w:sz w:val="18"/>
                  <w:szCs w:val="18"/>
                </w:rPr>
                <w:t>Form of New Director Award Agreement under Registrant’s 2008 Equity Incentive Award Plan.</w:t>
              </w:r>
            </w:hyperlink>
          </w:p>
        </w:tc>
        <w:tc>
          <w:tcPr>
            <w:tcW w:w="0" w:type="auto"/>
            <w:gridSpan w:val="3"/>
            <w:shd w:val="clear" w:color="auto" w:fill="auto"/>
            <w:tcMar>
              <w:top w:w="0" w:type="dxa"/>
              <w:left w:w="20" w:type="dxa"/>
              <w:bottom w:w="0" w:type="dxa"/>
              <w:right w:w="20" w:type="dxa"/>
            </w:tcMar>
            <w:vAlign w:val="bottom"/>
          </w:tcPr>
          <w:p w14:paraId="22CFDF3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3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3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37"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DF3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39"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DF3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3B" w14:textId="77777777" w:rsidR="002661BA" w:rsidRDefault="00D972BC">
            <w:pPr>
              <w:jc w:val="center"/>
              <w:textAlignment w:val="top"/>
            </w:pPr>
            <w:r>
              <w:rPr>
                <w:rFonts w:ascii="Arial" w:eastAsia="宋体" w:hAnsi="Arial" w:cs="Arial"/>
                <w:color w:val="000000"/>
                <w:sz w:val="18"/>
                <w:szCs w:val="18"/>
              </w:rPr>
              <w:t>4/19/2013</w:t>
            </w:r>
          </w:p>
        </w:tc>
      </w:tr>
      <w:tr w:rsidR="002661BA" w14:paraId="22CFDF48"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F3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3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3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4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4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4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4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4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4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4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47" w14:textId="77777777" w:rsidR="002661BA" w:rsidRDefault="002661BA">
            <w:pPr>
              <w:rPr>
                <w:rFonts w:ascii="宋体"/>
              </w:rPr>
            </w:pPr>
          </w:p>
        </w:tc>
      </w:tr>
      <w:tr w:rsidR="002661BA" w14:paraId="22CFDF54" w14:textId="77777777">
        <w:trPr>
          <w:jc w:val="center"/>
        </w:trPr>
        <w:tc>
          <w:tcPr>
            <w:tcW w:w="0" w:type="auto"/>
            <w:gridSpan w:val="3"/>
            <w:shd w:val="clear" w:color="auto" w:fill="auto"/>
            <w:tcMar>
              <w:top w:w="40" w:type="dxa"/>
              <w:left w:w="20" w:type="dxa"/>
              <w:bottom w:w="40" w:type="dxa"/>
              <w:right w:w="20" w:type="dxa"/>
            </w:tcMar>
          </w:tcPr>
          <w:p w14:paraId="22CFDF49" w14:textId="77777777" w:rsidR="002661BA" w:rsidRDefault="00D972BC">
            <w:pPr>
              <w:textAlignment w:val="top"/>
            </w:pPr>
            <w:r>
              <w:rPr>
                <w:rFonts w:ascii="Arial" w:eastAsia="宋体" w:hAnsi="Arial" w:cs="Arial"/>
                <w:color w:val="000000"/>
                <w:sz w:val="18"/>
                <w:szCs w:val="18"/>
              </w:rPr>
              <w:t>10.19+</w:t>
            </w:r>
          </w:p>
        </w:tc>
        <w:tc>
          <w:tcPr>
            <w:tcW w:w="0" w:type="auto"/>
            <w:gridSpan w:val="3"/>
            <w:shd w:val="clear" w:color="auto" w:fill="auto"/>
            <w:tcMar>
              <w:top w:w="0" w:type="dxa"/>
              <w:left w:w="20" w:type="dxa"/>
              <w:bottom w:w="0" w:type="dxa"/>
              <w:right w:w="20" w:type="dxa"/>
            </w:tcMar>
            <w:vAlign w:val="bottom"/>
          </w:tcPr>
          <w:p w14:paraId="22CFDF4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4B" w14:textId="77777777" w:rsidR="002661BA" w:rsidRDefault="00D972BC">
            <w:pPr>
              <w:textAlignment w:val="top"/>
            </w:pPr>
            <w:hyperlink r:id="rId201" w:history="1">
              <w:r>
                <w:rPr>
                  <w:rStyle w:val="a5"/>
                  <w:rFonts w:ascii="Arial" w:eastAsia="宋体" w:hAnsi="Arial" w:cs="Arial"/>
                  <w:sz w:val="18"/>
                  <w:szCs w:val="18"/>
                </w:rPr>
                <w:t>Form of Director Annual Award Agreement under Registrant’s 2008 Equity Incentive Award Plan.</w:t>
              </w:r>
            </w:hyperlink>
          </w:p>
        </w:tc>
        <w:tc>
          <w:tcPr>
            <w:tcW w:w="0" w:type="auto"/>
            <w:gridSpan w:val="3"/>
            <w:shd w:val="clear" w:color="auto" w:fill="auto"/>
            <w:tcMar>
              <w:top w:w="0" w:type="dxa"/>
              <w:left w:w="20" w:type="dxa"/>
              <w:bottom w:w="0" w:type="dxa"/>
              <w:right w:w="20" w:type="dxa"/>
            </w:tcMar>
            <w:vAlign w:val="bottom"/>
          </w:tcPr>
          <w:p w14:paraId="22CFDF4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4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4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4F"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DF5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51"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DF5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53" w14:textId="77777777" w:rsidR="002661BA" w:rsidRDefault="00D972BC">
            <w:pPr>
              <w:jc w:val="center"/>
              <w:textAlignment w:val="top"/>
            </w:pPr>
            <w:r>
              <w:rPr>
                <w:rFonts w:ascii="Arial" w:eastAsia="宋体" w:hAnsi="Arial" w:cs="Arial"/>
                <w:color w:val="000000"/>
                <w:sz w:val="18"/>
                <w:szCs w:val="18"/>
              </w:rPr>
              <w:t>4/19/2013</w:t>
            </w:r>
          </w:p>
        </w:tc>
      </w:tr>
      <w:tr w:rsidR="002661BA" w14:paraId="22CFDF60"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F5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5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5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5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5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5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5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5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5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5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5F" w14:textId="77777777" w:rsidR="002661BA" w:rsidRDefault="002661BA">
            <w:pPr>
              <w:rPr>
                <w:rFonts w:ascii="宋体"/>
              </w:rPr>
            </w:pPr>
          </w:p>
        </w:tc>
      </w:tr>
      <w:tr w:rsidR="002661BA" w14:paraId="22CFDF6C" w14:textId="77777777">
        <w:trPr>
          <w:jc w:val="center"/>
        </w:trPr>
        <w:tc>
          <w:tcPr>
            <w:tcW w:w="0" w:type="auto"/>
            <w:gridSpan w:val="3"/>
            <w:shd w:val="clear" w:color="auto" w:fill="auto"/>
            <w:tcMar>
              <w:top w:w="40" w:type="dxa"/>
              <w:left w:w="20" w:type="dxa"/>
              <w:bottom w:w="40" w:type="dxa"/>
              <w:right w:w="20" w:type="dxa"/>
            </w:tcMar>
          </w:tcPr>
          <w:p w14:paraId="22CFDF61" w14:textId="77777777" w:rsidR="002661BA" w:rsidRDefault="00D972BC">
            <w:pPr>
              <w:textAlignment w:val="top"/>
            </w:pPr>
            <w:r>
              <w:rPr>
                <w:rFonts w:ascii="Arial" w:eastAsia="宋体" w:hAnsi="Arial" w:cs="Arial"/>
                <w:color w:val="000000"/>
                <w:sz w:val="18"/>
                <w:szCs w:val="18"/>
              </w:rPr>
              <w:t>10.20+</w:t>
            </w:r>
          </w:p>
        </w:tc>
        <w:tc>
          <w:tcPr>
            <w:tcW w:w="0" w:type="auto"/>
            <w:gridSpan w:val="3"/>
            <w:shd w:val="clear" w:color="auto" w:fill="auto"/>
            <w:tcMar>
              <w:top w:w="0" w:type="dxa"/>
              <w:left w:w="20" w:type="dxa"/>
              <w:bottom w:w="0" w:type="dxa"/>
              <w:right w:w="20" w:type="dxa"/>
            </w:tcMar>
            <w:vAlign w:val="bottom"/>
          </w:tcPr>
          <w:p w14:paraId="22CFDF6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63" w14:textId="77777777" w:rsidR="002661BA" w:rsidRDefault="00D972BC">
            <w:pPr>
              <w:textAlignment w:val="top"/>
            </w:pPr>
            <w:hyperlink r:id="rId202" w:history="1">
              <w:r>
                <w:rPr>
                  <w:rStyle w:val="a5"/>
                  <w:rFonts w:ascii="Arial" w:eastAsia="宋体" w:hAnsi="Arial" w:cs="Arial"/>
                  <w:sz w:val="18"/>
                  <w:szCs w:val="18"/>
                </w:rPr>
                <w:t>Form of Electing Director Quarterly Award Agreement under Registrant’s 2008 Equity Incentive Award Plan.</w:t>
              </w:r>
            </w:hyperlink>
          </w:p>
        </w:tc>
        <w:tc>
          <w:tcPr>
            <w:tcW w:w="0" w:type="auto"/>
            <w:gridSpan w:val="3"/>
            <w:shd w:val="clear" w:color="auto" w:fill="auto"/>
            <w:tcMar>
              <w:top w:w="0" w:type="dxa"/>
              <w:left w:w="20" w:type="dxa"/>
              <w:bottom w:w="0" w:type="dxa"/>
              <w:right w:w="20" w:type="dxa"/>
            </w:tcMar>
            <w:vAlign w:val="bottom"/>
          </w:tcPr>
          <w:p w14:paraId="22CFDF6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6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66"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67"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DF6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69"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DF6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6B" w14:textId="77777777" w:rsidR="002661BA" w:rsidRDefault="00D972BC">
            <w:pPr>
              <w:jc w:val="center"/>
              <w:textAlignment w:val="top"/>
            </w:pPr>
            <w:r>
              <w:rPr>
                <w:rFonts w:ascii="Arial" w:eastAsia="宋体" w:hAnsi="Arial" w:cs="Arial"/>
                <w:color w:val="000000"/>
                <w:sz w:val="18"/>
                <w:szCs w:val="18"/>
              </w:rPr>
              <w:t>4/19/2013</w:t>
            </w:r>
          </w:p>
        </w:tc>
      </w:tr>
      <w:tr w:rsidR="002661BA" w14:paraId="22CFDF78"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F6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6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6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7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7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7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7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7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7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7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77" w14:textId="77777777" w:rsidR="002661BA" w:rsidRDefault="002661BA">
            <w:pPr>
              <w:rPr>
                <w:rFonts w:ascii="宋体"/>
              </w:rPr>
            </w:pPr>
          </w:p>
        </w:tc>
      </w:tr>
      <w:tr w:rsidR="002661BA" w14:paraId="22CFDF84" w14:textId="77777777">
        <w:trPr>
          <w:jc w:val="center"/>
        </w:trPr>
        <w:tc>
          <w:tcPr>
            <w:tcW w:w="0" w:type="auto"/>
            <w:gridSpan w:val="3"/>
            <w:shd w:val="clear" w:color="auto" w:fill="auto"/>
            <w:tcMar>
              <w:top w:w="40" w:type="dxa"/>
              <w:left w:w="20" w:type="dxa"/>
              <w:bottom w:w="40" w:type="dxa"/>
              <w:right w:w="20" w:type="dxa"/>
            </w:tcMar>
          </w:tcPr>
          <w:p w14:paraId="22CFDF79" w14:textId="77777777" w:rsidR="002661BA" w:rsidRDefault="00D972BC">
            <w:pPr>
              <w:textAlignment w:val="top"/>
            </w:pPr>
            <w:r>
              <w:rPr>
                <w:rFonts w:ascii="Arial" w:eastAsia="宋体" w:hAnsi="Arial" w:cs="Arial"/>
                <w:color w:val="000000"/>
                <w:sz w:val="18"/>
                <w:szCs w:val="18"/>
              </w:rPr>
              <w:t>10.21+</w:t>
            </w:r>
          </w:p>
        </w:tc>
        <w:tc>
          <w:tcPr>
            <w:tcW w:w="0" w:type="auto"/>
            <w:gridSpan w:val="3"/>
            <w:shd w:val="clear" w:color="auto" w:fill="auto"/>
            <w:tcMar>
              <w:top w:w="0" w:type="dxa"/>
              <w:left w:w="20" w:type="dxa"/>
              <w:bottom w:w="0" w:type="dxa"/>
              <w:right w:w="20" w:type="dxa"/>
            </w:tcMar>
            <w:vAlign w:val="bottom"/>
          </w:tcPr>
          <w:p w14:paraId="22CFDF7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7B" w14:textId="77777777" w:rsidR="002661BA" w:rsidRDefault="00D972BC">
            <w:pPr>
              <w:textAlignment w:val="top"/>
            </w:pPr>
            <w:hyperlink r:id="rId203" w:history="1">
              <w:r>
                <w:rPr>
                  <w:rStyle w:val="a5"/>
                  <w:rFonts w:ascii="Arial" w:eastAsia="宋体" w:hAnsi="Arial" w:cs="Arial"/>
                  <w:sz w:val="18"/>
                  <w:szCs w:val="18"/>
                </w:rPr>
                <w:t>Form of Global Stock Option Agreement under Registrant’s 2008 Equity Incentive Award Plan.</w:t>
              </w:r>
            </w:hyperlink>
          </w:p>
        </w:tc>
        <w:tc>
          <w:tcPr>
            <w:tcW w:w="0" w:type="auto"/>
            <w:gridSpan w:val="3"/>
            <w:shd w:val="clear" w:color="auto" w:fill="auto"/>
            <w:tcMar>
              <w:top w:w="0" w:type="dxa"/>
              <w:left w:w="20" w:type="dxa"/>
              <w:bottom w:w="0" w:type="dxa"/>
              <w:right w:w="20" w:type="dxa"/>
            </w:tcMar>
            <w:vAlign w:val="bottom"/>
          </w:tcPr>
          <w:p w14:paraId="22CFDF7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7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7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7F"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DF8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81"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DF8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83" w14:textId="77777777" w:rsidR="002661BA" w:rsidRDefault="00D972BC">
            <w:pPr>
              <w:jc w:val="center"/>
              <w:textAlignment w:val="top"/>
            </w:pPr>
            <w:r>
              <w:rPr>
                <w:rFonts w:ascii="Arial" w:eastAsia="宋体" w:hAnsi="Arial" w:cs="Arial"/>
                <w:color w:val="000000"/>
                <w:sz w:val="18"/>
                <w:szCs w:val="18"/>
              </w:rPr>
              <w:t>7/18/2014</w:t>
            </w:r>
          </w:p>
        </w:tc>
      </w:tr>
    </w:tbl>
    <w:p w14:paraId="22CFDF85" w14:textId="77777777" w:rsidR="002661BA" w:rsidRDefault="00D972BC">
      <w:pPr>
        <w:jc w:val="center"/>
      </w:pPr>
      <w:r>
        <w:rPr>
          <w:rFonts w:ascii="Arial" w:eastAsia="宋体" w:hAnsi="Arial" w:cs="Arial"/>
          <w:color w:val="000000"/>
          <w:sz w:val="18"/>
          <w:szCs w:val="18"/>
        </w:rPr>
        <w:t>117</w:t>
      </w:r>
    </w:p>
    <w:p w14:paraId="22CFDF86" w14:textId="77777777" w:rsidR="002661BA" w:rsidRDefault="00D972BC">
      <w:r>
        <w:pict w14:anchorId="22CFE526">
          <v:rect id="_x0000_i1141" style="width:415.3pt;height:1.5pt" o:hralign="center" o:hrstd="t" o:hr="t" fillcolor="#a0a0a0" stroked="f"/>
        </w:pict>
      </w:r>
    </w:p>
    <w:p w14:paraId="22CFDF87" w14:textId="77777777" w:rsidR="002661BA" w:rsidRDefault="00D972BC">
      <w:hyperlink r:id="rId204" w:anchor="id0d7a71b05ce452ea9fdb54f3cb359c7_7" w:history="1">
        <w:r>
          <w:rPr>
            <w:rStyle w:val="a5"/>
            <w:rFonts w:ascii="Arial" w:eastAsia="宋体" w:hAnsi="Arial" w:cs="Arial"/>
            <w:sz w:val="18"/>
            <w:szCs w:val="18"/>
          </w:rPr>
          <w:t>Table of Contents</w:t>
        </w:r>
      </w:hyperlink>
    </w:p>
    <w:tbl>
      <w:tblPr>
        <w:tblW w:w="4963" w:type="pct"/>
        <w:jc w:val="center"/>
        <w:tblCellMar>
          <w:top w:w="15" w:type="dxa"/>
          <w:left w:w="15" w:type="dxa"/>
          <w:bottom w:w="15" w:type="dxa"/>
          <w:right w:w="15" w:type="dxa"/>
        </w:tblCellMar>
        <w:tblLook w:val="04A0" w:firstRow="1" w:lastRow="0" w:firstColumn="1" w:lastColumn="0" w:noHBand="0" w:noVBand="1"/>
      </w:tblPr>
      <w:tblGrid>
        <w:gridCol w:w="68"/>
        <w:gridCol w:w="541"/>
        <w:gridCol w:w="36"/>
        <w:gridCol w:w="37"/>
        <w:gridCol w:w="85"/>
        <w:gridCol w:w="36"/>
        <w:gridCol w:w="38"/>
        <w:gridCol w:w="3634"/>
        <w:gridCol w:w="36"/>
        <w:gridCol w:w="36"/>
        <w:gridCol w:w="36"/>
        <w:gridCol w:w="36"/>
        <w:gridCol w:w="61"/>
        <w:gridCol w:w="766"/>
        <w:gridCol w:w="36"/>
        <w:gridCol w:w="36"/>
        <w:gridCol w:w="36"/>
        <w:gridCol w:w="36"/>
        <w:gridCol w:w="54"/>
        <w:gridCol w:w="470"/>
        <w:gridCol w:w="39"/>
        <w:gridCol w:w="37"/>
        <w:gridCol w:w="37"/>
        <w:gridCol w:w="37"/>
        <w:gridCol w:w="84"/>
        <w:gridCol w:w="809"/>
        <w:gridCol w:w="37"/>
        <w:gridCol w:w="37"/>
        <w:gridCol w:w="37"/>
        <w:gridCol w:w="36"/>
        <w:gridCol w:w="88"/>
        <w:gridCol w:w="845"/>
        <w:gridCol w:w="37"/>
      </w:tblGrid>
      <w:tr w:rsidR="002661BA" w14:paraId="22CFDFA9" w14:textId="77777777">
        <w:trPr>
          <w:jc w:val="center"/>
        </w:trPr>
        <w:tc>
          <w:tcPr>
            <w:tcW w:w="50" w:type="pct"/>
            <w:shd w:val="clear" w:color="auto" w:fill="auto"/>
            <w:vAlign w:val="bottom"/>
          </w:tcPr>
          <w:p w14:paraId="22CFDF88" w14:textId="77777777" w:rsidR="002661BA" w:rsidRDefault="002661BA">
            <w:pPr>
              <w:rPr>
                <w:rFonts w:ascii="宋体"/>
              </w:rPr>
            </w:pPr>
          </w:p>
        </w:tc>
        <w:tc>
          <w:tcPr>
            <w:tcW w:w="386" w:type="pct"/>
            <w:shd w:val="clear" w:color="auto" w:fill="auto"/>
            <w:vAlign w:val="bottom"/>
          </w:tcPr>
          <w:p w14:paraId="22CFDF89" w14:textId="77777777" w:rsidR="002661BA" w:rsidRDefault="002661BA">
            <w:pPr>
              <w:rPr>
                <w:rFonts w:ascii="宋体"/>
              </w:rPr>
            </w:pPr>
          </w:p>
        </w:tc>
        <w:tc>
          <w:tcPr>
            <w:tcW w:w="5" w:type="pct"/>
            <w:shd w:val="clear" w:color="auto" w:fill="auto"/>
            <w:vAlign w:val="bottom"/>
          </w:tcPr>
          <w:p w14:paraId="22CFDF8A" w14:textId="77777777" w:rsidR="002661BA" w:rsidRDefault="002661BA">
            <w:pPr>
              <w:rPr>
                <w:rFonts w:ascii="宋体"/>
              </w:rPr>
            </w:pPr>
          </w:p>
        </w:tc>
        <w:tc>
          <w:tcPr>
            <w:tcW w:w="5" w:type="pct"/>
            <w:shd w:val="clear" w:color="auto" w:fill="auto"/>
            <w:vAlign w:val="bottom"/>
          </w:tcPr>
          <w:p w14:paraId="22CFDF8B" w14:textId="77777777" w:rsidR="002661BA" w:rsidRDefault="002661BA">
            <w:pPr>
              <w:rPr>
                <w:rFonts w:ascii="宋体"/>
              </w:rPr>
            </w:pPr>
          </w:p>
        </w:tc>
        <w:tc>
          <w:tcPr>
            <w:tcW w:w="26" w:type="pct"/>
            <w:shd w:val="clear" w:color="auto" w:fill="auto"/>
            <w:vAlign w:val="bottom"/>
          </w:tcPr>
          <w:p w14:paraId="22CFDF8C" w14:textId="77777777" w:rsidR="002661BA" w:rsidRDefault="002661BA">
            <w:pPr>
              <w:rPr>
                <w:rFonts w:ascii="宋体"/>
              </w:rPr>
            </w:pPr>
          </w:p>
        </w:tc>
        <w:tc>
          <w:tcPr>
            <w:tcW w:w="5" w:type="pct"/>
            <w:shd w:val="clear" w:color="auto" w:fill="auto"/>
            <w:vAlign w:val="bottom"/>
          </w:tcPr>
          <w:p w14:paraId="22CFDF8D" w14:textId="77777777" w:rsidR="002661BA" w:rsidRDefault="002661BA">
            <w:pPr>
              <w:rPr>
                <w:rFonts w:ascii="宋体"/>
              </w:rPr>
            </w:pPr>
          </w:p>
        </w:tc>
        <w:tc>
          <w:tcPr>
            <w:tcW w:w="50" w:type="pct"/>
            <w:shd w:val="clear" w:color="auto" w:fill="auto"/>
            <w:vAlign w:val="bottom"/>
          </w:tcPr>
          <w:p w14:paraId="22CFDF8E" w14:textId="77777777" w:rsidR="002661BA" w:rsidRDefault="002661BA">
            <w:pPr>
              <w:rPr>
                <w:rFonts w:ascii="宋体"/>
              </w:rPr>
            </w:pPr>
          </w:p>
        </w:tc>
        <w:tc>
          <w:tcPr>
            <w:tcW w:w="2235" w:type="pct"/>
            <w:shd w:val="clear" w:color="auto" w:fill="auto"/>
            <w:vAlign w:val="bottom"/>
          </w:tcPr>
          <w:p w14:paraId="22CFDF8F" w14:textId="77777777" w:rsidR="002661BA" w:rsidRDefault="002661BA">
            <w:pPr>
              <w:rPr>
                <w:rFonts w:ascii="宋体"/>
              </w:rPr>
            </w:pPr>
          </w:p>
        </w:tc>
        <w:tc>
          <w:tcPr>
            <w:tcW w:w="5" w:type="pct"/>
            <w:shd w:val="clear" w:color="auto" w:fill="auto"/>
            <w:vAlign w:val="bottom"/>
          </w:tcPr>
          <w:p w14:paraId="22CFDF90" w14:textId="77777777" w:rsidR="002661BA" w:rsidRDefault="002661BA">
            <w:pPr>
              <w:rPr>
                <w:rFonts w:ascii="宋体"/>
              </w:rPr>
            </w:pPr>
          </w:p>
        </w:tc>
        <w:tc>
          <w:tcPr>
            <w:tcW w:w="5" w:type="pct"/>
            <w:shd w:val="clear" w:color="auto" w:fill="auto"/>
            <w:vAlign w:val="bottom"/>
          </w:tcPr>
          <w:p w14:paraId="22CFDF91" w14:textId="77777777" w:rsidR="002661BA" w:rsidRDefault="002661BA">
            <w:pPr>
              <w:rPr>
                <w:rFonts w:ascii="宋体"/>
              </w:rPr>
            </w:pPr>
          </w:p>
        </w:tc>
        <w:tc>
          <w:tcPr>
            <w:tcW w:w="26" w:type="pct"/>
            <w:shd w:val="clear" w:color="auto" w:fill="auto"/>
            <w:vAlign w:val="bottom"/>
          </w:tcPr>
          <w:p w14:paraId="22CFDF92" w14:textId="77777777" w:rsidR="002661BA" w:rsidRDefault="002661BA">
            <w:pPr>
              <w:rPr>
                <w:rFonts w:ascii="宋体"/>
              </w:rPr>
            </w:pPr>
          </w:p>
        </w:tc>
        <w:tc>
          <w:tcPr>
            <w:tcW w:w="5" w:type="pct"/>
            <w:shd w:val="clear" w:color="auto" w:fill="auto"/>
            <w:vAlign w:val="bottom"/>
          </w:tcPr>
          <w:p w14:paraId="22CFDF93" w14:textId="77777777" w:rsidR="002661BA" w:rsidRDefault="002661BA">
            <w:pPr>
              <w:rPr>
                <w:rFonts w:ascii="宋体"/>
              </w:rPr>
            </w:pPr>
          </w:p>
        </w:tc>
        <w:tc>
          <w:tcPr>
            <w:tcW w:w="50" w:type="pct"/>
            <w:shd w:val="clear" w:color="auto" w:fill="auto"/>
            <w:vAlign w:val="bottom"/>
          </w:tcPr>
          <w:p w14:paraId="22CFDF94" w14:textId="77777777" w:rsidR="002661BA" w:rsidRDefault="002661BA">
            <w:pPr>
              <w:rPr>
                <w:rFonts w:ascii="宋体"/>
              </w:rPr>
            </w:pPr>
          </w:p>
        </w:tc>
        <w:tc>
          <w:tcPr>
            <w:tcW w:w="541" w:type="pct"/>
            <w:shd w:val="clear" w:color="auto" w:fill="auto"/>
            <w:vAlign w:val="bottom"/>
          </w:tcPr>
          <w:p w14:paraId="22CFDF95" w14:textId="77777777" w:rsidR="002661BA" w:rsidRDefault="002661BA">
            <w:pPr>
              <w:rPr>
                <w:rFonts w:ascii="宋体"/>
              </w:rPr>
            </w:pPr>
          </w:p>
        </w:tc>
        <w:tc>
          <w:tcPr>
            <w:tcW w:w="5" w:type="pct"/>
            <w:shd w:val="clear" w:color="auto" w:fill="auto"/>
            <w:vAlign w:val="bottom"/>
          </w:tcPr>
          <w:p w14:paraId="22CFDF96" w14:textId="77777777" w:rsidR="002661BA" w:rsidRDefault="002661BA">
            <w:pPr>
              <w:rPr>
                <w:rFonts w:ascii="宋体"/>
              </w:rPr>
            </w:pPr>
          </w:p>
        </w:tc>
        <w:tc>
          <w:tcPr>
            <w:tcW w:w="5" w:type="pct"/>
            <w:shd w:val="clear" w:color="auto" w:fill="auto"/>
            <w:vAlign w:val="bottom"/>
          </w:tcPr>
          <w:p w14:paraId="22CFDF97" w14:textId="77777777" w:rsidR="002661BA" w:rsidRDefault="002661BA">
            <w:pPr>
              <w:rPr>
                <w:rFonts w:ascii="宋体"/>
              </w:rPr>
            </w:pPr>
          </w:p>
        </w:tc>
        <w:tc>
          <w:tcPr>
            <w:tcW w:w="26" w:type="pct"/>
            <w:shd w:val="clear" w:color="auto" w:fill="auto"/>
            <w:vAlign w:val="bottom"/>
          </w:tcPr>
          <w:p w14:paraId="22CFDF98" w14:textId="77777777" w:rsidR="002661BA" w:rsidRDefault="002661BA">
            <w:pPr>
              <w:rPr>
                <w:rFonts w:ascii="宋体"/>
              </w:rPr>
            </w:pPr>
          </w:p>
        </w:tc>
        <w:tc>
          <w:tcPr>
            <w:tcW w:w="5" w:type="pct"/>
            <w:shd w:val="clear" w:color="auto" w:fill="auto"/>
            <w:vAlign w:val="bottom"/>
          </w:tcPr>
          <w:p w14:paraId="22CFDF99" w14:textId="77777777" w:rsidR="002661BA" w:rsidRDefault="002661BA">
            <w:pPr>
              <w:rPr>
                <w:rFonts w:ascii="宋体"/>
              </w:rPr>
            </w:pPr>
          </w:p>
        </w:tc>
        <w:tc>
          <w:tcPr>
            <w:tcW w:w="50" w:type="pct"/>
            <w:shd w:val="clear" w:color="auto" w:fill="auto"/>
            <w:vAlign w:val="bottom"/>
          </w:tcPr>
          <w:p w14:paraId="22CFDF9A" w14:textId="77777777" w:rsidR="002661BA" w:rsidRDefault="002661BA">
            <w:pPr>
              <w:rPr>
                <w:rFonts w:ascii="宋体"/>
              </w:rPr>
            </w:pPr>
          </w:p>
        </w:tc>
        <w:tc>
          <w:tcPr>
            <w:tcW w:w="357" w:type="pct"/>
            <w:shd w:val="clear" w:color="auto" w:fill="auto"/>
            <w:vAlign w:val="bottom"/>
          </w:tcPr>
          <w:p w14:paraId="22CFDF9B" w14:textId="77777777" w:rsidR="002661BA" w:rsidRDefault="002661BA">
            <w:pPr>
              <w:rPr>
                <w:rFonts w:ascii="宋体"/>
              </w:rPr>
            </w:pPr>
          </w:p>
        </w:tc>
        <w:tc>
          <w:tcPr>
            <w:tcW w:w="5" w:type="pct"/>
            <w:shd w:val="clear" w:color="auto" w:fill="auto"/>
            <w:vAlign w:val="bottom"/>
          </w:tcPr>
          <w:p w14:paraId="22CFDF9C" w14:textId="77777777" w:rsidR="002661BA" w:rsidRDefault="002661BA">
            <w:pPr>
              <w:rPr>
                <w:rFonts w:ascii="宋体"/>
              </w:rPr>
            </w:pPr>
          </w:p>
        </w:tc>
        <w:tc>
          <w:tcPr>
            <w:tcW w:w="5" w:type="pct"/>
            <w:shd w:val="clear" w:color="auto" w:fill="auto"/>
            <w:vAlign w:val="bottom"/>
          </w:tcPr>
          <w:p w14:paraId="22CFDF9D" w14:textId="77777777" w:rsidR="002661BA" w:rsidRDefault="002661BA">
            <w:pPr>
              <w:rPr>
                <w:rFonts w:ascii="宋体"/>
              </w:rPr>
            </w:pPr>
          </w:p>
        </w:tc>
        <w:tc>
          <w:tcPr>
            <w:tcW w:w="26" w:type="pct"/>
            <w:shd w:val="clear" w:color="auto" w:fill="auto"/>
            <w:vAlign w:val="bottom"/>
          </w:tcPr>
          <w:p w14:paraId="22CFDF9E" w14:textId="77777777" w:rsidR="002661BA" w:rsidRDefault="002661BA">
            <w:pPr>
              <w:rPr>
                <w:rFonts w:ascii="宋体"/>
              </w:rPr>
            </w:pPr>
          </w:p>
        </w:tc>
        <w:tc>
          <w:tcPr>
            <w:tcW w:w="5" w:type="pct"/>
            <w:shd w:val="clear" w:color="auto" w:fill="auto"/>
            <w:vAlign w:val="bottom"/>
          </w:tcPr>
          <w:p w14:paraId="22CFDF9F" w14:textId="77777777" w:rsidR="002661BA" w:rsidRDefault="002661BA">
            <w:pPr>
              <w:rPr>
                <w:rFonts w:ascii="宋体"/>
              </w:rPr>
            </w:pPr>
          </w:p>
        </w:tc>
        <w:tc>
          <w:tcPr>
            <w:tcW w:w="50" w:type="pct"/>
            <w:shd w:val="clear" w:color="auto" w:fill="auto"/>
            <w:vAlign w:val="bottom"/>
          </w:tcPr>
          <w:p w14:paraId="22CFDFA0" w14:textId="77777777" w:rsidR="002661BA" w:rsidRDefault="002661BA">
            <w:pPr>
              <w:rPr>
                <w:rFonts w:ascii="宋体"/>
              </w:rPr>
            </w:pPr>
          </w:p>
        </w:tc>
        <w:tc>
          <w:tcPr>
            <w:tcW w:w="482" w:type="pct"/>
            <w:shd w:val="clear" w:color="auto" w:fill="auto"/>
            <w:vAlign w:val="bottom"/>
          </w:tcPr>
          <w:p w14:paraId="22CFDFA1" w14:textId="77777777" w:rsidR="002661BA" w:rsidRDefault="002661BA">
            <w:pPr>
              <w:rPr>
                <w:rFonts w:ascii="宋体"/>
              </w:rPr>
            </w:pPr>
          </w:p>
        </w:tc>
        <w:tc>
          <w:tcPr>
            <w:tcW w:w="5" w:type="pct"/>
            <w:shd w:val="clear" w:color="auto" w:fill="auto"/>
            <w:vAlign w:val="bottom"/>
          </w:tcPr>
          <w:p w14:paraId="22CFDFA2" w14:textId="77777777" w:rsidR="002661BA" w:rsidRDefault="002661BA">
            <w:pPr>
              <w:rPr>
                <w:rFonts w:ascii="宋体"/>
              </w:rPr>
            </w:pPr>
          </w:p>
        </w:tc>
        <w:tc>
          <w:tcPr>
            <w:tcW w:w="5" w:type="pct"/>
            <w:shd w:val="clear" w:color="auto" w:fill="auto"/>
            <w:vAlign w:val="bottom"/>
          </w:tcPr>
          <w:p w14:paraId="22CFDFA3" w14:textId="77777777" w:rsidR="002661BA" w:rsidRDefault="002661BA">
            <w:pPr>
              <w:rPr>
                <w:rFonts w:ascii="宋体"/>
              </w:rPr>
            </w:pPr>
          </w:p>
        </w:tc>
        <w:tc>
          <w:tcPr>
            <w:tcW w:w="26" w:type="pct"/>
            <w:shd w:val="clear" w:color="auto" w:fill="auto"/>
            <w:vAlign w:val="bottom"/>
          </w:tcPr>
          <w:p w14:paraId="22CFDFA4" w14:textId="77777777" w:rsidR="002661BA" w:rsidRDefault="002661BA">
            <w:pPr>
              <w:rPr>
                <w:rFonts w:ascii="宋体"/>
              </w:rPr>
            </w:pPr>
          </w:p>
        </w:tc>
        <w:tc>
          <w:tcPr>
            <w:tcW w:w="5" w:type="pct"/>
            <w:shd w:val="clear" w:color="auto" w:fill="auto"/>
            <w:vAlign w:val="bottom"/>
          </w:tcPr>
          <w:p w14:paraId="22CFDFA5" w14:textId="77777777" w:rsidR="002661BA" w:rsidRDefault="002661BA">
            <w:pPr>
              <w:rPr>
                <w:rFonts w:ascii="宋体"/>
              </w:rPr>
            </w:pPr>
          </w:p>
        </w:tc>
        <w:tc>
          <w:tcPr>
            <w:tcW w:w="50" w:type="pct"/>
            <w:shd w:val="clear" w:color="auto" w:fill="auto"/>
            <w:vAlign w:val="bottom"/>
          </w:tcPr>
          <w:p w14:paraId="22CFDFA6" w14:textId="77777777" w:rsidR="002661BA" w:rsidRDefault="002661BA">
            <w:pPr>
              <w:rPr>
                <w:rFonts w:ascii="宋体"/>
              </w:rPr>
            </w:pPr>
          </w:p>
        </w:tc>
        <w:tc>
          <w:tcPr>
            <w:tcW w:w="482" w:type="pct"/>
            <w:shd w:val="clear" w:color="auto" w:fill="auto"/>
            <w:vAlign w:val="bottom"/>
          </w:tcPr>
          <w:p w14:paraId="22CFDFA7" w14:textId="77777777" w:rsidR="002661BA" w:rsidRDefault="002661BA">
            <w:pPr>
              <w:rPr>
                <w:rFonts w:ascii="宋体"/>
              </w:rPr>
            </w:pPr>
          </w:p>
        </w:tc>
        <w:tc>
          <w:tcPr>
            <w:tcW w:w="5" w:type="pct"/>
            <w:shd w:val="clear" w:color="auto" w:fill="auto"/>
            <w:vAlign w:val="bottom"/>
          </w:tcPr>
          <w:p w14:paraId="22CFDFA8" w14:textId="77777777" w:rsidR="002661BA" w:rsidRDefault="002661BA">
            <w:pPr>
              <w:rPr>
                <w:rFonts w:ascii="宋体"/>
              </w:rPr>
            </w:pPr>
          </w:p>
        </w:tc>
      </w:tr>
      <w:tr w:rsidR="002661BA" w14:paraId="22CFDFB1" w14:textId="77777777">
        <w:trPr>
          <w:trHeight w:val="240"/>
          <w:jc w:val="center"/>
        </w:trPr>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22CFDFAA" w14:textId="77777777" w:rsidR="002661BA" w:rsidRDefault="00D972BC">
            <w:pPr>
              <w:textAlignment w:val="bottom"/>
            </w:pPr>
            <w:r>
              <w:rPr>
                <w:rFonts w:ascii="Arial" w:eastAsia="宋体" w:hAnsi="Arial" w:cs="Arial"/>
                <w:b/>
                <w:bCs/>
                <w:color w:val="000000"/>
                <w:sz w:val="14"/>
                <w:szCs w:val="14"/>
              </w:rPr>
              <w:t>No.</w:t>
            </w:r>
          </w:p>
        </w:tc>
        <w:tc>
          <w:tcPr>
            <w:tcW w:w="0" w:type="auto"/>
            <w:gridSpan w:val="3"/>
            <w:shd w:val="clear" w:color="auto" w:fill="auto"/>
            <w:tcMar>
              <w:top w:w="40" w:type="dxa"/>
              <w:left w:w="20" w:type="dxa"/>
              <w:bottom w:w="40" w:type="dxa"/>
              <w:right w:w="20" w:type="dxa"/>
            </w:tcMar>
            <w:vAlign w:val="bottom"/>
          </w:tcPr>
          <w:p w14:paraId="22CFDFAB" w14:textId="77777777" w:rsidR="002661BA" w:rsidRDefault="00D972BC">
            <w:pPr>
              <w:textAlignment w:val="bottom"/>
            </w:pPr>
            <w:r>
              <w:rPr>
                <w:rFonts w:ascii="Arial" w:eastAsia="宋体" w:hAnsi="Arial" w:cs="Arial"/>
                <w:color w:val="000000"/>
                <w:sz w:val="14"/>
                <w:szCs w:val="14"/>
              </w:rPr>
              <w:t>  </w:t>
            </w: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22CFDFAC" w14:textId="77777777" w:rsidR="002661BA" w:rsidRDefault="00D972BC">
            <w:pPr>
              <w:jc w:val="center"/>
              <w:textAlignment w:val="bottom"/>
            </w:pPr>
            <w:r>
              <w:rPr>
                <w:rFonts w:ascii="Arial" w:eastAsia="宋体" w:hAnsi="Arial" w:cs="Arial"/>
                <w:b/>
                <w:bCs/>
                <w:color w:val="000000"/>
                <w:sz w:val="14"/>
                <w:szCs w:val="14"/>
              </w:rPr>
              <w:t>Exhibit Description</w:t>
            </w:r>
          </w:p>
        </w:tc>
        <w:tc>
          <w:tcPr>
            <w:tcW w:w="0" w:type="auto"/>
            <w:gridSpan w:val="3"/>
            <w:shd w:val="clear" w:color="auto" w:fill="auto"/>
            <w:tcMar>
              <w:top w:w="40" w:type="dxa"/>
              <w:left w:w="20" w:type="dxa"/>
              <w:bottom w:w="40" w:type="dxa"/>
              <w:right w:w="20" w:type="dxa"/>
            </w:tcMar>
            <w:vAlign w:val="bottom"/>
          </w:tcPr>
          <w:p w14:paraId="22CFDFAD" w14:textId="77777777" w:rsidR="002661BA" w:rsidRDefault="00D972BC">
            <w:pPr>
              <w:textAlignment w:val="bottom"/>
            </w:pPr>
            <w:r>
              <w:rPr>
                <w:rFonts w:ascii="Arial" w:eastAsia="宋体" w:hAnsi="Arial" w:cs="Arial"/>
                <w:color w:val="000000"/>
                <w:sz w:val="14"/>
                <w:szCs w:val="14"/>
              </w:rPr>
              <w:t> </w:t>
            </w: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22CFDFAE" w14:textId="77777777" w:rsidR="002661BA" w:rsidRDefault="00D972BC">
            <w:pPr>
              <w:jc w:val="center"/>
              <w:textAlignment w:val="bottom"/>
            </w:pPr>
            <w:r>
              <w:rPr>
                <w:rFonts w:ascii="Arial" w:eastAsia="宋体" w:hAnsi="Arial" w:cs="Arial"/>
                <w:b/>
                <w:bCs/>
                <w:color w:val="000000"/>
                <w:sz w:val="14"/>
                <w:szCs w:val="14"/>
              </w:rPr>
              <w:t>Filed or Furnished with</w:t>
            </w:r>
            <w:r>
              <w:rPr>
                <w:rFonts w:ascii="Arial" w:eastAsia="宋体" w:hAnsi="Arial" w:cs="Arial"/>
                <w:b/>
                <w:bCs/>
                <w:color w:val="000000"/>
                <w:sz w:val="14"/>
                <w:szCs w:val="14"/>
              </w:rPr>
              <w:br/>
              <w:t>this 10-K</w:t>
            </w:r>
          </w:p>
        </w:tc>
        <w:tc>
          <w:tcPr>
            <w:tcW w:w="0" w:type="auto"/>
            <w:gridSpan w:val="3"/>
            <w:shd w:val="clear" w:color="auto" w:fill="auto"/>
            <w:tcMar>
              <w:top w:w="40" w:type="dxa"/>
              <w:left w:w="20" w:type="dxa"/>
              <w:bottom w:w="40" w:type="dxa"/>
              <w:right w:w="20" w:type="dxa"/>
            </w:tcMar>
            <w:vAlign w:val="bottom"/>
          </w:tcPr>
          <w:p w14:paraId="22CFDFAF" w14:textId="77777777" w:rsidR="002661BA" w:rsidRDefault="00D972BC">
            <w:pPr>
              <w:textAlignment w:val="bottom"/>
            </w:pPr>
            <w:r>
              <w:rPr>
                <w:rFonts w:ascii="Arial" w:eastAsia="宋体" w:hAnsi="Arial" w:cs="Arial"/>
                <w:color w:val="000000"/>
                <w:sz w:val="14"/>
                <w:szCs w:val="14"/>
              </w:rPr>
              <w:t> </w:t>
            </w:r>
          </w:p>
        </w:tc>
        <w:tc>
          <w:tcPr>
            <w:tcW w:w="0" w:type="auto"/>
            <w:gridSpan w:val="15"/>
            <w:shd w:val="clear" w:color="auto" w:fill="auto"/>
            <w:tcMar>
              <w:top w:w="40" w:type="dxa"/>
              <w:left w:w="20" w:type="dxa"/>
              <w:bottom w:w="40" w:type="dxa"/>
              <w:right w:w="20" w:type="dxa"/>
            </w:tcMar>
            <w:vAlign w:val="bottom"/>
          </w:tcPr>
          <w:p w14:paraId="22CFDFB0" w14:textId="77777777" w:rsidR="002661BA" w:rsidRDefault="00D972BC">
            <w:pPr>
              <w:jc w:val="center"/>
              <w:textAlignment w:val="bottom"/>
            </w:pPr>
            <w:r>
              <w:rPr>
                <w:rFonts w:ascii="Arial" w:eastAsia="宋体" w:hAnsi="Arial" w:cs="Arial"/>
                <w:b/>
                <w:bCs/>
                <w:color w:val="000000"/>
                <w:sz w:val="14"/>
                <w:szCs w:val="14"/>
              </w:rPr>
              <w:t>Incorporated by Reference</w:t>
            </w:r>
          </w:p>
        </w:tc>
      </w:tr>
      <w:tr w:rsidR="002661BA" w14:paraId="22CFDFBD" w14:textId="77777777">
        <w:trPr>
          <w:trHeight w:val="240"/>
          <w:jc w:val="center"/>
        </w:trPr>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22CFDFB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DFB3" w14:textId="77777777" w:rsidR="002661BA" w:rsidRDefault="00D972BC">
            <w:pPr>
              <w:textAlignment w:val="bottom"/>
            </w:pPr>
            <w:r>
              <w:rPr>
                <w:rFonts w:ascii="Arial" w:eastAsia="宋体" w:hAnsi="Arial" w:cs="Arial"/>
                <w:color w:val="000000"/>
                <w:sz w:val="14"/>
                <w:szCs w:val="14"/>
              </w:rPr>
              <w:t>  </w:t>
            </w: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22CFDFB4" w14:textId="77777777" w:rsidR="002661BA" w:rsidRDefault="002661BA">
            <w:pPr>
              <w:jc w:val="center"/>
              <w:rPr>
                <w:rFonts w:ascii="宋体"/>
              </w:rPr>
            </w:pPr>
          </w:p>
        </w:tc>
        <w:tc>
          <w:tcPr>
            <w:tcW w:w="0" w:type="auto"/>
            <w:gridSpan w:val="3"/>
            <w:shd w:val="clear" w:color="auto" w:fill="auto"/>
            <w:tcMar>
              <w:top w:w="40" w:type="dxa"/>
              <w:left w:w="20" w:type="dxa"/>
              <w:bottom w:w="40" w:type="dxa"/>
              <w:right w:w="20" w:type="dxa"/>
            </w:tcMar>
            <w:vAlign w:val="bottom"/>
          </w:tcPr>
          <w:p w14:paraId="22CFDFB5" w14:textId="77777777" w:rsidR="002661BA" w:rsidRDefault="00D972BC">
            <w:pPr>
              <w:textAlignment w:val="bottom"/>
            </w:pPr>
            <w:r>
              <w:rPr>
                <w:rFonts w:ascii="Arial" w:eastAsia="宋体" w:hAnsi="Arial" w:cs="Arial"/>
                <w:color w:val="000000"/>
                <w:sz w:val="14"/>
                <w:szCs w:val="14"/>
              </w:rPr>
              <w:t> </w:t>
            </w: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22CFDFB6" w14:textId="77777777" w:rsidR="002661BA" w:rsidRDefault="002661BA">
            <w:pPr>
              <w:jc w:val="center"/>
              <w:rPr>
                <w:rFonts w:ascii="宋体"/>
              </w:rPr>
            </w:pPr>
          </w:p>
        </w:tc>
        <w:tc>
          <w:tcPr>
            <w:tcW w:w="0" w:type="auto"/>
            <w:gridSpan w:val="3"/>
            <w:shd w:val="clear" w:color="auto" w:fill="auto"/>
            <w:tcMar>
              <w:top w:w="40" w:type="dxa"/>
              <w:left w:w="20" w:type="dxa"/>
              <w:bottom w:w="40" w:type="dxa"/>
              <w:right w:w="20" w:type="dxa"/>
            </w:tcMar>
            <w:vAlign w:val="bottom"/>
          </w:tcPr>
          <w:p w14:paraId="22CFDFB7" w14:textId="77777777" w:rsidR="002661BA" w:rsidRDefault="00D972BC">
            <w:pPr>
              <w:textAlignment w:val="bottom"/>
            </w:pPr>
            <w:r>
              <w:rPr>
                <w:rFonts w:ascii="Arial" w:eastAsia="宋体" w:hAnsi="Arial" w:cs="Arial"/>
                <w:color w:val="000000"/>
                <w:sz w:val="14"/>
                <w:szCs w:val="14"/>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DFB8" w14:textId="77777777" w:rsidR="002661BA" w:rsidRDefault="00D972BC">
            <w:pPr>
              <w:jc w:val="center"/>
              <w:textAlignment w:val="bottom"/>
            </w:pPr>
            <w:r>
              <w:rPr>
                <w:rFonts w:ascii="Arial" w:eastAsia="宋体" w:hAnsi="Arial" w:cs="Arial"/>
                <w:b/>
                <w:bCs/>
                <w:color w:val="000000"/>
                <w:sz w:val="14"/>
                <w:szCs w:val="14"/>
              </w:rPr>
              <w:t>Form</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FB9" w14:textId="77777777" w:rsidR="002661BA" w:rsidRDefault="00D972BC">
            <w:pPr>
              <w:textAlignment w:val="bottom"/>
            </w:pPr>
            <w:r>
              <w:rPr>
                <w:rFonts w:ascii="Arial" w:eastAsia="宋体" w:hAnsi="Arial" w:cs="Arial"/>
                <w:color w:val="000000"/>
                <w:sz w:val="14"/>
                <w:szCs w:val="14"/>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DFBA" w14:textId="77777777" w:rsidR="002661BA" w:rsidRDefault="00D972BC">
            <w:pPr>
              <w:jc w:val="center"/>
              <w:textAlignment w:val="bottom"/>
            </w:pPr>
            <w:r>
              <w:rPr>
                <w:rFonts w:ascii="Arial" w:eastAsia="宋体" w:hAnsi="Arial" w:cs="Arial"/>
                <w:b/>
                <w:bCs/>
                <w:color w:val="000000"/>
                <w:sz w:val="14"/>
                <w:szCs w:val="14"/>
              </w:rPr>
              <w:t>File No.</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DFBB" w14:textId="77777777" w:rsidR="002661BA" w:rsidRDefault="00D972BC">
            <w:pPr>
              <w:textAlignment w:val="bottom"/>
            </w:pPr>
            <w:r>
              <w:rPr>
                <w:rFonts w:ascii="Arial" w:eastAsia="宋体" w:hAnsi="Arial" w:cs="Arial"/>
                <w:color w:val="000000"/>
                <w:sz w:val="14"/>
                <w:szCs w:val="14"/>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DFBC" w14:textId="77777777" w:rsidR="002661BA" w:rsidRDefault="00D972BC">
            <w:pPr>
              <w:jc w:val="center"/>
              <w:textAlignment w:val="bottom"/>
            </w:pPr>
            <w:r>
              <w:rPr>
                <w:rFonts w:ascii="Arial" w:eastAsia="宋体" w:hAnsi="Arial" w:cs="Arial"/>
                <w:b/>
                <w:bCs/>
                <w:color w:val="000000"/>
                <w:sz w:val="14"/>
                <w:szCs w:val="14"/>
              </w:rPr>
              <w:t>Date Filed</w:t>
            </w:r>
          </w:p>
        </w:tc>
      </w:tr>
      <w:tr w:rsidR="002661BA" w14:paraId="22CFDFC9"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FB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B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C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C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C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C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C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C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C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C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C8" w14:textId="77777777" w:rsidR="002661BA" w:rsidRDefault="002661BA">
            <w:pPr>
              <w:rPr>
                <w:rFonts w:ascii="宋体"/>
              </w:rPr>
            </w:pPr>
          </w:p>
        </w:tc>
      </w:tr>
      <w:tr w:rsidR="002661BA" w14:paraId="22CFDFD5" w14:textId="77777777">
        <w:trPr>
          <w:jc w:val="center"/>
        </w:trPr>
        <w:tc>
          <w:tcPr>
            <w:tcW w:w="0" w:type="auto"/>
            <w:gridSpan w:val="3"/>
            <w:shd w:val="clear" w:color="auto" w:fill="auto"/>
            <w:tcMar>
              <w:top w:w="40" w:type="dxa"/>
              <w:left w:w="20" w:type="dxa"/>
              <w:bottom w:w="40" w:type="dxa"/>
              <w:right w:w="20" w:type="dxa"/>
            </w:tcMar>
          </w:tcPr>
          <w:p w14:paraId="22CFDFCA" w14:textId="77777777" w:rsidR="002661BA" w:rsidRDefault="00D972BC">
            <w:pPr>
              <w:textAlignment w:val="top"/>
            </w:pPr>
            <w:r>
              <w:rPr>
                <w:rFonts w:ascii="Arial" w:eastAsia="宋体" w:hAnsi="Arial" w:cs="Arial"/>
                <w:color w:val="000000"/>
                <w:sz w:val="18"/>
                <w:szCs w:val="18"/>
              </w:rPr>
              <w:t>10.22+</w:t>
            </w:r>
          </w:p>
        </w:tc>
        <w:tc>
          <w:tcPr>
            <w:tcW w:w="0" w:type="auto"/>
            <w:gridSpan w:val="3"/>
            <w:shd w:val="clear" w:color="auto" w:fill="auto"/>
            <w:tcMar>
              <w:top w:w="0" w:type="dxa"/>
              <w:left w:w="20" w:type="dxa"/>
              <w:bottom w:w="0" w:type="dxa"/>
              <w:right w:w="20" w:type="dxa"/>
            </w:tcMar>
            <w:vAlign w:val="bottom"/>
          </w:tcPr>
          <w:p w14:paraId="22CFDFC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CC" w14:textId="77777777" w:rsidR="002661BA" w:rsidRDefault="00D972BC">
            <w:pPr>
              <w:textAlignment w:val="top"/>
            </w:pPr>
            <w:hyperlink r:id="rId205" w:history="1">
              <w:r>
                <w:rPr>
                  <w:rStyle w:val="a5"/>
                  <w:rFonts w:ascii="Arial" w:eastAsia="宋体" w:hAnsi="Arial" w:cs="Arial"/>
                  <w:sz w:val="18"/>
                  <w:szCs w:val="18"/>
                </w:rPr>
                <w:t xml:space="preserve">Form of Global Restricted Stock Unit Agreement (and Performance-Based Restricted Stock Unit Agreement) under Registrant’s 2008 </w:t>
              </w:r>
              <w:r>
                <w:rPr>
                  <w:rStyle w:val="a5"/>
                  <w:rFonts w:ascii="Arial" w:eastAsia="宋体" w:hAnsi="Arial" w:cs="Arial"/>
                  <w:sz w:val="18"/>
                  <w:szCs w:val="18"/>
                </w:rPr>
                <w:t>Equity Incentive Award Plan.</w:t>
              </w:r>
            </w:hyperlink>
          </w:p>
        </w:tc>
        <w:tc>
          <w:tcPr>
            <w:tcW w:w="0" w:type="auto"/>
            <w:gridSpan w:val="3"/>
            <w:shd w:val="clear" w:color="auto" w:fill="auto"/>
            <w:tcMar>
              <w:top w:w="0" w:type="dxa"/>
              <w:left w:w="20" w:type="dxa"/>
              <w:bottom w:w="0" w:type="dxa"/>
              <w:right w:w="20" w:type="dxa"/>
            </w:tcMar>
            <w:vAlign w:val="bottom"/>
          </w:tcPr>
          <w:p w14:paraId="22CFDFC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C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C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D0"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DFD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D2"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DFD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D4" w14:textId="77777777" w:rsidR="002661BA" w:rsidRDefault="00D972BC">
            <w:pPr>
              <w:jc w:val="center"/>
              <w:textAlignment w:val="top"/>
            </w:pPr>
            <w:r>
              <w:rPr>
                <w:rFonts w:ascii="Arial" w:eastAsia="宋体" w:hAnsi="Arial" w:cs="Arial"/>
                <w:color w:val="000000"/>
                <w:sz w:val="18"/>
                <w:szCs w:val="18"/>
              </w:rPr>
              <w:t>7/18/2014</w:t>
            </w:r>
          </w:p>
        </w:tc>
      </w:tr>
      <w:tr w:rsidR="002661BA" w14:paraId="22CFDFE1"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FD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D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D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D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D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D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D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D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D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D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E0" w14:textId="77777777" w:rsidR="002661BA" w:rsidRDefault="002661BA">
            <w:pPr>
              <w:rPr>
                <w:rFonts w:ascii="宋体"/>
              </w:rPr>
            </w:pPr>
          </w:p>
        </w:tc>
      </w:tr>
      <w:tr w:rsidR="002661BA" w14:paraId="22CFDFED" w14:textId="77777777">
        <w:trPr>
          <w:jc w:val="center"/>
        </w:trPr>
        <w:tc>
          <w:tcPr>
            <w:tcW w:w="0" w:type="auto"/>
            <w:gridSpan w:val="3"/>
            <w:shd w:val="clear" w:color="auto" w:fill="auto"/>
            <w:tcMar>
              <w:top w:w="40" w:type="dxa"/>
              <w:left w:w="20" w:type="dxa"/>
              <w:bottom w:w="40" w:type="dxa"/>
              <w:right w:w="20" w:type="dxa"/>
            </w:tcMar>
          </w:tcPr>
          <w:p w14:paraId="22CFDFE2" w14:textId="77777777" w:rsidR="002661BA" w:rsidRDefault="00D972BC">
            <w:pPr>
              <w:textAlignment w:val="top"/>
            </w:pPr>
            <w:r>
              <w:rPr>
                <w:rFonts w:ascii="Arial" w:eastAsia="宋体" w:hAnsi="Arial" w:cs="Arial"/>
                <w:color w:val="000000"/>
                <w:sz w:val="18"/>
                <w:szCs w:val="18"/>
              </w:rPr>
              <w:t>10.23+</w:t>
            </w:r>
          </w:p>
        </w:tc>
        <w:tc>
          <w:tcPr>
            <w:tcW w:w="0" w:type="auto"/>
            <w:gridSpan w:val="3"/>
            <w:shd w:val="clear" w:color="auto" w:fill="auto"/>
            <w:tcMar>
              <w:top w:w="0" w:type="dxa"/>
              <w:left w:w="20" w:type="dxa"/>
              <w:bottom w:w="0" w:type="dxa"/>
              <w:right w:w="20" w:type="dxa"/>
            </w:tcMar>
            <w:vAlign w:val="bottom"/>
          </w:tcPr>
          <w:p w14:paraId="22CFDFE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E4" w14:textId="77777777" w:rsidR="002661BA" w:rsidRDefault="00D972BC">
            <w:pPr>
              <w:textAlignment w:val="top"/>
            </w:pPr>
            <w:hyperlink r:id="rId206" w:history="1">
              <w:r>
                <w:rPr>
                  <w:rStyle w:val="a5"/>
                  <w:rFonts w:ascii="Arial" w:eastAsia="宋体" w:hAnsi="Arial" w:cs="Arial"/>
                  <w:sz w:val="18"/>
                  <w:szCs w:val="18"/>
                </w:rPr>
                <w:t>Form of Performance Based Restricted Stock Unit Award Agreement under Registrant’s 2008 Equity Incentive Award Plan.</w:t>
              </w:r>
            </w:hyperlink>
          </w:p>
        </w:tc>
        <w:tc>
          <w:tcPr>
            <w:tcW w:w="0" w:type="auto"/>
            <w:gridSpan w:val="3"/>
            <w:shd w:val="clear" w:color="auto" w:fill="auto"/>
            <w:tcMar>
              <w:top w:w="0" w:type="dxa"/>
              <w:left w:w="20" w:type="dxa"/>
              <w:bottom w:w="0" w:type="dxa"/>
              <w:right w:w="20" w:type="dxa"/>
            </w:tcMar>
            <w:vAlign w:val="bottom"/>
          </w:tcPr>
          <w:p w14:paraId="22CFDFE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E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E7"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E8"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DFE9"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EA"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DFE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EC" w14:textId="77777777" w:rsidR="002661BA" w:rsidRDefault="00D972BC">
            <w:pPr>
              <w:jc w:val="center"/>
              <w:textAlignment w:val="top"/>
            </w:pPr>
            <w:r>
              <w:rPr>
                <w:rFonts w:ascii="Arial" w:eastAsia="宋体" w:hAnsi="Arial" w:cs="Arial"/>
                <w:color w:val="000000"/>
                <w:sz w:val="18"/>
                <w:szCs w:val="18"/>
              </w:rPr>
              <w:t>4/27/2016</w:t>
            </w:r>
          </w:p>
        </w:tc>
      </w:tr>
      <w:tr w:rsidR="002661BA" w14:paraId="22CFDFF9" w14:textId="77777777">
        <w:trPr>
          <w:trHeight w:val="60"/>
          <w:jc w:val="center"/>
        </w:trPr>
        <w:tc>
          <w:tcPr>
            <w:tcW w:w="0" w:type="auto"/>
            <w:gridSpan w:val="3"/>
            <w:shd w:val="clear" w:color="auto" w:fill="auto"/>
            <w:tcMar>
              <w:top w:w="0" w:type="dxa"/>
              <w:left w:w="20" w:type="dxa"/>
              <w:bottom w:w="0" w:type="dxa"/>
              <w:right w:w="20" w:type="dxa"/>
            </w:tcMar>
            <w:vAlign w:val="bottom"/>
          </w:tcPr>
          <w:p w14:paraId="22CFDFE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E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F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F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F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F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F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F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F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F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F8" w14:textId="77777777" w:rsidR="002661BA" w:rsidRDefault="002661BA">
            <w:pPr>
              <w:rPr>
                <w:rFonts w:ascii="宋体"/>
              </w:rPr>
            </w:pPr>
          </w:p>
        </w:tc>
      </w:tr>
      <w:tr w:rsidR="002661BA" w14:paraId="22CFE005" w14:textId="77777777">
        <w:trPr>
          <w:jc w:val="center"/>
        </w:trPr>
        <w:tc>
          <w:tcPr>
            <w:tcW w:w="0" w:type="auto"/>
            <w:gridSpan w:val="3"/>
            <w:shd w:val="clear" w:color="auto" w:fill="auto"/>
            <w:tcMar>
              <w:top w:w="40" w:type="dxa"/>
              <w:left w:w="20" w:type="dxa"/>
              <w:bottom w:w="40" w:type="dxa"/>
              <w:right w:w="20" w:type="dxa"/>
            </w:tcMar>
          </w:tcPr>
          <w:p w14:paraId="22CFDFFA" w14:textId="77777777" w:rsidR="002661BA" w:rsidRDefault="00D972BC">
            <w:pPr>
              <w:textAlignment w:val="top"/>
            </w:pPr>
            <w:r>
              <w:rPr>
                <w:rFonts w:ascii="Arial" w:eastAsia="宋体" w:hAnsi="Arial" w:cs="Arial"/>
                <w:color w:val="000000"/>
                <w:sz w:val="18"/>
                <w:szCs w:val="18"/>
              </w:rPr>
              <w:t>10.24+</w:t>
            </w:r>
          </w:p>
        </w:tc>
        <w:tc>
          <w:tcPr>
            <w:tcW w:w="0" w:type="auto"/>
            <w:gridSpan w:val="3"/>
            <w:shd w:val="clear" w:color="auto" w:fill="auto"/>
            <w:tcMar>
              <w:top w:w="0" w:type="dxa"/>
              <w:left w:w="20" w:type="dxa"/>
              <w:bottom w:w="0" w:type="dxa"/>
              <w:right w:w="20" w:type="dxa"/>
            </w:tcMar>
            <w:vAlign w:val="bottom"/>
          </w:tcPr>
          <w:p w14:paraId="22CFDFF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DFFC" w14:textId="77777777" w:rsidR="002661BA" w:rsidRDefault="00D972BC">
            <w:pPr>
              <w:textAlignment w:val="top"/>
            </w:pPr>
            <w:hyperlink r:id="rId207" w:history="1">
              <w:r>
                <w:rPr>
                  <w:rStyle w:val="a5"/>
                  <w:rFonts w:ascii="Arial" w:eastAsia="宋体" w:hAnsi="Arial" w:cs="Arial"/>
                  <w:sz w:val="18"/>
                  <w:szCs w:val="18"/>
                </w:rPr>
                <w:t>Form of Stock Payment Award Agreement under Registrant’s 2008 Equity Incentive Award Plan.</w:t>
              </w:r>
            </w:hyperlink>
          </w:p>
        </w:tc>
        <w:tc>
          <w:tcPr>
            <w:tcW w:w="0" w:type="auto"/>
            <w:gridSpan w:val="3"/>
            <w:shd w:val="clear" w:color="auto" w:fill="auto"/>
            <w:tcMar>
              <w:top w:w="0" w:type="dxa"/>
              <w:left w:w="20" w:type="dxa"/>
              <w:bottom w:w="0" w:type="dxa"/>
              <w:right w:w="20" w:type="dxa"/>
            </w:tcMar>
            <w:vAlign w:val="bottom"/>
          </w:tcPr>
          <w:p w14:paraId="22CFDFF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F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DFF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00"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E00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02"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E00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04" w14:textId="77777777" w:rsidR="002661BA" w:rsidRDefault="00D972BC">
            <w:pPr>
              <w:jc w:val="center"/>
              <w:textAlignment w:val="top"/>
            </w:pPr>
            <w:r>
              <w:rPr>
                <w:rFonts w:ascii="Arial" w:eastAsia="宋体" w:hAnsi="Arial" w:cs="Arial"/>
                <w:color w:val="000000"/>
                <w:sz w:val="18"/>
                <w:szCs w:val="18"/>
              </w:rPr>
              <w:t>7/21/2016</w:t>
            </w:r>
          </w:p>
        </w:tc>
      </w:tr>
      <w:tr w:rsidR="002661BA" w14:paraId="22CFE011"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00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0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0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0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0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0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0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0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0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0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10" w14:textId="77777777" w:rsidR="002661BA" w:rsidRDefault="002661BA">
            <w:pPr>
              <w:rPr>
                <w:rFonts w:ascii="宋体"/>
              </w:rPr>
            </w:pPr>
          </w:p>
        </w:tc>
      </w:tr>
      <w:tr w:rsidR="002661BA" w14:paraId="22CFE01D" w14:textId="77777777">
        <w:trPr>
          <w:jc w:val="center"/>
        </w:trPr>
        <w:tc>
          <w:tcPr>
            <w:tcW w:w="0" w:type="auto"/>
            <w:gridSpan w:val="3"/>
            <w:shd w:val="clear" w:color="auto" w:fill="auto"/>
            <w:tcMar>
              <w:top w:w="40" w:type="dxa"/>
              <w:left w:w="20" w:type="dxa"/>
              <w:bottom w:w="40" w:type="dxa"/>
              <w:right w:w="20" w:type="dxa"/>
            </w:tcMar>
          </w:tcPr>
          <w:p w14:paraId="22CFE012" w14:textId="77777777" w:rsidR="002661BA" w:rsidRDefault="00D972BC">
            <w:pPr>
              <w:textAlignment w:val="top"/>
            </w:pPr>
            <w:r>
              <w:rPr>
                <w:rFonts w:ascii="Arial" w:eastAsia="宋体" w:hAnsi="Arial" w:cs="Arial"/>
                <w:color w:val="000000"/>
                <w:sz w:val="18"/>
                <w:szCs w:val="18"/>
              </w:rPr>
              <w:t>10.25+</w:t>
            </w:r>
          </w:p>
        </w:tc>
        <w:tc>
          <w:tcPr>
            <w:tcW w:w="0" w:type="auto"/>
            <w:gridSpan w:val="3"/>
            <w:shd w:val="clear" w:color="auto" w:fill="auto"/>
            <w:tcMar>
              <w:top w:w="0" w:type="dxa"/>
              <w:left w:w="20" w:type="dxa"/>
              <w:bottom w:w="0" w:type="dxa"/>
              <w:right w:w="20" w:type="dxa"/>
            </w:tcMar>
            <w:vAlign w:val="bottom"/>
          </w:tcPr>
          <w:p w14:paraId="22CFE01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14" w14:textId="77777777" w:rsidR="002661BA" w:rsidRDefault="00D972BC">
            <w:pPr>
              <w:textAlignment w:val="top"/>
            </w:pPr>
            <w:hyperlink r:id="rId208" w:history="1">
              <w:r>
                <w:rPr>
                  <w:rStyle w:val="a5"/>
                  <w:rFonts w:ascii="Arial" w:eastAsia="宋体" w:hAnsi="Arial" w:cs="Arial"/>
                  <w:sz w:val="18"/>
                  <w:szCs w:val="18"/>
                </w:rPr>
                <w:t>Form of Director Restricted Stock Unit Award Agreement under Registrant’s 2008 Equity Incentive Award Plan.</w:t>
              </w:r>
            </w:hyperlink>
          </w:p>
        </w:tc>
        <w:tc>
          <w:tcPr>
            <w:tcW w:w="0" w:type="auto"/>
            <w:gridSpan w:val="3"/>
            <w:shd w:val="clear" w:color="auto" w:fill="auto"/>
            <w:tcMar>
              <w:top w:w="0" w:type="dxa"/>
              <w:left w:w="20" w:type="dxa"/>
              <w:bottom w:w="0" w:type="dxa"/>
              <w:right w:w="20" w:type="dxa"/>
            </w:tcMar>
            <w:vAlign w:val="bottom"/>
          </w:tcPr>
          <w:p w14:paraId="22CFE01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1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17"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18"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E019"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1A"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E01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1C" w14:textId="77777777" w:rsidR="002661BA" w:rsidRDefault="00D972BC">
            <w:pPr>
              <w:jc w:val="center"/>
              <w:textAlignment w:val="top"/>
            </w:pPr>
            <w:r>
              <w:rPr>
                <w:rFonts w:ascii="Arial" w:eastAsia="宋体" w:hAnsi="Arial" w:cs="Arial"/>
                <w:color w:val="000000"/>
                <w:sz w:val="18"/>
                <w:szCs w:val="18"/>
              </w:rPr>
              <w:t>7/21/2016</w:t>
            </w:r>
          </w:p>
        </w:tc>
      </w:tr>
      <w:tr w:rsidR="002661BA" w14:paraId="22CFE029"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01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1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2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2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2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2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2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2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2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2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28" w14:textId="77777777" w:rsidR="002661BA" w:rsidRDefault="002661BA">
            <w:pPr>
              <w:rPr>
                <w:rFonts w:ascii="宋体"/>
              </w:rPr>
            </w:pPr>
          </w:p>
        </w:tc>
      </w:tr>
      <w:tr w:rsidR="002661BA" w14:paraId="22CFE035" w14:textId="77777777">
        <w:trPr>
          <w:jc w:val="center"/>
        </w:trPr>
        <w:tc>
          <w:tcPr>
            <w:tcW w:w="0" w:type="auto"/>
            <w:gridSpan w:val="3"/>
            <w:shd w:val="clear" w:color="auto" w:fill="auto"/>
            <w:tcMar>
              <w:top w:w="40" w:type="dxa"/>
              <w:left w:w="20" w:type="dxa"/>
              <w:bottom w:w="40" w:type="dxa"/>
              <w:right w:w="20" w:type="dxa"/>
            </w:tcMar>
          </w:tcPr>
          <w:p w14:paraId="22CFE02A" w14:textId="77777777" w:rsidR="002661BA" w:rsidRDefault="00D972BC">
            <w:pPr>
              <w:textAlignment w:val="top"/>
            </w:pPr>
            <w:r>
              <w:rPr>
                <w:rFonts w:ascii="Arial" w:eastAsia="宋体" w:hAnsi="Arial" w:cs="Arial"/>
                <w:color w:val="000000"/>
                <w:sz w:val="18"/>
                <w:szCs w:val="18"/>
              </w:rPr>
              <w:t>10.26+</w:t>
            </w:r>
          </w:p>
        </w:tc>
        <w:tc>
          <w:tcPr>
            <w:tcW w:w="0" w:type="auto"/>
            <w:gridSpan w:val="3"/>
            <w:shd w:val="clear" w:color="auto" w:fill="auto"/>
            <w:tcMar>
              <w:top w:w="0" w:type="dxa"/>
              <w:left w:w="20" w:type="dxa"/>
              <w:bottom w:w="0" w:type="dxa"/>
              <w:right w:w="20" w:type="dxa"/>
            </w:tcMar>
            <w:vAlign w:val="bottom"/>
          </w:tcPr>
          <w:p w14:paraId="22CFE02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2C" w14:textId="77777777" w:rsidR="002661BA" w:rsidRDefault="00D972BC">
            <w:pPr>
              <w:textAlignment w:val="top"/>
            </w:pPr>
            <w:hyperlink r:id="rId209" w:history="1">
              <w:r>
                <w:rPr>
                  <w:rStyle w:val="a5"/>
                  <w:rFonts w:ascii="Arial" w:eastAsia="宋体" w:hAnsi="Arial" w:cs="Arial"/>
                  <w:sz w:val="18"/>
                  <w:szCs w:val="18"/>
                </w:rPr>
                <w:t xml:space="preserve">Form of Performance Based Restricted Stock Unit Award Grant Notice and Performance Based Restricted Stock Unit Award Agreement under </w:t>
              </w:r>
              <w:r>
                <w:rPr>
                  <w:rStyle w:val="a5"/>
                  <w:rFonts w:ascii="Arial" w:eastAsia="宋体" w:hAnsi="Arial" w:cs="Arial"/>
                  <w:sz w:val="18"/>
                  <w:szCs w:val="18"/>
                </w:rPr>
                <w:t>Registrant’s 2008 Equity Incentive Award Plan.</w:t>
              </w:r>
            </w:hyperlink>
          </w:p>
        </w:tc>
        <w:tc>
          <w:tcPr>
            <w:tcW w:w="0" w:type="auto"/>
            <w:gridSpan w:val="3"/>
            <w:shd w:val="clear" w:color="auto" w:fill="auto"/>
            <w:tcMar>
              <w:top w:w="0" w:type="dxa"/>
              <w:left w:w="20" w:type="dxa"/>
              <w:bottom w:w="0" w:type="dxa"/>
              <w:right w:w="20" w:type="dxa"/>
            </w:tcMar>
            <w:vAlign w:val="bottom"/>
          </w:tcPr>
          <w:p w14:paraId="22CFE02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2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2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30" w14:textId="77777777" w:rsidR="002661BA" w:rsidRDefault="00D972BC">
            <w:pPr>
              <w:jc w:val="center"/>
              <w:textAlignment w:val="top"/>
            </w:pPr>
            <w:r>
              <w:rPr>
                <w:rFonts w:ascii="Arial" w:eastAsia="宋体" w:hAnsi="Arial" w:cs="Arial"/>
                <w:color w:val="000000"/>
                <w:sz w:val="18"/>
                <w:szCs w:val="18"/>
              </w:rPr>
              <w:t>10-K</w:t>
            </w:r>
          </w:p>
        </w:tc>
        <w:tc>
          <w:tcPr>
            <w:tcW w:w="0" w:type="auto"/>
            <w:gridSpan w:val="3"/>
            <w:shd w:val="clear" w:color="auto" w:fill="auto"/>
            <w:tcMar>
              <w:top w:w="0" w:type="dxa"/>
              <w:left w:w="20" w:type="dxa"/>
              <w:bottom w:w="0" w:type="dxa"/>
              <w:right w:w="20" w:type="dxa"/>
            </w:tcMar>
            <w:vAlign w:val="bottom"/>
          </w:tcPr>
          <w:p w14:paraId="22CFE03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32"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E03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34" w14:textId="77777777" w:rsidR="002661BA" w:rsidRDefault="00D972BC">
            <w:pPr>
              <w:jc w:val="center"/>
              <w:textAlignment w:val="top"/>
            </w:pPr>
            <w:r>
              <w:rPr>
                <w:rFonts w:ascii="Arial" w:eastAsia="宋体" w:hAnsi="Arial" w:cs="Arial"/>
                <w:color w:val="000000"/>
                <w:sz w:val="18"/>
                <w:szCs w:val="18"/>
              </w:rPr>
              <w:t>1/30/2019</w:t>
            </w:r>
          </w:p>
        </w:tc>
      </w:tr>
      <w:tr w:rsidR="002661BA" w14:paraId="22CFE041"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03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3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3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3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3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3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3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3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3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3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40" w14:textId="77777777" w:rsidR="002661BA" w:rsidRDefault="002661BA">
            <w:pPr>
              <w:rPr>
                <w:rFonts w:ascii="宋体"/>
              </w:rPr>
            </w:pPr>
          </w:p>
        </w:tc>
      </w:tr>
      <w:tr w:rsidR="002661BA" w14:paraId="22CFE04D" w14:textId="77777777">
        <w:trPr>
          <w:jc w:val="center"/>
        </w:trPr>
        <w:tc>
          <w:tcPr>
            <w:tcW w:w="0" w:type="auto"/>
            <w:gridSpan w:val="3"/>
            <w:shd w:val="clear" w:color="auto" w:fill="auto"/>
            <w:tcMar>
              <w:top w:w="40" w:type="dxa"/>
              <w:left w:w="20" w:type="dxa"/>
              <w:bottom w:w="40" w:type="dxa"/>
              <w:right w:w="20" w:type="dxa"/>
            </w:tcMar>
          </w:tcPr>
          <w:p w14:paraId="22CFE042" w14:textId="77777777" w:rsidR="002661BA" w:rsidRDefault="00D972BC">
            <w:pPr>
              <w:textAlignment w:val="top"/>
            </w:pPr>
            <w:r>
              <w:rPr>
                <w:rFonts w:ascii="Arial" w:eastAsia="宋体" w:hAnsi="Arial" w:cs="Arial"/>
                <w:color w:val="000000"/>
                <w:sz w:val="18"/>
                <w:szCs w:val="18"/>
              </w:rPr>
              <w:t>10.27+</w:t>
            </w:r>
          </w:p>
        </w:tc>
        <w:tc>
          <w:tcPr>
            <w:tcW w:w="0" w:type="auto"/>
            <w:gridSpan w:val="3"/>
            <w:shd w:val="clear" w:color="auto" w:fill="auto"/>
            <w:tcMar>
              <w:top w:w="0" w:type="dxa"/>
              <w:left w:w="20" w:type="dxa"/>
              <w:bottom w:w="0" w:type="dxa"/>
              <w:right w:w="20" w:type="dxa"/>
            </w:tcMar>
            <w:vAlign w:val="bottom"/>
          </w:tcPr>
          <w:p w14:paraId="22CFE04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44" w14:textId="77777777" w:rsidR="002661BA" w:rsidRDefault="00D972BC">
            <w:pPr>
              <w:textAlignment w:val="top"/>
            </w:pPr>
            <w:hyperlink r:id="rId210" w:history="1">
              <w:r>
                <w:rPr>
                  <w:rStyle w:val="a5"/>
                  <w:rFonts w:ascii="Arial" w:eastAsia="宋体" w:hAnsi="Arial" w:cs="Arial"/>
                  <w:sz w:val="18"/>
                  <w:szCs w:val="18"/>
                </w:rPr>
                <w:t>Form of Restricted Stock Unit Award Grant Notice and Restricted Stock Unit Award Agreement under Registrant’s 2008 Equity Incentive Award Plan.</w:t>
              </w:r>
            </w:hyperlink>
          </w:p>
        </w:tc>
        <w:tc>
          <w:tcPr>
            <w:tcW w:w="0" w:type="auto"/>
            <w:gridSpan w:val="3"/>
            <w:shd w:val="clear" w:color="auto" w:fill="auto"/>
            <w:tcMar>
              <w:top w:w="0" w:type="dxa"/>
              <w:left w:w="20" w:type="dxa"/>
              <w:bottom w:w="0" w:type="dxa"/>
              <w:right w:w="20" w:type="dxa"/>
            </w:tcMar>
            <w:vAlign w:val="bottom"/>
          </w:tcPr>
          <w:p w14:paraId="22CFE04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4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47"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48" w14:textId="77777777" w:rsidR="002661BA" w:rsidRDefault="00D972BC">
            <w:pPr>
              <w:jc w:val="center"/>
              <w:textAlignment w:val="top"/>
            </w:pPr>
            <w:r>
              <w:rPr>
                <w:rFonts w:ascii="Arial" w:eastAsia="宋体" w:hAnsi="Arial" w:cs="Arial"/>
                <w:color w:val="000000"/>
                <w:sz w:val="18"/>
                <w:szCs w:val="18"/>
              </w:rPr>
              <w:t>10-K</w:t>
            </w:r>
          </w:p>
        </w:tc>
        <w:tc>
          <w:tcPr>
            <w:tcW w:w="0" w:type="auto"/>
            <w:gridSpan w:val="3"/>
            <w:shd w:val="clear" w:color="auto" w:fill="auto"/>
            <w:tcMar>
              <w:top w:w="0" w:type="dxa"/>
              <w:left w:w="20" w:type="dxa"/>
              <w:bottom w:w="0" w:type="dxa"/>
              <w:right w:w="20" w:type="dxa"/>
            </w:tcMar>
            <w:vAlign w:val="bottom"/>
          </w:tcPr>
          <w:p w14:paraId="22CFE049"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4A"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E04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4C" w14:textId="77777777" w:rsidR="002661BA" w:rsidRDefault="00D972BC">
            <w:pPr>
              <w:jc w:val="center"/>
              <w:textAlignment w:val="top"/>
            </w:pPr>
            <w:r>
              <w:rPr>
                <w:rFonts w:ascii="Arial" w:eastAsia="宋体" w:hAnsi="Arial" w:cs="Arial"/>
                <w:color w:val="000000"/>
                <w:sz w:val="18"/>
                <w:szCs w:val="18"/>
              </w:rPr>
              <w:t>1/30/2019</w:t>
            </w:r>
          </w:p>
        </w:tc>
      </w:tr>
      <w:tr w:rsidR="002661BA" w14:paraId="22CFE059"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04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4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5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5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5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5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5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5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5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5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58" w14:textId="77777777" w:rsidR="002661BA" w:rsidRDefault="002661BA">
            <w:pPr>
              <w:rPr>
                <w:rFonts w:ascii="宋体"/>
              </w:rPr>
            </w:pPr>
          </w:p>
        </w:tc>
      </w:tr>
      <w:tr w:rsidR="002661BA" w14:paraId="22CFE065" w14:textId="77777777">
        <w:trPr>
          <w:jc w:val="center"/>
        </w:trPr>
        <w:tc>
          <w:tcPr>
            <w:tcW w:w="0" w:type="auto"/>
            <w:gridSpan w:val="3"/>
            <w:shd w:val="clear" w:color="auto" w:fill="auto"/>
            <w:tcMar>
              <w:top w:w="40" w:type="dxa"/>
              <w:left w:w="20" w:type="dxa"/>
              <w:bottom w:w="40" w:type="dxa"/>
              <w:right w:w="20" w:type="dxa"/>
            </w:tcMar>
          </w:tcPr>
          <w:p w14:paraId="22CFE05A" w14:textId="77777777" w:rsidR="002661BA" w:rsidRDefault="00D972BC">
            <w:pPr>
              <w:textAlignment w:val="top"/>
            </w:pPr>
            <w:r>
              <w:rPr>
                <w:rFonts w:ascii="Arial" w:eastAsia="宋体" w:hAnsi="Arial" w:cs="Arial"/>
                <w:color w:val="000000"/>
                <w:sz w:val="18"/>
                <w:szCs w:val="18"/>
              </w:rPr>
              <w:t>10.28+</w:t>
            </w:r>
          </w:p>
        </w:tc>
        <w:tc>
          <w:tcPr>
            <w:tcW w:w="0" w:type="auto"/>
            <w:gridSpan w:val="3"/>
            <w:shd w:val="clear" w:color="auto" w:fill="auto"/>
            <w:tcMar>
              <w:top w:w="0" w:type="dxa"/>
              <w:left w:w="20" w:type="dxa"/>
              <w:bottom w:w="0" w:type="dxa"/>
              <w:right w:w="20" w:type="dxa"/>
            </w:tcMar>
            <w:vAlign w:val="bottom"/>
          </w:tcPr>
          <w:p w14:paraId="22CFE05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5C" w14:textId="77777777" w:rsidR="002661BA" w:rsidRDefault="00D972BC">
            <w:pPr>
              <w:textAlignment w:val="top"/>
            </w:pPr>
            <w:hyperlink r:id="rId211" w:history="1">
              <w:r>
                <w:rPr>
                  <w:rStyle w:val="a5"/>
                  <w:rFonts w:ascii="Arial" w:eastAsia="宋体" w:hAnsi="Arial" w:cs="Arial"/>
                  <w:sz w:val="18"/>
                  <w:szCs w:val="18"/>
                </w:rPr>
                <w:t xml:space="preserve">Notice Regarding Payment of Dividend Equivalents on Restricted Stock Units and Performance-Based </w:t>
              </w:r>
              <w:r>
                <w:rPr>
                  <w:rStyle w:val="a5"/>
                  <w:rFonts w:ascii="Arial" w:eastAsia="宋体" w:hAnsi="Arial" w:cs="Arial"/>
                  <w:sz w:val="18"/>
                  <w:szCs w:val="18"/>
                </w:rPr>
                <w:t>Restricted Stock Units under Registrant’s 2008 Equity Incentive Award Plan.</w:t>
              </w:r>
            </w:hyperlink>
          </w:p>
        </w:tc>
        <w:tc>
          <w:tcPr>
            <w:tcW w:w="0" w:type="auto"/>
            <w:gridSpan w:val="3"/>
            <w:shd w:val="clear" w:color="auto" w:fill="auto"/>
            <w:tcMar>
              <w:top w:w="0" w:type="dxa"/>
              <w:left w:w="20" w:type="dxa"/>
              <w:bottom w:w="0" w:type="dxa"/>
              <w:right w:w="20" w:type="dxa"/>
            </w:tcMar>
            <w:vAlign w:val="bottom"/>
          </w:tcPr>
          <w:p w14:paraId="22CFE05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5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5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60" w14:textId="77777777" w:rsidR="002661BA" w:rsidRDefault="00D972BC">
            <w:pPr>
              <w:jc w:val="center"/>
              <w:textAlignment w:val="top"/>
            </w:pPr>
            <w:r>
              <w:rPr>
                <w:rFonts w:ascii="Arial" w:eastAsia="宋体" w:hAnsi="Arial" w:cs="Arial"/>
                <w:color w:val="000000"/>
                <w:sz w:val="18"/>
                <w:szCs w:val="18"/>
              </w:rPr>
              <w:t>10-K</w:t>
            </w:r>
          </w:p>
        </w:tc>
        <w:tc>
          <w:tcPr>
            <w:tcW w:w="0" w:type="auto"/>
            <w:gridSpan w:val="3"/>
            <w:shd w:val="clear" w:color="auto" w:fill="auto"/>
            <w:tcMar>
              <w:top w:w="0" w:type="dxa"/>
              <w:left w:w="20" w:type="dxa"/>
              <w:bottom w:w="0" w:type="dxa"/>
              <w:right w:w="20" w:type="dxa"/>
            </w:tcMar>
            <w:vAlign w:val="bottom"/>
          </w:tcPr>
          <w:p w14:paraId="22CFE06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62"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E06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64" w14:textId="77777777" w:rsidR="002661BA" w:rsidRDefault="00D972BC">
            <w:pPr>
              <w:jc w:val="center"/>
              <w:textAlignment w:val="top"/>
            </w:pPr>
            <w:r>
              <w:rPr>
                <w:rFonts w:ascii="Arial" w:eastAsia="宋体" w:hAnsi="Arial" w:cs="Arial"/>
                <w:color w:val="000000"/>
                <w:sz w:val="18"/>
                <w:szCs w:val="18"/>
              </w:rPr>
              <w:t>1/30/2019</w:t>
            </w:r>
          </w:p>
        </w:tc>
      </w:tr>
      <w:tr w:rsidR="002661BA" w14:paraId="22CFE071"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06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6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6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6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6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6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6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6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6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6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70" w14:textId="77777777" w:rsidR="002661BA" w:rsidRDefault="002661BA">
            <w:pPr>
              <w:rPr>
                <w:rFonts w:ascii="宋体"/>
              </w:rPr>
            </w:pPr>
          </w:p>
        </w:tc>
      </w:tr>
      <w:tr w:rsidR="002661BA" w14:paraId="22CFE07D" w14:textId="77777777">
        <w:trPr>
          <w:jc w:val="center"/>
        </w:trPr>
        <w:tc>
          <w:tcPr>
            <w:tcW w:w="0" w:type="auto"/>
            <w:gridSpan w:val="3"/>
            <w:shd w:val="clear" w:color="auto" w:fill="auto"/>
            <w:tcMar>
              <w:top w:w="40" w:type="dxa"/>
              <w:left w:w="20" w:type="dxa"/>
              <w:bottom w:w="40" w:type="dxa"/>
              <w:right w:w="20" w:type="dxa"/>
            </w:tcMar>
          </w:tcPr>
          <w:p w14:paraId="22CFE072" w14:textId="77777777" w:rsidR="002661BA" w:rsidRDefault="00D972BC">
            <w:pPr>
              <w:textAlignment w:val="top"/>
            </w:pPr>
            <w:r>
              <w:rPr>
                <w:rFonts w:ascii="Arial" w:eastAsia="宋体" w:hAnsi="Arial" w:cs="Arial"/>
                <w:color w:val="000000"/>
                <w:sz w:val="18"/>
                <w:szCs w:val="18"/>
              </w:rPr>
              <w:t>10.29</w:t>
            </w:r>
          </w:p>
        </w:tc>
        <w:tc>
          <w:tcPr>
            <w:tcW w:w="0" w:type="auto"/>
            <w:gridSpan w:val="3"/>
            <w:shd w:val="clear" w:color="auto" w:fill="auto"/>
            <w:tcMar>
              <w:top w:w="0" w:type="dxa"/>
              <w:left w:w="20" w:type="dxa"/>
              <w:bottom w:w="0" w:type="dxa"/>
              <w:right w:w="20" w:type="dxa"/>
            </w:tcMar>
            <w:vAlign w:val="bottom"/>
          </w:tcPr>
          <w:p w14:paraId="22CFE07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074" w14:textId="77777777" w:rsidR="002661BA" w:rsidRDefault="00D972BC">
            <w:pPr>
              <w:textAlignment w:val="bottom"/>
            </w:pPr>
            <w:hyperlink r:id="rId212" w:history="1">
              <w:r>
                <w:rPr>
                  <w:rStyle w:val="a5"/>
                  <w:rFonts w:ascii="Arial" w:eastAsia="宋体" w:hAnsi="Arial" w:cs="Arial"/>
                  <w:sz w:val="18"/>
                  <w:szCs w:val="18"/>
                </w:rPr>
                <w:t>Amendment dated June 30, 2016, to the Operating Agreement by and among Registrant, eBay International AG, PayPal Holdings, Inc., PayPal, Inc., PayPal Pte. L</w:t>
              </w:r>
              <w:r>
                <w:rPr>
                  <w:rStyle w:val="a5"/>
                  <w:rFonts w:ascii="Arial" w:eastAsia="宋体" w:hAnsi="Arial" w:cs="Arial"/>
                  <w:sz w:val="18"/>
                  <w:szCs w:val="18"/>
                </w:rPr>
                <w:t>td. and PayPal Payments Pte. Holdings S.C.S.</w:t>
              </w:r>
            </w:hyperlink>
          </w:p>
        </w:tc>
        <w:tc>
          <w:tcPr>
            <w:tcW w:w="0" w:type="auto"/>
            <w:gridSpan w:val="3"/>
            <w:shd w:val="clear" w:color="auto" w:fill="auto"/>
            <w:tcMar>
              <w:top w:w="0" w:type="dxa"/>
              <w:left w:w="20" w:type="dxa"/>
              <w:bottom w:w="0" w:type="dxa"/>
              <w:right w:w="20" w:type="dxa"/>
            </w:tcMar>
            <w:vAlign w:val="bottom"/>
          </w:tcPr>
          <w:p w14:paraId="22CFE07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7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77"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78"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E079"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7A"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E07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7C" w14:textId="77777777" w:rsidR="002661BA" w:rsidRDefault="00D972BC">
            <w:pPr>
              <w:jc w:val="center"/>
              <w:textAlignment w:val="top"/>
            </w:pPr>
            <w:r>
              <w:rPr>
                <w:rFonts w:ascii="Arial" w:eastAsia="宋体" w:hAnsi="Arial" w:cs="Arial"/>
                <w:color w:val="000000"/>
                <w:sz w:val="18"/>
                <w:szCs w:val="18"/>
              </w:rPr>
              <w:t>7/21/2016</w:t>
            </w:r>
          </w:p>
        </w:tc>
      </w:tr>
      <w:tr w:rsidR="002661BA" w14:paraId="22CFE089"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07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7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8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8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8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8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8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8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8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8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88" w14:textId="77777777" w:rsidR="002661BA" w:rsidRDefault="002661BA">
            <w:pPr>
              <w:rPr>
                <w:rFonts w:ascii="宋体"/>
              </w:rPr>
            </w:pPr>
          </w:p>
        </w:tc>
      </w:tr>
      <w:tr w:rsidR="002661BA" w14:paraId="22CFE095" w14:textId="77777777">
        <w:trPr>
          <w:jc w:val="center"/>
        </w:trPr>
        <w:tc>
          <w:tcPr>
            <w:tcW w:w="0" w:type="auto"/>
            <w:gridSpan w:val="3"/>
            <w:shd w:val="clear" w:color="auto" w:fill="auto"/>
            <w:tcMar>
              <w:top w:w="40" w:type="dxa"/>
              <w:left w:w="20" w:type="dxa"/>
              <w:bottom w:w="40" w:type="dxa"/>
              <w:right w:w="20" w:type="dxa"/>
            </w:tcMar>
          </w:tcPr>
          <w:p w14:paraId="22CFE08A" w14:textId="77777777" w:rsidR="002661BA" w:rsidRDefault="00D972BC">
            <w:pPr>
              <w:textAlignment w:val="top"/>
            </w:pPr>
            <w:r>
              <w:rPr>
                <w:rFonts w:ascii="Arial" w:eastAsia="宋体" w:hAnsi="Arial" w:cs="Arial"/>
                <w:color w:val="000000"/>
                <w:sz w:val="18"/>
                <w:szCs w:val="18"/>
              </w:rPr>
              <w:t>10.30</w:t>
            </w:r>
          </w:p>
        </w:tc>
        <w:tc>
          <w:tcPr>
            <w:tcW w:w="0" w:type="auto"/>
            <w:gridSpan w:val="3"/>
            <w:shd w:val="clear" w:color="auto" w:fill="auto"/>
            <w:tcMar>
              <w:top w:w="0" w:type="dxa"/>
              <w:left w:w="20" w:type="dxa"/>
              <w:bottom w:w="0" w:type="dxa"/>
              <w:right w:w="20" w:type="dxa"/>
            </w:tcMar>
            <w:vAlign w:val="bottom"/>
          </w:tcPr>
          <w:p w14:paraId="22CFE08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8C" w14:textId="77777777" w:rsidR="002661BA" w:rsidRDefault="00D972BC">
            <w:pPr>
              <w:textAlignment w:val="top"/>
            </w:pPr>
            <w:hyperlink r:id="rId213" w:history="1">
              <w:r>
                <w:rPr>
                  <w:rStyle w:val="a5"/>
                  <w:rFonts w:ascii="Arial" w:eastAsia="宋体" w:hAnsi="Arial" w:cs="Arial"/>
                  <w:sz w:val="18"/>
                  <w:szCs w:val="18"/>
                </w:rPr>
                <w:t>Operating Agreement, dated as of July 17, 2015,  by and among Registrant, eBay International AG, PayPal Holdings, Inc., PayPal, Inc., PayPal Pte. Ltd. and PayPa</w:t>
              </w:r>
              <w:r>
                <w:rPr>
                  <w:rStyle w:val="a5"/>
                  <w:rFonts w:ascii="Arial" w:eastAsia="宋体" w:hAnsi="Arial" w:cs="Arial"/>
                  <w:sz w:val="18"/>
                  <w:szCs w:val="18"/>
                </w:rPr>
                <w:t xml:space="preserve">l Payments Pte. Holdings S.C.S. </w:t>
              </w:r>
            </w:hyperlink>
          </w:p>
        </w:tc>
        <w:tc>
          <w:tcPr>
            <w:tcW w:w="0" w:type="auto"/>
            <w:gridSpan w:val="3"/>
            <w:shd w:val="clear" w:color="auto" w:fill="auto"/>
            <w:tcMar>
              <w:top w:w="0" w:type="dxa"/>
              <w:left w:w="20" w:type="dxa"/>
              <w:bottom w:w="0" w:type="dxa"/>
              <w:right w:w="20" w:type="dxa"/>
            </w:tcMar>
            <w:vAlign w:val="bottom"/>
          </w:tcPr>
          <w:p w14:paraId="22CFE08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8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8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90"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E09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92"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E09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94" w14:textId="77777777" w:rsidR="002661BA" w:rsidRDefault="00D972BC">
            <w:pPr>
              <w:jc w:val="center"/>
              <w:textAlignment w:val="top"/>
            </w:pPr>
            <w:r>
              <w:rPr>
                <w:rFonts w:ascii="Arial" w:eastAsia="宋体" w:hAnsi="Arial" w:cs="Arial"/>
                <w:color w:val="000000"/>
                <w:sz w:val="18"/>
                <w:szCs w:val="18"/>
              </w:rPr>
              <w:t>7/20/2015</w:t>
            </w:r>
          </w:p>
        </w:tc>
      </w:tr>
      <w:tr w:rsidR="002661BA" w14:paraId="22CFE0A1"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09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9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9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9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9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9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9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9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9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9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A0" w14:textId="77777777" w:rsidR="002661BA" w:rsidRDefault="002661BA">
            <w:pPr>
              <w:rPr>
                <w:rFonts w:ascii="宋体"/>
              </w:rPr>
            </w:pPr>
          </w:p>
        </w:tc>
      </w:tr>
      <w:tr w:rsidR="002661BA" w14:paraId="22CFE0AD" w14:textId="77777777">
        <w:trPr>
          <w:jc w:val="center"/>
        </w:trPr>
        <w:tc>
          <w:tcPr>
            <w:tcW w:w="0" w:type="auto"/>
            <w:gridSpan w:val="3"/>
            <w:shd w:val="clear" w:color="auto" w:fill="auto"/>
            <w:tcMar>
              <w:top w:w="40" w:type="dxa"/>
              <w:left w:w="20" w:type="dxa"/>
              <w:bottom w:w="40" w:type="dxa"/>
              <w:right w:w="20" w:type="dxa"/>
            </w:tcMar>
          </w:tcPr>
          <w:p w14:paraId="22CFE0A2" w14:textId="77777777" w:rsidR="002661BA" w:rsidRDefault="00D972BC">
            <w:pPr>
              <w:textAlignment w:val="top"/>
            </w:pPr>
            <w:r>
              <w:rPr>
                <w:rFonts w:ascii="Arial" w:eastAsia="宋体" w:hAnsi="Arial" w:cs="Arial"/>
                <w:color w:val="000000"/>
                <w:sz w:val="18"/>
                <w:szCs w:val="18"/>
              </w:rPr>
              <w:t>10.31</w:t>
            </w:r>
          </w:p>
        </w:tc>
        <w:tc>
          <w:tcPr>
            <w:tcW w:w="0" w:type="auto"/>
            <w:gridSpan w:val="3"/>
            <w:shd w:val="clear" w:color="auto" w:fill="auto"/>
            <w:tcMar>
              <w:top w:w="0" w:type="dxa"/>
              <w:left w:w="20" w:type="dxa"/>
              <w:bottom w:w="0" w:type="dxa"/>
              <w:right w:w="20" w:type="dxa"/>
            </w:tcMar>
            <w:vAlign w:val="bottom"/>
          </w:tcPr>
          <w:p w14:paraId="22CFE0A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A4" w14:textId="77777777" w:rsidR="002661BA" w:rsidRDefault="00D972BC">
            <w:pPr>
              <w:textAlignment w:val="top"/>
            </w:pPr>
            <w:hyperlink r:id="rId214" w:history="1">
              <w:r>
                <w:rPr>
                  <w:rStyle w:val="a5"/>
                  <w:rFonts w:ascii="Arial" w:eastAsia="宋体" w:hAnsi="Arial" w:cs="Arial"/>
                  <w:sz w:val="18"/>
                  <w:szCs w:val="18"/>
                </w:rPr>
                <w:t>Transition Services Agreement, dated as of July 17, 2015, by and between Registrant and PayPal Holdings, Inc.</w:t>
              </w:r>
            </w:hyperlink>
          </w:p>
        </w:tc>
        <w:tc>
          <w:tcPr>
            <w:tcW w:w="0" w:type="auto"/>
            <w:gridSpan w:val="3"/>
            <w:shd w:val="clear" w:color="auto" w:fill="auto"/>
            <w:tcMar>
              <w:top w:w="0" w:type="dxa"/>
              <w:left w:w="20" w:type="dxa"/>
              <w:bottom w:w="0" w:type="dxa"/>
              <w:right w:w="20" w:type="dxa"/>
            </w:tcMar>
            <w:vAlign w:val="bottom"/>
          </w:tcPr>
          <w:p w14:paraId="22CFE0A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A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A7"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A8"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E0A9"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AA"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E0A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AC" w14:textId="77777777" w:rsidR="002661BA" w:rsidRDefault="00D972BC">
            <w:pPr>
              <w:jc w:val="center"/>
              <w:textAlignment w:val="top"/>
            </w:pPr>
            <w:r>
              <w:rPr>
                <w:rFonts w:ascii="Arial" w:eastAsia="宋体" w:hAnsi="Arial" w:cs="Arial"/>
                <w:color w:val="000000"/>
                <w:sz w:val="18"/>
                <w:szCs w:val="18"/>
              </w:rPr>
              <w:t>7/20/2015</w:t>
            </w:r>
          </w:p>
        </w:tc>
      </w:tr>
      <w:tr w:rsidR="002661BA" w14:paraId="22CFE0B9"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0A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A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B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B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B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B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B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B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B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B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B8" w14:textId="77777777" w:rsidR="002661BA" w:rsidRDefault="002661BA">
            <w:pPr>
              <w:rPr>
                <w:rFonts w:ascii="宋体"/>
              </w:rPr>
            </w:pPr>
          </w:p>
        </w:tc>
      </w:tr>
      <w:tr w:rsidR="002661BA" w14:paraId="22CFE0C5" w14:textId="77777777">
        <w:trPr>
          <w:jc w:val="center"/>
        </w:trPr>
        <w:tc>
          <w:tcPr>
            <w:tcW w:w="0" w:type="auto"/>
            <w:gridSpan w:val="3"/>
            <w:shd w:val="clear" w:color="auto" w:fill="auto"/>
            <w:tcMar>
              <w:top w:w="40" w:type="dxa"/>
              <w:left w:w="20" w:type="dxa"/>
              <w:bottom w:w="40" w:type="dxa"/>
              <w:right w:w="20" w:type="dxa"/>
            </w:tcMar>
          </w:tcPr>
          <w:p w14:paraId="22CFE0BA" w14:textId="77777777" w:rsidR="002661BA" w:rsidRDefault="00D972BC">
            <w:pPr>
              <w:textAlignment w:val="top"/>
            </w:pPr>
            <w:r>
              <w:rPr>
                <w:rFonts w:ascii="Arial" w:eastAsia="宋体" w:hAnsi="Arial" w:cs="Arial"/>
                <w:color w:val="000000"/>
                <w:sz w:val="18"/>
                <w:szCs w:val="18"/>
              </w:rPr>
              <w:t>10.32</w:t>
            </w:r>
          </w:p>
        </w:tc>
        <w:tc>
          <w:tcPr>
            <w:tcW w:w="0" w:type="auto"/>
            <w:gridSpan w:val="3"/>
            <w:shd w:val="clear" w:color="auto" w:fill="auto"/>
            <w:tcMar>
              <w:top w:w="0" w:type="dxa"/>
              <w:left w:w="20" w:type="dxa"/>
              <w:bottom w:w="0" w:type="dxa"/>
              <w:right w:w="20" w:type="dxa"/>
            </w:tcMar>
            <w:vAlign w:val="bottom"/>
          </w:tcPr>
          <w:p w14:paraId="22CFE0B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BC" w14:textId="77777777" w:rsidR="002661BA" w:rsidRDefault="00D972BC">
            <w:pPr>
              <w:textAlignment w:val="top"/>
            </w:pPr>
            <w:hyperlink r:id="rId215" w:history="1">
              <w:r>
                <w:rPr>
                  <w:rStyle w:val="a5"/>
                  <w:rFonts w:ascii="Arial" w:eastAsia="宋体" w:hAnsi="Arial" w:cs="Arial"/>
                  <w:sz w:val="18"/>
                  <w:szCs w:val="18"/>
                </w:rPr>
                <w:t>Tax Matters Agreement, dated as of July 17, 2015, by and between Registrant and PayPal Holdings, Inc.</w:t>
              </w:r>
            </w:hyperlink>
          </w:p>
        </w:tc>
        <w:tc>
          <w:tcPr>
            <w:tcW w:w="0" w:type="auto"/>
            <w:gridSpan w:val="3"/>
            <w:shd w:val="clear" w:color="auto" w:fill="auto"/>
            <w:tcMar>
              <w:top w:w="0" w:type="dxa"/>
              <w:left w:w="20" w:type="dxa"/>
              <w:bottom w:w="0" w:type="dxa"/>
              <w:right w:w="20" w:type="dxa"/>
            </w:tcMar>
            <w:vAlign w:val="bottom"/>
          </w:tcPr>
          <w:p w14:paraId="22CFE0B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B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B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C0"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E0C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C2"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E0C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C4" w14:textId="77777777" w:rsidR="002661BA" w:rsidRDefault="00D972BC">
            <w:pPr>
              <w:jc w:val="center"/>
              <w:textAlignment w:val="top"/>
            </w:pPr>
            <w:r>
              <w:rPr>
                <w:rFonts w:ascii="Arial" w:eastAsia="宋体" w:hAnsi="Arial" w:cs="Arial"/>
                <w:color w:val="000000"/>
                <w:sz w:val="18"/>
                <w:szCs w:val="18"/>
              </w:rPr>
              <w:t>7/20/2015</w:t>
            </w:r>
          </w:p>
        </w:tc>
      </w:tr>
      <w:tr w:rsidR="002661BA" w14:paraId="22CFE0D1"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0C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C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C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C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C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C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C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C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C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C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D0" w14:textId="77777777" w:rsidR="002661BA" w:rsidRDefault="002661BA">
            <w:pPr>
              <w:rPr>
                <w:rFonts w:ascii="宋体"/>
              </w:rPr>
            </w:pPr>
          </w:p>
        </w:tc>
      </w:tr>
      <w:tr w:rsidR="002661BA" w14:paraId="22CFE0DD" w14:textId="77777777">
        <w:trPr>
          <w:jc w:val="center"/>
        </w:trPr>
        <w:tc>
          <w:tcPr>
            <w:tcW w:w="0" w:type="auto"/>
            <w:gridSpan w:val="3"/>
            <w:shd w:val="clear" w:color="auto" w:fill="auto"/>
            <w:tcMar>
              <w:top w:w="40" w:type="dxa"/>
              <w:left w:w="20" w:type="dxa"/>
              <w:bottom w:w="40" w:type="dxa"/>
              <w:right w:w="20" w:type="dxa"/>
            </w:tcMar>
          </w:tcPr>
          <w:p w14:paraId="22CFE0D2" w14:textId="77777777" w:rsidR="002661BA" w:rsidRDefault="00D972BC">
            <w:pPr>
              <w:textAlignment w:val="top"/>
            </w:pPr>
            <w:r>
              <w:rPr>
                <w:rFonts w:ascii="Arial" w:eastAsia="宋体" w:hAnsi="Arial" w:cs="Arial"/>
                <w:color w:val="000000"/>
                <w:sz w:val="18"/>
                <w:szCs w:val="18"/>
              </w:rPr>
              <w:t>10.33</w:t>
            </w:r>
          </w:p>
        </w:tc>
        <w:tc>
          <w:tcPr>
            <w:tcW w:w="0" w:type="auto"/>
            <w:gridSpan w:val="3"/>
            <w:shd w:val="clear" w:color="auto" w:fill="auto"/>
            <w:tcMar>
              <w:top w:w="0" w:type="dxa"/>
              <w:left w:w="20" w:type="dxa"/>
              <w:bottom w:w="0" w:type="dxa"/>
              <w:right w:w="20" w:type="dxa"/>
            </w:tcMar>
            <w:vAlign w:val="bottom"/>
          </w:tcPr>
          <w:p w14:paraId="22CFE0D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0D4" w14:textId="77777777" w:rsidR="002661BA" w:rsidRDefault="00D972BC">
            <w:pPr>
              <w:textAlignment w:val="bottom"/>
            </w:pPr>
            <w:hyperlink r:id="rId216" w:history="1">
              <w:r>
                <w:rPr>
                  <w:rStyle w:val="a5"/>
                  <w:rFonts w:ascii="Arial" w:eastAsia="宋体" w:hAnsi="Arial" w:cs="Arial"/>
                  <w:sz w:val="18"/>
                  <w:szCs w:val="18"/>
                </w:rPr>
                <w:t>Employee Matters Agreement, dated as of July 17, 2015, by and between Registrant and PayPal Holdings, Inc.</w:t>
              </w:r>
            </w:hyperlink>
          </w:p>
        </w:tc>
        <w:tc>
          <w:tcPr>
            <w:tcW w:w="0" w:type="auto"/>
            <w:gridSpan w:val="3"/>
            <w:shd w:val="clear" w:color="auto" w:fill="auto"/>
            <w:tcMar>
              <w:top w:w="0" w:type="dxa"/>
              <w:left w:w="20" w:type="dxa"/>
              <w:bottom w:w="0" w:type="dxa"/>
              <w:right w:w="20" w:type="dxa"/>
            </w:tcMar>
            <w:vAlign w:val="bottom"/>
          </w:tcPr>
          <w:p w14:paraId="22CFE0D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D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D7"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D8"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E0D9"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DA"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E0D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DC" w14:textId="77777777" w:rsidR="002661BA" w:rsidRDefault="00D972BC">
            <w:pPr>
              <w:jc w:val="center"/>
              <w:textAlignment w:val="top"/>
            </w:pPr>
            <w:r>
              <w:rPr>
                <w:rFonts w:ascii="Arial" w:eastAsia="宋体" w:hAnsi="Arial" w:cs="Arial"/>
                <w:color w:val="000000"/>
                <w:sz w:val="18"/>
                <w:szCs w:val="18"/>
              </w:rPr>
              <w:t>7/20/2015</w:t>
            </w:r>
          </w:p>
        </w:tc>
      </w:tr>
      <w:tr w:rsidR="002661BA" w14:paraId="22CFE0E9"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0D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D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E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E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E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E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E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E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E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E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E8" w14:textId="77777777" w:rsidR="002661BA" w:rsidRDefault="002661BA">
            <w:pPr>
              <w:rPr>
                <w:rFonts w:ascii="宋体"/>
              </w:rPr>
            </w:pPr>
          </w:p>
        </w:tc>
      </w:tr>
      <w:tr w:rsidR="002661BA" w14:paraId="22CFE0F5" w14:textId="77777777">
        <w:trPr>
          <w:jc w:val="center"/>
        </w:trPr>
        <w:tc>
          <w:tcPr>
            <w:tcW w:w="0" w:type="auto"/>
            <w:gridSpan w:val="3"/>
            <w:shd w:val="clear" w:color="auto" w:fill="auto"/>
            <w:tcMar>
              <w:top w:w="40" w:type="dxa"/>
              <w:left w:w="20" w:type="dxa"/>
              <w:bottom w:w="40" w:type="dxa"/>
              <w:right w:w="20" w:type="dxa"/>
            </w:tcMar>
          </w:tcPr>
          <w:p w14:paraId="22CFE0EA" w14:textId="77777777" w:rsidR="002661BA" w:rsidRDefault="00D972BC">
            <w:pPr>
              <w:textAlignment w:val="top"/>
            </w:pPr>
            <w:r>
              <w:rPr>
                <w:rFonts w:ascii="Arial" w:eastAsia="宋体" w:hAnsi="Arial" w:cs="Arial"/>
                <w:color w:val="000000"/>
                <w:sz w:val="18"/>
                <w:szCs w:val="18"/>
              </w:rPr>
              <w:t>10.34</w:t>
            </w:r>
          </w:p>
        </w:tc>
        <w:tc>
          <w:tcPr>
            <w:tcW w:w="0" w:type="auto"/>
            <w:gridSpan w:val="3"/>
            <w:shd w:val="clear" w:color="auto" w:fill="auto"/>
            <w:tcMar>
              <w:top w:w="0" w:type="dxa"/>
              <w:left w:w="20" w:type="dxa"/>
              <w:bottom w:w="0" w:type="dxa"/>
              <w:right w:w="20" w:type="dxa"/>
            </w:tcMar>
            <w:vAlign w:val="bottom"/>
          </w:tcPr>
          <w:p w14:paraId="22CFE0E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EC" w14:textId="77777777" w:rsidR="002661BA" w:rsidRDefault="00D972BC">
            <w:pPr>
              <w:textAlignment w:val="top"/>
            </w:pPr>
            <w:hyperlink r:id="rId217" w:history="1">
              <w:r>
                <w:rPr>
                  <w:rStyle w:val="a5"/>
                  <w:rFonts w:ascii="Arial" w:eastAsia="宋体" w:hAnsi="Arial" w:cs="Arial"/>
                  <w:sz w:val="18"/>
                  <w:szCs w:val="18"/>
                </w:rPr>
                <w:t xml:space="preserve">Intellectual Property Matters Agreement, dated as of July 17, 2015, by and among Registrant, eBay International AG, PayPal Holdings, Inc., PayPal, Inc., </w:t>
              </w:r>
              <w:r>
                <w:rPr>
                  <w:rStyle w:val="a5"/>
                  <w:rFonts w:ascii="Arial" w:eastAsia="宋体" w:hAnsi="Arial" w:cs="Arial"/>
                  <w:sz w:val="18"/>
                  <w:szCs w:val="18"/>
                </w:rPr>
                <w:t>PayPal Pte. Ltd. and PayPal Payments Pte. Holdings S.C.S.</w:t>
              </w:r>
            </w:hyperlink>
          </w:p>
        </w:tc>
        <w:tc>
          <w:tcPr>
            <w:tcW w:w="0" w:type="auto"/>
            <w:gridSpan w:val="3"/>
            <w:shd w:val="clear" w:color="auto" w:fill="auto"/>
            <w:tcMar>
              <w:top w:w="0" w:type="dxa"/>
              <w:left w:w="20" w:type="dxa"/>
              <w:bottom w:w="0" w:type="dxa"/>
              <w:right w:w="20" w:type="dxa"/>
            </w:tcMar>
            <w:vAlign w:val="bottom"/>
          </w:tcPr>
          <w:p w14:paraId="22CFE0E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E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E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F0"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E0F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F2"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E0F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0F4" w14:textId="77777777" w:rsidR="002661BA" w:rsidRDefault="00D972BC">
            <w:pPr>
              <w:jc w:val="center"/>
              <w:textAlignment w:val="top"/>
            </w:pPr>
            <w:r>
              <w:rPr>
                <w:rFonts w:ascii="Arial" w:eastAsia="宋体" w:hAnsi="Arial" w:cs="Arial"/>
                <w:color w:val="000000"/>
                <w:sz w:val="18"/>
                <w:szCs w:val="18"/>
              </w:rPr>
              <w:t>7/20/2015</w:t>
            </w:r>
          </w:p>
        </w:tc>
      </w:tr>
      <w:tr w:rsidR="002661BA" w14:paraId="22CFE101"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0F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F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F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F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F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F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F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F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F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0F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00" w14:textId="77777777" w:rsidR="002661BA" w:rsidRDefault="002661BA">
            <w:pPr>
              <w:rPr>
                <w:rFonts w:ascii="宋体"/>
              </w:rPr>
            </w:pPr>
          </w:p>
        </w:tc>
      </w:tr>
      <w:tr w:rsidR="002661BA" w14:paraId="22CFE10D" w14:textId="77777777">
        <w:trPr>
          <w:jc w:val="center"/>
        </w:trPr>
        <w:tc>
          <w:tcPr>
            <w:tcW w:w="0" w:type="auto"/>
            <w:gridSpan w:val="3"/>
            <w:shd w:val="clear" w:color="auto" w:fill="auto"/>
            <w:tcMar>
              <w:top w:w="40" w:type="dxa"/>
              <w:left w:w="20" w:type="dxa"/>
              <w:bottom w:w="40" w:type="dxa"/>
              <w:right w:w="20" w:type="dxa"/>
            </w:tcMar>
          </w:tcPr>
          <w:p w14:paraId="22CFE102" w14:textId="77777777" w:rsidR="002661BA" w:rsidRDefault="00D972BC">
            <w:pPr>
              <w:textAlignment w:val="top"/>
            </w:pPr>
            <w:r>
              <w:rPr>
                <w:rFonts w:ascii="Arial" w:eastAsia="宋体" w:hAnsi="Arial" w:cs="Arial"/>
                <w:color w:val="000000"/>
                <w:sz w:val="18"/>
                <w:szCs w:val="18"/>
              </w:rPr>
              <w:t>10.35+</w:t>
            </w:r>
          </w:p>
        </w:tc>
        <w:tc>
          <w:tcPr>
            <w:tcW w:w="0" w:type="auto"/>
            <w:gridSpan w:val="3"/>
            <w:shd w:val="clear" w:color="auto" w:fill="auto"/>
            <w:tcMar>
              <w:top w:w="0" w:type="dxa"/>
              <w:left w:w="20" w:type="dxa"/>
              <w:bottom w:w="0" w:type="dxa"/>
              <w:right w:w="20" w:type="dxa"/>
            </w:tcMar>
            <w:vAlign w:val="bottom"/>
          </w:tcPr>
          <w:p w14:paraId="22CFE10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04" w14:textId="77777777" w:rsidR="002661BA" w:rsidRDefault="00D972BC">
            <w:pPr>
              <w:textAlignment w:val="top"/>
            </w:pPr>
            <w:hyperlink r:id="rId218" w:history="1">
              <w:r>
                <w:rPr>
                  <w:rStyle w:val="a5"/>
                  <w:rFonts w:ascii="Arial" w:eastAsia="宋体" w:hAnsi="Arial" w:cs="Arial"/>
                  <w:sz w:val="18"/>
                  <w:szCs w:val="18"/>
                </w:rPr>
                <w:t>Letter dated September 30, 2014 from Registrant to Scott Schenkel.</w:t>
              </w:r>
            </w:hyperlink>
          </w:p>
        </w:tc>
        <w:tc>
          <w:tcPr>
            <w:tcW w:w="0" w:type="auto"/>
            <w:gridSpan w:val="3"/>
            <w:shd w:val="clear" w:color="auto" w:fill="auto"/>
            <w:tcMar>
              <w:top w:w="0" w:type="dxa"/>
              <w:left w:w="20" w:type="dxa"/>
              <w:bottom w:w="0" w:type="dxa"/>
              <w:right w:w="20" w:type="dxa"/>
            </w:tcMar>
            <w:vAlign w:val="bottom"/>
          </w:tcPr>
          <w:p w14:paraId="22CFE10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0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07"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08"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E109"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0A" w14:textId="77777777" w:rsidR="002661BA" w:rsidRDefault="00D972BC">
            <w:pPr>
              <w:jc w:val="center"/>
              <w:textAlignment w:val="top"/>
            </w:pPr>
            <w:r>
              <w:rPr>
                <w:rFonts w:ascii="Arial" w:eastAsia="宋体" w:hAnsi="Arial" w:cs="Arial"/>
                <w:color w:val="000000"/>
                <w:sz w:val="18"/>
                <w:szCs w:val="18"/>
              </w:rPr>
              <w:t>000-24821</w:t>
            </w:r>
          </w:p>
        </w:tc>
        <w:tc>
          <w:tcPr>
            <w:tcW w:w="0" w:type="auto"/>
            <w:gridSpan w:val="3"/>
            <w:shd w:val="clear" w:color="auto" w:fill="auto"/>
            <w:tcMar>
              <w:top w:w="0" w:type="dxa"/>
              <w:left w:w="20" w:type="dxa"/>
              <w:bottom w:w="0" w:type="dxa"/>
              <w:right w:w="20" w:type="dxa"/>
            </w:tcMar>
            <w:vAlign w:val="bottom"/>
          </w:tcPr>
          <w:p w14:paraId="22CFE10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0C" w14:textId="77777777" w:rsidR="002661BA" w:rsidRDefault="00D972BC">
            <w:pPr>
              <w:jc w:val="center"/>
              <w:textAlignment w:val="top"/>
            </w:pPr>
            <w:r>
              <w:rPr>
                <w:rFonts w:ascii="Arial" w:eastAsia="宋体" w:hAnsi="Arial" w:cs="Arial"/>
                <w:color w:val="000000"/>
                <w:sz w:val="18"/>
                <w:szCs w:val="18"/>
              </w:rPr>
              <w:t>7/21/2015</w:t>
            </w:r>
          </w:p>
        </w:tc>
      </w:tr>
      <w:tr w:rsidR="002661BA" w14:paraId="22CFE119"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10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0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1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1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1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1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1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1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1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1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18" w14:textId="77777777" w:rsidR="002661BA" w:rsidRDefault="002661BA">
            <w:pPr>
              <w:rPr>
                <w:rFonts w:ascii="宋体"/>
              </w:rPr>
            </w:pPr>
          </w:p>
        </w:tc>
      </w:tr>
      <w:tr w:rsidR="002661BA" w14:paraId="22CFE125" w14:textId="77777777">
        <w:trPr>
          <w:jc w:val="center"/>
        </w:trPr>
        <w:tc>
          <w:tcPr>
            <w:tcW w:w="0" w:type="auto"/>
            <w:gridSpan w:val="3"/>
            <w:shd w:val="clear" w:color="auto" w:fill="auto"/>
            <w:tcMar>
              <w:top w:w="40" w:type="dxa"/>
              <w:left w:w="20" w:type="dxa"/>
              <w:bottom w:w="40" w:type="dxa"/>
              <w:right w:w="20" w:type="dxa"/>
            </w:tcMar>
          </w:tcPr>
          <w:p w14:paraId="22CFE11A" w14:textId="77777777" w:rsidR="002661BA" w:rsidRDefault="00D972BC">
            <w:pPr>
              <w:textAlignment w:val="top"/>
            </w:pPr>
            <w:r>
              <w:rPr>
                <w:rFonts w:ascii="Arial" w:eastAsia="宋体" w:hAnsi="Arial" w:cs="Arial"/>
                <w:color w:val="000000"/>
                <w:sz w:val="18"/>
                <w:szCs w:val="18"/>
              </w:rPr>
              <w:t>10.36+</w:t>
            </w:r>
          </w:p>
        </w:tc>
        <w:tc>
          <w:tcPr>
            <w:tcW w:w="0" w:type="auto"/>
            <w:gridSpan w:val="3"/>
            <w:shd w:val="clear" w:color="auto" w:fill="auto"/>
            <w:tcMar>
              <w:top w:w="0" w:type="dxa"/>
              <w:left w:w="20" w:type="dxa"/>
              <w:bottom w:w="0" w:type="dxa"/>
              <w:right w:w="20" w:type="dxa"/>
            </w:tcMar>
            <w:vAlign w:val="bottom"/>
          </w:tcPr>
          <w:p w14:paraId="22CFE11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1C" w14:textId="77777777" w:rsidR="002661BA" w:rsidRDefault="00D972BC">
            <w:pPr>
              <w:textAlignment w:val="top"/>
            </w:pPr>
            <w:hyperlink r:id="rId219" w:history="1">
              <w:r>
                <w:rPr>
                  <w:rStyle w:val="a5"/>
                  <w:rFonts w:ascii="Arial" w:eastAsia="宋体" w:hAnsi="Arial" w:cs="Arial"/>
                  <w:sz w:val="18"/>
                  <w:szCs w:val="18"/>
                </w:rPr>
                <w:t>Offer Letter dated April 2, 2015 between Registrant and Marie Oh Huber.</w:t>
              </w:r>
            </w:hyperlink>
          </w:p>
        </w:tc>
        <w:tc>
          <w:tcPr>
            <w:tcW w:w="0" w:type="auto"/>
            <w:gridSpan w:val="3"/>
            <w:shd w:val="clear" w:color="auto" w:fill="auto"/>
            <w:tcMar>
              <w:top w:w="0" w:type="dxa"/>
              <w:left w:w="20" w:type="dxa"/>
              <w:bottom w:w="0" w:type="dxa"/>
              <w:right w:w="20" w:type="dxa"/>
            </w:tcMar>
            <w:vAlign w:val="bottom"/>
          </w:tcPr>
          <w:p w14:paraId="22CFE11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1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1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20"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E12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22"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E12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24" w14:textId="77777777" w:rsidR="002661BA" w:rsidRDefault="00D972BC">
            <w:pPr>
              <w:jc w:val="center"/>
              <w:textAlignment w:val="top"/>
            </w:pPr>
            <w:r>
              <w:rPr>
                <w:rFonts w:ascii="Arial" w:eastAsia="宋体" w:hAnsi="Arial" w:cs="Arial"/>
                <w:color w:val="000000"/>
                <w:sz w:val="18"/>
                <w:szCs w:val="18"/>
              </w:rPr>
              <w:t>4/27/2016</w:t>
            </w:r>
          </w:p>
        </w:tc>
      </w:tr>
      <w:tr w:rsidR="002661BA" w14:paraId="22CFE131"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12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2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2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2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2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2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2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2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2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2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30" w14:textId="77777777" w:rsidR="002661BA" w:rsidRDefault="002661BA">
            <w:pPr>
              <w:rPr>
                <w:rFonts w:ascii="宋体"/>
              </w:rPr>
            </w:pPr>
          </w:p>
        </w:tc>
      </w:tr>
      <w:tr w:rsidR="002661BA" w14:paraId="22CFE13D" w14:textId="77777777">
        <w:trPr>
          <w:jc w:val="center"/>
        </w:trPr>
        <w:tc>
          <w:tcPr>
            <w:tcW w:w="0" w:type="auto"/>
            <w:gridSpan w:val="3"/>
            <w:shd w:val="clear" w:color="auto" w:fill="auto"/>
            <w:tcMar>
              <w:top w:w="40" w:type="dxa"/>
              <w:left w:w="20" w:type="dxa"/>
              <w:bottom w:w="40" w:type="dxa"/>
              <w:right w:w="20" w:type="dxa"/>
            </w:tcMar>
          </w:tcPr>
          <w:p w14:paraId="22CFE132" w14:textId="77777777" w:rsidR="002661BA" w:rsidRDefault="00D972BC">
            <w:pPr>
              <w:textAlignment w:val="top"/>
            </w:pPr>
            <w:r>
              <w:rPr>
                <w:rFonts w:ascii="Arial" w:eastAsia="宋体" w:hAnsi="Arial" w:cs="Arial"/>
                <w:color w:val="000000"/>
                <w:sz w:val="18"/>
                <w:szCs w:val="18"/>
              </w:rPr>
              <w:t>10.37+</w:t>
            </w:r>
          </w:p>
        </w:tc>
        <w:tc>
          <w:tcPr>
            <w:tcW w:w="0" w:type="auto"/>
            <w:gridSpan w:val="3"/>
            <w:shd w:val="clear" w:color="auto" w:fill="auto"/>
            <w:tcMar>
              <w:top w:w="0" w:type="dxa"/>
              <w:left w:w="20" w:type="dxa"/>
              <w:bottom w:w="0" w:type="dxa"/>
              <w:right w:w="20" w:type="dxa"/>
            </w:tcMar>
            <w:vAlign w:val="bottom"/>
          </w:tcPr>
          <w:p w14:paraId="22CFE13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134" w14:textId="77777777" w:rsidR="002661BA" w:rsidRDefault="00D972BC">
            <w:pPr>
              <w:textAlignment w:val="bottom"/>
            </w:pPr>
            <w:hyperlink r:id="rId220" w:history="1">
              <w:r>
                <w:rPr>
                  <w:rStyle w:val="a5"/>
                  <w:rFonts w:ascii="Arial" w:eastAsia="宋体" w:hAnsi="Arial" w:cs="Arial"/>
                  <w:sz w:val="18"/>
                  <w:szCs w:val="18"/>
                </w:rPr>
                <w:t>Offer Letter dated February 1, 2017, between Registrant and Wendy Jones</w:t>
              </w:r>
            </w:hyperlink>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22CFE13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3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37"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38"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E139"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3A"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E13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3C" w14:textId="77777777" w:rsidR="002661BA" w:rsidRDefault="00D972BC">
            <w:pPr>
              <w:jc w:val="center"/>
              <w:textAlignment w:val="top"/>
            </w:pPr>
            <w:r>
              <w:rPr>
                <w:rFonts w:ascii="Arial" w:eastAsia="宋体" w:hAnsi="Arial" w:cs="Arial"/>
                <w:color w:val="000000"/>
                <w:sz w:val="18"/>
                <w:szCs w:val="18"/>
              </w:rPr>
              <w:t>7/18/2019</w:t>
            </w:r>
          </w:p>
        </w:tc>
      </w:tr>
      <w:tr w:rsidR="002661BA" w14:paraId="22CFE149"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13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3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4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4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4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4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4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4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4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4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48" w14:textId="77777777" w:rsidR="002661BA" w:rsidRDefault="002661BA">
            <w:pPr>
              <w:rPr>
                <w:rFonts w:ascii="宋体"/>
              </w:rPr>
            </w:pPr>
          </w:p>
        </w:tc>
      </w:tr>
      <w:tr w:rsidR="002661BA" w14:paraId="22CFE155" w14:textId="77777777">
        <w:trPr>
          <w:jc w:val="center"/>
        </w:trPr>
        <w:tc>
          <w:tcPr>
            <w:tcW w:w="0" w:type="auto"/>
            <w:gridSpan w:val="3"/>
            <w:shd w:val="clear" w:color="auto" w:fill="auto"/>
            <w:tcMar>
              <w:top w:w="40" w:type="dxa"/>
              <w:left w:w="20" w:type="dxa"/>
              <w:bottom w:w="40" w:type="dxa"/>
              <w:right w:w="20" w:type="dxa"/>
            </w:tcMar>
          </w:tcPr>
          <w:p w14:paraId="22CFE14A" w14:textId="77777777" w:rsidR="002661BA" w:rsidRDefault="00D972BC">
            <w:pPr>
              <w:textAlignment w:val="top"/>
            </w:pPr>
            <w:r>
              <w:rPr>
                <w:rFonts w:ascii="Arial" w:eastAsia="宋体" w:hAnsi="Arial" w:cs="Arial"/>
                <w:color w:val="000000"/>
                <w:sz w:val="18"/>
                <w:szCs w:val="18"/>
              </w:rPr>
              <w:t>10.38+</w:t>
            </w:r>
          </w:p>
        </w:tc>
        <w:tc>
          <w:tcPr>
            <w:tcW w:w="0" w:type="auto"/>
            <w:gridSpan w:val="3"/>
            <w:shd w:val="clear" w:color="auto" w:fill="auto"/>
            <w:tcMar>
              <w:top w:w="0" w:type="dxa"/>
              <w:left w:w="20" w:type="dxa"/>
              <w:bottom w:w="0" w:type="dxa"/>
              <w:right w:w="20" w:type="dxa"/>
            </w:tcMar>
            <w:vAlign w:val="bottom"/>
          </w:tcPr>
          <w:p w14:paraId="22CFE14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14C" w14:textId="77777777" w:rsidR="002661BA" w:rsidRDefault="00D972BC">
            <w:pPr>
              <w:textAlignment w:val="bottom"/>
            </w:pPr>
            <w:hyperlink r:id="rId221" w:history="1">
              <w:r>
                <w:rPr>
                  <w:rStyle w:val="a5"/>
                  <w:rFonts w:ascii="Arial" w:eastAsia="宋体" w:hAnsi="Arial" w:cs="Arial"/>
                  <w:sz w:val="18"/>
                  <w:szCs w:val="18"/>
                </w:rPr>
                <w:t>Offer Letter dated July 3, 2018, between Registrant and Wendy Jones</w:t>
              </w:r>
            </w:hyperlink>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22CFE14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4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4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50"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E15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52"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E15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54" w14:textId="77777777" w:rsidR="002661BA" w:rsidRDefault="00D972BC">
            <w:pPr>
              <w:jc w:val="center"/>
              <w:textAlignment w:val="top"/>
            </w:pPr>
            <w:r>
              <w:rPr>
                <w:rFonts w:ascii="Arial" w:eastAsia="宋体" w:hAnsi="Arial" w:cs="Arial"/>
                <w:color w:val="000000"/>
                <w:sz w:val="18"/>
                <w:szCs w:val="18"/>
              </w:rPr>
              <w:t>7/18/2019</w:t>
            </w:r>
          </w:p>
        </w:tc>
      </w:tr>
      <w:tr w:rsidR="002661BA" w14:paraId="22CFE161"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15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5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5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5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5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5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5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5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5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5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60" w14:textId="77777777" w:rsidR="002661BA" w:rsidRDefault="002661BA">
            <w:pPr>
              <w:rPr>
                <w:rFonts w:ascii="宋体"/>
              </w:rPr>
            </w:pPr>
          </w:p>
        </w:tc>
      </w:tr>
      <w:tr w:rsidR="002661BA" w14:paraId="22CFE16D" w14:textId="77777777">
        <w:trPr>
          <w:jc w:val="center"/>
        </w:trPr>
        <w:tc>
          <w:tcPr>
            <w:tcW w:w="0" w:type="auto"/>
            <w:gridSpan w:val="3"/>
            <w:shd w:val="clear" w:color="auto" w:fill="auto"/>
            <w:tcMar>
              <w:top w:w="40" w:type="dxa"/>
              <w:left w:w="20" w:type="dxa"/>
              <w:bottom w:w="40" w:type="dxa"/>
              <w:right w:w="20" w:type="dxa"/>
            </w:tcMar>
          </w:tcPr>
          <w:p w14:paraId="22CFE162" w14:textId="77777777" w:rsidR="002661BA" w:rsidRDefault="00D972BC">
            <w:pPr>
              <w:textAlignment w:val="top"/>
            </w:pPr>
            <w:r>
              <w:rPr>
                <w:rFonts w:ascii="Arial" w:eastAsia="宋体" w:hAnsi="Arial" w:cs="Arial"/>
                <w:color w:val="000000"/>
                <w:sz w:val="18"/>
                <w:szCs w:val="18"/>
              </w:rPr>
              <w:t>10.39+</w:t>
            </w:r>
          </w:p>
        </w:tc>
        <w:tc>
          <w:tcPr>
            <w:tcW w:w="0" w:type="auto"/>
            <w:gridSpan w:val="3"/>
            <w:shd w:val="clear" w:color="auto" w:fill="auto"/>
            <w:tcMar>
              <w:top w:w="0" w:type="dxa"/>
              <w:left w:w="20" w:type="dxa"/>
              <w:bottom w:w="0" w:type="dxa"/>
              <w:right w:w="20" w:type="dxa"/>
            </w:tcMar>
            <w:vAlign w:val="bottom"/>
          </w:tcPr>
          <w:p w14:paraId="22CFE16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164" w14:textId="77777777" w:rsidR="002661BA" w:rsidRDefault="00D972BC">
            <w:pPr>
              <w:textAlignment w:val="bottom"/>
            </w:pPr>
            <w:hyperlink r:id="rId222" w:history="1">
              <w:r>
                <w:rPr>
                  <w:rStyle w:val="a5"/>
                  <w:rFonts w:ascii="Arial" w:eastAsia="宋体" w:hAnsi="Arial" w:cs="Arial"/>
                  <w:sz w:val="18"/>
                  <w:szCs w:val="18"/>
                </w:rPr>
                <w:t>Letter Agreement between Scott Schenkel and eBay Inc., dated October 11, 2019.</w:t>
              </w:r>
            </w:hyperlink>
          </w:p>
        </w:tc>
        <w:tc>
          <w:tcPr>
            <w:tcW w:w="0" w:type="auto"/>
            <w:gridSpan w:val="3"/>
            <w:shd w:val="clear" w:color="auto" w:fill="auto"/>
            <w:tcMar>
              <w:top w:w="0" w:type="dxa"/>
              <w:left w:w="20" w:type="dxa"/>
              <w:bottom w:w="0" w:type="dxa"/>
              <w:right w:w="20" w:type="dxa"/>
            </w:tcMar>
            <w:vAlign w:val="bottom"/>
          </w:tcPr>
          <w:p w14:paraId="22CFE16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6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67"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68"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E169"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6A"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E16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6C" w14:textId="77777777" w:rsidR="002661BA" w:rsidRDefault="00D972BC">
            <w:pPr>
              <w:jc w:val="center"/>
              <w:textAlignment w:val="top"/>
            </w:pPr>
            <w:r>
              <w:rPr>
                <w:rFonts w:ascii="Arial" w:eastAsia="宋体" w:hAnsi="Arial" w:cs="Arial"/>
                <w:color w:val="000000"/>
                <w:sz w:val="18"/>
                <w:szCs w:val="18"/>
              </w:rPr>
              <w:t>10/16/2019</w:t>
            </w:r>
          </w:p>
        </w:tc>
      </w:tr>
      <w:tr w:rsidR="002661BA" w14:paraId="22CFE179"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16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6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7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7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7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7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7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7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7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7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78" w14:textId="77777777" w:rsidR="002661BA" w:rsidRDefault="002661BA">
            <w:pPr>
              <w:rPr>
                <w:rFonts w:ascii="宋体"/>
              </w:rPr>
            </w:pPr>
          </w:p>
        </w:tc>
      </w:tr>
      <w:tr w:rsidR="002661BA" w14:paraId="22CFE185" w14:textId="77777777">
        <w:trPr>
          <w:jc w:val="center"/>
        </w:trPr>
        <w:tc>
          <w:tcPr>
            <w:tcW w:w="0" w:type="auto"/>
            <w:gridSpan w:val="3"/>
            <w:shd w:val="clear" w:color="auto" w:fill="auto"/>
            <w:tcMar>
              <w:top w:w="40" w:type="dxa"/>
              <w:left w:w="20" w:type="dxa"/>
              <w:bottom w:w="40" w:type="dxa"/>
              <w:right w:w="20" w:type="dxa"/>
            </w:tcMar>
          </w:tcPr>
          <w:p w14:paraId="22CFE17A" w14:textId="77777777" w:rsidR="002661BA" w:rsidRDefault="00D972BC">
            <w:pPr>
              <w:textAlignment w:val="top"/>
            </w:pPr>
            <w:r>
              <w:rPr>
                <w:rFonts w:ascii="Arial" w:eastAsia="宋体" w:hAnsi="Arial" w:cs="Arial"/>
                <w:color w:val="000000"/>
                <w:sz w:val="18"/>
                <w:szCs w:val="18"/>
              </w:rPr>
              <w:t>10.40+</w:t>
            </w:r>
          </w:p>
        </w:tc>
        <w:tc>
          <w:tcPr>
            <w:tcW w:w="0" w:type="auto"/>
            <w:gridSpan w:val="3"/>
            <w:shd w:val="clear" w:color="auto" w:fill="auto"/>
            <w:tcMar>
              <w:top w:w="0" w:type="dxa"/>
              <w:left w:w="20" w:type="dxa"/>
              <w:bottom w:w="0" w:type="dxa"/>
              <w:right w:w="20" w:type="dxa"/>
            </w:tcMar>
            <w:vAlign w:val="bottom"/>
          </w:tcPr>
          <w:p w14:paraId="22CFE17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17C" w14:textId="77777777" w:rsidR="002661BA" w:rsidRDefault="00D972BC">
            <w:pPr>
              <w:textAlignment w:val="bottom"/>
            </w:pPr>
            <w:hyperlink r:id="rId223" w:history="1">
              <w:r>
                <w:rPr>
                  <w:rStyle w:val="a5"/>
                  <w:rFonts w:ascii="Arial" w:eastAsia="宋体" w:hAnsi="Arial" w:cs="Arial"/>
                  <w:sz w:val="18"/>
                  <w:szCs w:val="18"/>
                </w:rPr>
                <w:t>Letter Agreement between Andrew Cring and eBay Inc., dated October 11, 2019.</w:t>
              </w:r>
            </w:hyperlink>
          </w:p>
        </w:tc>
        <w:tc>
          <w:tcPr>
            <w:tcW w:w="0" w:type="auto"/>
            <w:gridSpan w:val="3"/>
            <w:shd w:val="clear" w:color="auto" w:fill="auto"/>
            <w:tcMar>
              <w:top w:w="0" w:type="dxa"/>
              <w:left w:w="20" w:type="dxa"/>
              <w:bottom w:w="0" w:type="dxa"/>
              <w:right w:w="20" w:type="dxa"/>
            </w:tcMar>
            <w:vAlign w:val="bottom"/>
          </w:tcPr>
          <w:p w14:paraId="22CFE17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7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7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80"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E18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82"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E18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84" w14:textId="77777777" w:rsidR="002661BA" w:rsidRDefault="00D972BC">
            <w:pPr>
              <w:jc w:val="center"/>
              <w:textAlignment w:val="top"/>
            </w:pPr>
            <w:r>
              <w:rPr>
                <w:rFonts w:ascii="Arial" w:eastAsia="宋体" w:hAnsi="Arial" w:cs="Arial"/>
                <w:color w:val="000000"/>
                <w:sz w:val="18"/>
                <w:szCs w:val="18"/>
              </w:rPr>
              <w:t>10/16/2019</w:t>
            </w:r>
          </w:p>
        </w:tc>
      </w:tr>
      <w:tr w:rsidR="002661BA" w14:paraId="22CFE191"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18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8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8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8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8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8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8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8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8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8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90" w14:textId="77777777" w:rsidR="002661BA" w:rsidRDefault="002661BA">
            <w:pPr>
              <w:rPr>
                <w:rFonts w:ascii="宋体"/>
              </w:rPr>
            </w:pPr>
          </w:p>
        </w:tc>
      </w:tr>
      <w:tr w:rsidR="002661BA" w14:paraId="22CFE19D" w14:textId="77777777">
        <w:trPr>
          <w:jc w:val="center"/>
        </w:trPr>
        <w:tc>
          <w:tcPr>
            <w:tcW w:w="0" w:type="auto"/>
            <w:gridSpan w:val="3"/>
            <w:shd w:val="clear" w:color="auto" w:fill="auto"/>
            <w:tcMar>
              <w:top w:w="40" w:type="dxa"/>
              <w:left w:w="20" w:type="dxa"/>
              <w:bottom w:w="40" w:type="dxa"/>
              <w:right w:w="20" w:type="dxa"/>
            </w:tcMar>
          </w:tcPr>
          <w:p w14:paraId="22CFE192" w14:textId="77777777" w:rsidR="002661BA" w:rsidRDefault="00D972BC">
            <w:pPr>
              <w:textAlignment w:val="top"/>
            </w:pPr>
            <w:r>
              <w:rPr>
                <w:rFonts w:ascii="Arial" w:eastAsia="宋体" w:hAnsi="Arial" w:cs="Arial"/>
                <w:color w:val="000000"/>
                <w:sz w:val="18"/>
                <w:szCs w:val="18"/>
              </w:rPr>
              <w:t>10.41</w:t>
            </w:r>
          </w:p>
        </w:tc>
        <w:tc>
          <w:tcPr>
            <w:tcW w:w="0" w:type="auto"/>
            <w:gridSpan w:val="3"/>
            <w:shd w:val="clear" w:color="auto" w:fill="auto"/>
            <w:tcMar>
              <w:top w:w="0" w:type="dxa"/>
              <w:left w:w="20" w:type="dxa"/>
              <w:bottom w:w="0" w:type="dxa"/>
              <w:right w:w="20" w:type="dxa"/>
            </w:tcMar>
            <w:vAlign w:val="bottom"/>
          </w:tcPr>
          <w:p w14:paraId="22CFE19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194" w14:textId="77777777" w:rsidR="002661BA" w:rsidRDefault="00D972BC">
            <w:pPr>
              <w:textAlignment w:val="bottom"/>
            </w:pPr>
            <w:hyperlink r:id="rId224" w:history="1">
              <w:r>
                <w:rPr>
                  <w:rStyle w:val="a5"/>
                  <w:rFonts w:ascii="Arial" w:eastAsia="宋体" w:hAnsi="Arial" w:cs="Arial"/>
                  <w:sz w:val="18"/>
                  <w:szCs w:val="18"/>
                </w:rPr>
                <w:t>Credit Agreement, dated as of March 6, 2020, by and among the Company, JPMorgan Chase Bank, N.A., as Administrative Agent and the other parties thereto.</w:t>
              </w:r>
            </w:hyperlink>
          </w:p>
        </w:tc>
        <w:tc>
          <w:tcPr>
            <w:tcW w:w="0" w:type="auto"/>
            <w:gridSpan w:val="3"/>
            <w:shd w:val="clear" w:color="auto" w:fill="auto"/>
            <w:tcMar>
              <w:top w:w="0" w:type="dxa"/>
              <w:left w:w="20" w:type="dxa"/>
              <w:bottom w:w="0" w:type="dxa"/>
              <w:right w:w="20" w:type="dxa"/>
            </w:tcMar>
            <w:vAlign w:val="bottom"/>
          </w:tcPr>
          <w:p w14:paraId="22CFE19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9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97"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98" w14:textId="77777777" w:rsidR="002661BA" w:rsidRDefault="00D972BC">
            <w:pPr>
              <w:jc w:val="center"/>
              <w:textAlignment w:val="top"/>
            </w:pPr>
            <w:r>
              <w:rPr>
                <w:rFonts w:ascii="Arial" w:eastAsia="宋体" w:hAnsi="Arial" w:cs="Arial"/>
                <w:color w:val="000000"/>
                <w:sz w:val="18"/>
                <w:szCs w:val="18"/>
              </w:rPr>
              <w:t>8-K</w:t>
            </w:r>
          </w:p>
        </w:tc>
        <w:tc>
          <w:tcPr>
            <w:tcW w:w="0" w:type="auto"/>
            <w:gridSpan w:val="3"/>
            <w:shd w:val="clear" w:color="auto" w:fill="auto"/>
            <w:tcMar>
              <w:top w:w="0" w:type="dxa"/>
              <w:left w:w="20" w:type="dxa"/>
              <w:bottom w:w="0" w:type="dxa"/>
              <w:right w:w="20" w:type="dxa"/>
            </w:tcMar>
            <w:vAlign w:val="bottom"/>
          </w:tcPr>
          <w:p w14:paraId="22CFE199"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9A"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E19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9C" w14:textId="77777777" w:rsidR="002661BA" w:rsidRDefault="00D972BC">
            <w:pPr>
              <w:jc w:val="center"/>
              <w:textAlignment w:val="top"/>
            </w:pPr>
            <w:r>
              <w:rPr>
                <w:rFonts w:ascii="Arial" w:eastAsia="宋体" w:hAnsi="Arial" w:cs="Arial"/>
                <w:color w:val="000000"/>
                <w:sz w:val="18"/>
                <w:szCs w:val="18"/>
              </w:rPr>
              <w:t>3/11/2020</w:t>
            </w:r>
          </w:p>
        </w:tc>
      </w:tr>
      <w:tr w:rsidR="002661BA" w14:paraId="22CFE1A9"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19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9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A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A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A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A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A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A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A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A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A8" w14:textId="77777777" w:rsidR="002661BA" w:rsidRDefault="002661BA">
            <w:pPr>
              <w:rPr>
                <w:rFonts w:ascii="宋体"/>
              </w:rPr>
            </w:pPr>
          </w:p>
        </w:tc>
      </w:tr>
    </w:tbl>
    <w:p w14:paraId="22CFE1AA" w14:textId="77777777" w:rsidR="002661BA" w:rsidRDefault="00D972BC">
      <w:pPr>
        <w:jc w:val="center"/>
      </w:pPr>
      <w:r>
        <w:rPr>
          <w:rFonts w:ascii="Arial" w:eastAsia="宋体" w:hAnsi="Arial" w:cs="Arial"/>
          <w:color w:val="000000"/>
          <w:sz w:val="18"/>
          <w:szCs w:val="18"/>
        </w:rPr>
        <w:t>118</w:t>
      </w:r>
    </w:p>
    <w:p w14:paraId="22CFE1AB" w14:textId="77777777" w:rsidR="002661BA" w:rsidRDefault="00D972BC">
      <w:r>
        <w:pict w14:anchorId="22CFE527">
          <v:rect id="_x0000_i1142" style="width:415.3pt;height:1.5pt" o:hralign="center" o:hrstd="t" o:hr="t" fillcolor="#a0a0a0" stroked="f"/>
        </w:pict>
      </w:r>
    </w:p>
    <w:p w14:paraId="22CFE1AC" w14:textId="77777777" w:rsidR="002661BA" w:rsidRDefault="00D972BC">
      <w:hyperlink r:id="rId225" w:anchor="id0d7a71b05ce452ea9fdb54f3cb359c7_7" w:history="1">
        <w:r>
          <w:rPr>
            <w:rStyle w:val="a5"/>
            <w:rFonts w:ascii="Arial" w:eastAsia="宋体" w:hAnsi="Arial" w:cs="Arial"/>
            <w:sz w:val="18"/>
            <w:szCs w:val="18"/>
          </w:rPr>
          <w:t>Table of Contents</w:t>
        </w:r>
      </w:hyperlink>
    </w:p>
    <w:tbl>
      <w:tblPr>
        <w:tblW w:w="4963" w:type="pct"/>
        <w:jc w:val="center"/>
        <w:tblCellMar>
          <w:top w:w="15" w:type="dxa"/>
          <w:left w:w="15" w:type="dxa"/>
          <w:bottom w:w="15" w:type="dxa"/>
          <w:right w:w="15" w:type="dxa"/>
        </w:tblCellMar>
        <w:tblLook w:val="04A0" w:firstRow="1" w:lastRow="0" w:firstColumn="1" w:lastColumn="0" w:noHBand="0" w:noVBand="1"/>
      </w:tblPr>
      <w:tblGrid>
        <w:gridCol w:w="68"/>
        <w:gridCol w:w="541"/>
        <w:gridCol w:w="36"/>
        <w:gridCol w:w="37"/>
        <w:gridCol w:w="85"/>
        <w:gridCol w:w="36"/>
        <w:gridCol w:w="46"/>
        <w:gridCol w:w="3626"/>
        <w:gridCol w:w="39"/>
        <w:gridCol w:w="36"/>
        <w:gridCol w:w="36"/>
        <w:gridCol w:w="36"/>
        <w:gridCol w:w="61"/>
        <w:gridCol w:w="765"/>
        <w:gridCol w:w="36"/>
        <w:gridCol w:w="36"/>
        <w:gridCol w:w="36"/>
        <w:gridCol w:w="36"/>
        <w:gridCol w:w="54"/>
        <w:gridCol w:w="468"/>
        <w:gridCol w:w="39"/>
        <w:gridCol w:w="37"/>
        <w:gridCol w:w="37"/>
        <w:gridCol w:w="37"/>
        <w:gridCol w:w="84"/>
        <w:gridCol w:w="809"/>
        <w:gridCol w:w="37"/>
        <w:gridCol w:w="37"/>
        <w:gridCol w:w="37"/>
        <w:gridCol w:w="36"/>
        <w:gridCol w:w="88"/>
        <w:gridCol w:w="845"/>
        <w:gridCol w:w="37"/>
      </w:tblGrid>
      <w:tr w:rsidR="002661BA" w14:paraId="22CFE1CE" w14:textId="77777777">
        <w:trPr>
          <w:jc w:val="center"/>
        </w:trPr>
        <w:tc>
          <w:tcPr>
            <w:tcW w:w="50" w:type="pct"/>
            <w:shd w:val="clear" w:color="auto" w:fill="auto"/>
            <w:vAlign w:val="bottom"/>
          </w:tcPr>
          <w:p w14:paraId="22CFE1AD" w14:textId="77777777" w:rsidR="002661BA" w:rsidRDefault="002661BA">
            <w:pPr>
              <w:rPr>
                <w:rFonts w:ascii="宋体"/>
              </w:rPr>
            </w:pPr>
          </w:p>
        </w:tc>
        <w:tc>
          <w:tcPr>
            <w:tcW w:w="386" w:type="pct"/>
            <w:shd w:val="clear" w:color="auto" w:fill="auto"/>
            <w:vAlign w:val="bottom"/>
          </w:tcPr>
          <w:p w14:paraId="22CFE1AE" w14:textId="77777777" w:rsidR="002661BA" w:rsidRDefault="002661BA">
            <w:pPr>
              <w:rPr>
                <w:rFonts w:ascii="宋体"/>
              </w:rPr>
            </w:pPr>
          </w:p>
        </w:tc>
        <w:tc>
          <w:tcPr>
            <w:tcW w:w="5" w:type="pct"/>
            <w:shd w:val="clear" w:color="auto" w:fill="auto"/>
            <w:vAlign w:val="bottom"/>
          </w:tcPr>
          <w:p w14:paraId="22CFE1AF" w14:textId="77777777" w:rsidR="002661BA" w:rsidRDefault="002661BA">
            <w:pPr>
              <w:rPr>
                <w:rFonts w:ascii="宋体"/>
              </w:rPr>
            </w:pPr>
          </w:p>
        </w:tc>
        <w:tc>
          <w:tcPr>
            <w:tcW w:w="5" w:type="pct"/>
            <w:shd w:val="clear" w:color="auto" w:fill="auto"/>
            <w:vAlign w:val="bottom"/>
          </w:tcPr>
          <w:p w14:paraId="22CFE1B0" w14:textId="77777777" w:rsidR="002661BA" w:rsidRDefault="002661BA">
            <w:pPr>
              <w:rPr>
                <w:rFonts w:ascii="宋体"/>
              </w:rPr>
            </w:pPr>
          </w:p>
        </w:tc>
        <w:tc>
          <w:tcPr>
            <w:tcW w:w="26" w:type="pct"/>
            <w:shd w:val="clear" w:color="auto" w:fill="auto"/>
            <w:vAlign w:val="bottom"/>
          </w:tcPr>
          <w:p w14:paraId="22CFE1B1" w14:textId="77777777" w:rsidR="002661BA" w:rsidRDefault="002661BA">
            <w:pPr>
              <w:rPr>
                <w:rFonts w:ascii="宋体"/>
              </w:rPr>
            </w:pPr>
          </w:p>
        </w:tc>
        <w:tc>
          <w:tcPr>
            <w:tcW w:w="5" w:type="pct"/>
            <w:shd w:val="clear" w:color="auto" w:fill="auto"/>
            <w:vAlign w:val="bottom"/>
          </w:tcPr>
          <w:p w14:paraId="22CFE1B2" w14:textId="77777777" w:rsidR="002661BA" w:rsidRDefault="002661BA">
            <w:pPr>
              <w:rPr>
                <w:rFonts w:ascii="宋体"/>
              </w:rPr>
            </w:pPr>
          </w:p>
        </w:tc>
        <w:tc>
          <w:tcPr>
            <w:tcW w:w="50" w:type="pct"/>
            <w:shd w:val="clear" w:color="auto" w:fill="auto"/>
            <w:vAlign w:val="bottom"/>
          </w:tcPr>
          <w:p w14:paraId="22CFE1B3" w14:textId="77777777" w:rsidR="002661BA" w:rsidRDefault="002661BA">
            <w:pPr>
              <w:rPr>
                <w:rFonts w:ascii="宋体"/>
              </w:rPr>
            </w:pPr>
          </w:p>
        </w:tc>
        <w:tc>
          <w:tcPr>
            <w:tcW w:w="2235" w:type="pct"/>
            <w:shd w:val="clear" w:color="auto" w:fill="auto"/>
            <w:vAlign w:val="bottom"/>
          </w:tcPr>
          <w:p w14:paraId="22CFE1B4" w14:textId="77777777" w:rsidR="002661BA" w:rsidRDefault="002661BA">
            <w:pPr>
              <w:rPr>
                <w:rFonts w:ascii="宋体"/>
              </w:rPr>
            </w:pPr>
          </w:p>
        </w:tc>
        <w:tc>
          <w:tcPr>
            <w:tcW w:w="5" w:type="pct"/>
            <w:shd w:val="clear" w:color="auto" w:fill="auto"/>
            <w:vAlign w:val="bottom"/>
          </w:tcPr>
          <w:p w14:paraId="22CFE1B5" w14:textId="77777777" w:rsidR="002661BA" w:rsidRDefault="002661BA">
            <w:pPr>
              <w:rPr>
                <w:rFonts w:ascii="宋体"/>
              </w:rPr>
            </w:pPr>
          </w:p>
        </w:tc>
        <w:tc>
          <w:tcPr>
            <w:tcW w:w="5" w:type="pct"/>
            <w:shd w:val="clear" w:color="auto" w:fill="auto"/>
            <w:vAlign w:val="bottom"/>
          </w:tcPr>
          <w:p w14:paraId="22CFE1B6" w14:textId="77777777" w:rsidR="002661BA" w:rsidRDefault="002661BA">
            <w:pPr>
              <w:rPr>
                <w:rFonts w:ascii="宋体"/>
              </w:rPr>
            </w:pPr>
          </w:p>
        </w:tc>
        <w:tc>
          <w:tcPr>
            <w:tcW w:w="26" w:type="pct"/>
            <w:shd w:val="clear" w:color="auto" w:fill="auto"/>
            <w:vAlign w:val="bottom"/>
          </w:tcPr>
          <w:p w14:paraId="22CFE1B7" w14:textId="77777777" w:rsidR="002661BA" w:rsidRDefault="002661BA">
            <w:pPr>
              <w:rPr>
                <w:rFonts w:ascii="宋体"/>
              </w:rPr>
            </w:pPr>
          </w:p>
        </w:tc>
        <w:tc>
          <w:tcPr>
            <w:tcW w:w="5" w:type="pct"/>
            <w:shd w:val="clear" w:color="auto" w:fill="auto"/>
            <w:vAlign w:val="bottom"/>
          </w:tcPr>
          <w:p w14:paraId="22CFE1B8" w14:textId="77777777" w:rsidR="002661BA" w:rsidRDefault="002661BA">
            <w:pPr>
              <w:rPr>
                <w:rFonts w:ascii="宋体"/>
              </w:rPr>
            </w:pPr>
          </w:p>
        </w:tc>
        <w:tc>
          <w:tcPr>
            <w:tcW w:w="50" w:type="pct"/>
            <w:shd w:val="clear" w:color="auto" w:fill="auto"/>
            <w:vAlign w:val="bottom"/>
          </w:tcPr>
          <w:p w14:paraId="22CFE1B9" w14:textId="77777777" w:rsidR="002661BA" w:rsidRDefault="002661BA">
            <w:pPr>
              <w:rPr>
                <w:rFonts w:ascii="宋体"/>
              </w:rPr>
            </w:pPr>
          </w:p>
        </w:tc>
        <w:tc>
          <w:tcPr>
            <w:tcW w:w="541" w:type="pct"/>
            <w:shd w:val="clear" w:color="auto" w:fill="auto"/>
            <w:vAlign w:val="bottom"/>
          </w:tcPr>
          <w:p w14:paraId="22CFE1BA" w14:textId="77777777" w:rsidR="002661BA" w:rsidRDefault="002661BA">
            <w:pPr>
              <w:rPr>
                <w:rFonts w:ascii="宋体"/>
              </w:rPr>
            </w:pPr>
          </w:p>
        </w:tc>
        <w:tc>
          <w:tcPr>
            <w:tcW w:w="5" w:type="pct"/>
            <w:shd w:val="clear" w:color="auto" w:fill="auto"/>
            <w:vAlign w:val="bottom"/>
          </w:tcPr>
          <w:p w14:paraId="22CFE1BB" w14:textId="77777777" w:rsidR="002661BA" w:rsidRDefault="002661BA">
            <w:pPr>
              <w:rPr>
                <w:rFonts w:ascii="宋体"/>
              </w:rPr>
            </w:pPr>
          </w:p>
        </w:tc>
        <w:tc>
          <w:tcPr>
            <w:tcW w:w="5" w:type="pct"/>
            <w:shd w:val="clear" w:color="auto" w:fill="auto"/>
            <w:vAlign w:val="bottom"/>
          </w:tcPr>
          <w:p w14:paraId="22CFE1BC" w14:textId="77777777" w:rsidR="002661BA" w:rsidRDefault="002661BA">
            <w:pPr>
              <w:rPr>
                <w:rFonts w:ascii="宋体"/>
              </w:rPr>
            </w:pPr>
          </w:p>
        </w:tc>
        <w:tc>
          <w:tcPr>
            <w:tcW w:w="26" w:type="pct"/>
            <w:shd w:val="clear" w:color="auto" w:fill="auto"/>
            <w:vAlign w:val="bottom"/>
          </w:tcPr>
          <w:p w14:paraId="22CFE1BD" w14:textId="77777777" w:rsidR="002661BA" w:rsidRDefault="002661BA">
            <w:pPr>
              <w:rPr>
                <w:rFonts w:ascii="宋体"/>
              </w:rPr>
            </w:pPr>
          </w:p>
        </w:tc>
        <w:tc>
          <w:tcPr>
            <w:tcW w:w="5" w:type="pct"/>
            <w:shd w:val="clear" w:color="auto" w:fill="auto"/>
            <w:vAlign w:val="bottom"/>
          </w:tcPr>
          <w:p w14:paraId="22CFE1BE" w14:textId="77777777" w:rsidR="002661BA" w:rsidRDefault="002661BA">
            <w:pPr>
              <w:rPr>
                <w:rFonts w:ascii="宋体"/>
              </w:rPr>
            </w:pPr>
          </w:p>
        </w:tc>
        <w:tc>
          <w:tcPr>
            <w:tcW w:w="50" w:type="pct"/>
            <w:shd w:val="clear" w:color="auto" w:fill="auto"/>
            <w:vAlign w:val="bottom"/>
          </w:tcPr>
          <w:p w14:paraId="22CFE1BF" w14:textId="77777777" w:rsidR="002661BA" w:rsidRDefault="002661BA">
            <w:pPr>
              <w:rPr>
                <w:rFonts w:ascii="宋体"/>
              </w:rPr>
            </w:pPr>
          </w:p>
        </w:tc>
        <w:tc>
          <w:tcPr>
            <w:tcW w:w="357" w:type="pct"/>
            <w:shd w:val="clear" w:color="auto" w:fill="auto"/>
            <w:vAlign w:val="bottom"/>
          </w:tcPr>
          <w:p w14:paraId="22CFE1C0" w14:textId="77777777" w:rsidR="002661BA" w:rsidRDefault="002661BA">
            <w:pPr>
              <w:rPr>
                <w:rFonts w:ascii="宋体"/>
              </w:rPr>
            </w:pPr>
          </w:p>
        </w:tc>
        <w:tc>
          <w:tcPr>
            <w:tcW w:w="5" w:type="pct"/>
            <w:shd w:val="clear" w:color="auto" w:fill="auto"/>
            <w:vAlign w:val="bottom"/>
          </w:tcPr>
          <w:p w14:paraId="22CFE1C1" w14:textId="77777777" w:rsidR="002661BA" w:rsidRDefault="002661BA">
            <w:pPr>
              <w:rPr>
                <w:rFonts w:ascii="宋体"/>
              </w:rPr>
            </w:pPr>
          </w:p>
        </w:tc>
        <w:tc>
          <w:tcPr>
            <w:tcW w:w="5" w:type="pct"/>
            <w:shd w:val="clear" w:color="auto" w:fill="auto"/>
            <w:vAlign w:val="bottom"/>
          </w:tcPr>
          <w:p w14:paraId="22CFE1C2" w14:textId="77777777" w:rsidR="002661BA" w:rsidRDefault="002661BA">
            <w:pPr>
              <w:rPr>
                <w:rFonts w:ascii="宋体"/>
              </w:rPr>
            </w:pPr>
          </w:p>
        </w:tc>
        <w:tc>
          <w:tcPr>
            <w:tcW w:w="26" w:type="pct"/>
            <w:shd w:val="clear" w:color="auto" w:fill="auto"/>
            <w:vAlign w:val="bottom"/>
          </w:tcPr>
          <w:p w14:paraId="22CFE1C3" w14:textId="77777777" w:rsidR="002661BA" w:rsidRDefault="002661BA">
            <w:pPr>
              <w:rPr>
                <w:rFonts w:ascii="宋体"/>
              </w:rPr>
            </w:pPr>
          </w:p>
        </w:tc>
        <w:tc>
          <w:tcPr>
            <w:tcW w:w="5" w:type="pct"/>
            <w:shd w:val="clear" w:color="auto" w:fill="auto"/>
            <w:vAlign w:val="bottom"/>
          </w:tcPr>
          <w:p w14:paraId="22CFE1C4" w14:textId="77777777" w:rsidR="002661BA" w:rsidRDefault="002661BA">
            <w:pPr>
              <w:rPr>
                <w:rFonts w:ascii="宋体"/>
              </w:rPr>
            </w:pPr>
          </w:p>
        </w:tc>
        <w:tc>
          <w:tcPr>
            <w:tcW w:w="50" w:type="pct"/>
            <w:shd w:val="clear" w:color="auto" w:fill="auto"/>
            <w:vAlign w:val="bottom"/>
          </w:tcPr>
          <w:p w14:paraId="22CFE1C5" w14:textId="77777777" w:rsidR="002661BA" w:rsidRDefault="002661BA">
            <w:pPr>
              <w:rPr>
                <w:rFonts w:ascii="宋体"/>
              </w:rPr>
            </w:pPr>
          </w:p>
        </w:tc>
        <w:tc>
          <w:tcPr>
            <w:tcW w:w="482" w:type="pct"/>
            <w:shd w:val="clear" w:color="auto" w:fill="auto"/>
            <w:vAlign w:val="bottom"/>
          </w:tcPr>
          <w:p w14:paraId="22CFE1C6" w14:textId="77777777" w:rsidR="002661BA" w:rsidRDefault="002661BA">
            <w:pPr>
              <w:rPr>
                <w:rFonts w:ascii="宋体"/>
              </w:rPr>
            </w:pPr>
          </w:p>
        </w:tc>
        <w:tc>
          <w:tcPr>
            <w:tcW w:w="5" w:type="pct"/>
            <w:shd w:val="clear" w:color="auto" w:fill="auto"/>
            <w:vAlign w:val="bottom"/>
          </w:tcPr>
          <w:p w14:paraId="22CFE1C7" w14:textId="77777777" w:rsidR="002661BA" w:rsidRDefault="002661BA">
            <w:pPr>
              <w:rPr>
                <w:rFonts w:ascii="宋体"/>
              </w:rPr>
            </w:pPr>
          </w:p>
        </w:tc>
        <w:tc>
          <w:tcPr>
            <w:tcW w:w="5" w:type="pct"/>
            <w:shd w:val="clear" w:color="auto" w:fill="auto"/>
            <w:vAlign w:val="bottom"/>
          </w:tcPr>
          <w:p w14:paraId="22CFE1C8" w14:textId="77777777" w:rsidR="002661BA" w:rsidRDefault="002661BA">
            <w:pPr>
              <w:rPr>
                <w:rFonts w:ascii="宋体"/>
              </w:rPr>
            </w:pPr>
          </w:p>
        </w:tc>
        <w:tc>
          <w:tcPr>
            <w:tcW w:w="26" w:type="pct"/>
            <w:shd w:val="clear" w:color="auto" w:fill="auto"/>
            <w:vAlign w:val="bottom"/>
          </w:tcPr>
          <w:p w14:paraId="22CFE1C9" w14:textId="77777777" w:rsidR="002661BA" w:rsidRDefault="002661BA">
            <w:pPr>
              <w:rPr>
                <w:rFonts w:ascii="宋体"/>
              </w:rPr>
            </w:pPr>
          </w:p>
        </w:tc>
        <w:tc>
          <w:tcPr>
            <w:tcW w:w="5" w:type="pct"/>
            <w:shd w:val="clear" w:color="auto" w:fill="auto"/>
            <w:vAlign w:val="bottom"/>
          </w:tcPr>
          <w:p w14:paraId="22CFE1CA" w14:textId="77777777" w:rsidR="002661BA" w:rsidRDefault="002661BA">
            <w:pPr>
              <w:rPr>
                <w:rFonts w:ascii="宋体"/>
              </w:rPr>
            </w:pPr>
          </w:p>
        </w:tc>
        <w:tc>
          <w:tcPr>
            <w:tcW w:w="50" w:type="pct"/>
            <w:shd w:val="clear" w:color="auto" w:fill="auto"/>
            <w:vAlign w:val="bottom"/>
          </w:tcPr>
          <w:p w14:paraId="22CFE1CB" w14:textId="77777777" w:rsidR="002661BA" w:rsidRDefault="002661BA">
            <w:pPr>
              <w:rPr>
                <w:rFonts w:ascii="宋体"/>
              </w:rPr>
            </w:pPr>
          </w:p>
        </w:tc>
        <w:tc>
          <w:tcPr>
            <w:tcW w:w="482" w:type="pct"/>
            <w:shd w:val="clear" w:color="auto" w:fill="auto"/>
            <w:vAlign w:val="bottom"/>
          </w:tcPr>
          <w:p w14:paraId="22CFE1CC" w14:textId="77777777" w:rsidR="002661BA" w:rsidRDefault="002661BA">
            <w:pPr>
              <w:rPr>
                <w:rFonts w:ascii="宋体"/>
              </w:rPr>
            </w:pPr>
          </w:p>
        </w:tc>
        <w:tc>
          <w:tcPr>
            <w:tcW w:w="5" w:type="pct"/>
            <w:shd w:val="clear" w:color="auto" w:fill="auto"/>
            <w:vAlign w:val="bottom"/>
          </w:tcPr>
          <w:p w14:paraId="22CFE1CD" w14:textId="77777777" w:rsidR="002661BA" w:rsidRDefault="002661BA">
            <w:pPr>
              <w:rPr>
                <w:rFonts w:ascii="宋体"/>
              </w:rPr>
            </w:pPr>
          </w:p>
        </w:tc>
      </w:tr>
      <w:tr w:rsidR="002661BA" w14:paraId="22CFE1D6" w14:textId="77777777">
        <w:trPr>
          <w:trHeight w:val="240"/>
          <w:jc w:val="center"/>
        </w:trPr>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22CFE1CF" w14:textId="77777777" w:rsidR="002661BA" w:rsidRDefault="00D972BC">
            <w:pPr>
              <w:textAlignment w:val="bottom"/>
            </w:pPr>
            <w:r>
              <w:rPr>
                <w:rFonts w:ascii="Arial" w:eastAsia="宋体" w:hAnsi="Arial" w:cs="Arial"/>
                <w:b/>
                <w:bCs/>
                <w:color w:val="000000"/>
                <w:sz w:val="14"/>
                <w:szCs w:val="14"/>
              </w:rPr>
              <w:t>No.</w:t>
            </w:r>
          </w:p>
        </w:tc>
        <w:tc>
          <w:tcPr>
            <w:tcW w:w="0" w:type="auto"/>
            <w:gridSpan w:val="3"/>
            <w:shd w:val="clear" w:color="auto" w:fill="auto"/>
            <w:tcMar>
              <w:top w:w="40" w:type="dxa"/>
              <w:left w:w="20" w:type="dxa"/>
              <w:bottom w:w="40" w:type="dxa"/>
              <w:right w:w="20" w:type="dxa"/>
            </w:tcMar>
            <w:vAlign w:val="bottom"/>
          </w:tcPr>
          <w:p w14:paraId="22CFE1D0" w14:textId="77777777" w:rsidR="002661BA" w:rsidRDefault="00D972BC">
            <w:pPr>
              <w:textAlignment w:val="bottom"/>
            </w:pPr>
            <w:r>
              <w:rPr>
                <w:rFonts w:ascii="Arial" w:eastAsia="宋体" w:hAnsi="Arial" w:cs="Arial"/>
                <w:color w:val="000000"/>
                <w:sz w:val="14"/>
                <w:szCs w:val="14"/>
              </w:rPr>
              <w:t>  </w:t>
            </w: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22CFE1D1" w14:textId="77777777" w:rsidR="002661BA" w:rsidRDefault="00D972BC">
            <w:pPr>
              <w:jc w:val="center"/>
              <w:textAlignment w:val="bottom"/>
            </w:pPr>
            <w:r>
              <w:rPr>
                <w:rFonts w:ascii="Arial" w:eastAsia="宋体" w:hAnsi="Arial" w:cs="Arial"/>
                <w:b/>
                <w:bCs/>
                <w:color w:val="000000"/>
                <w:sz w:val="14"/>
                <w:szCs w:val="14"/>
              </w:rPr>
              <w:t>Exhibit Description</w:t>
            </w:r>
          </w:p>
        </w:tc>
        <w:tc>
          <w:tcPr>
            <w:tcW w:w="0" w:type="auto"/>
            <w:gridSpan w:val="3"/>
            <w:shd w:val="clear" w:color="auto" w:fill="auto"/>
            <w:tcMar>
              <w:top w:w="40" w:type="dxa"/>
              <w:left w:w="20" w:type="dxa"/>
              <w:bottom w:w="40" w:type="dxa"/>
              <w:right w:w="20" w:type="dxa"/>
            </w:tcMar>
            <w:vAlign w:val="bottom"/>
          </w:tcPr>
          <w:p w14:paraId="22CFE1D2" w14:textId="77777777" w:rsidR="002661BA" w:rsidRDefault="00D972BC">
            <w:pPr>
              <w:textAlignment w:val="bottom"/>
            </w:pPr>
            <w:r>
              <w:rPr>
                <w:rFonts w:ascii="Arial" w:eastAsia="宋体" w:hAnsi="Arial" w:cs="Arial"/>
                <w:color w:val="000000"/>
                <w:sz w:val="14"/>
                <w:szCs w:val="14"/>
              </w:rPr>
              <w:t> </w:t>
            </w: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22CFE1D3" w14:textId="77777777" w:rsidR="002661BA" w:rsidRDefault="00D972BC">
            <w:pPr>
              <w:jc w:val="center"/>
              <w:textAlignment w:val="bottom"/>
            </w:pPr>
            <w:r>
              <w:rPr>
                <w:rFonts w:ascii="Arial" w:eastAsia="宋体" w:hAnsi="Arial" w:cs="Arial"/>
                <w:b/>
                <w:bCs/>
                <w:color w:val="000000"/>
                <w:sz w:val="14"/>
                <w:szCs w:val="14"/>
              </w:rPr>
              <w:t>Filed or Furnished with</w:t>
            </w:r>
            <w:r>
              <w:rPr>
                <w:rFonts w:ascii="Arial" w:eastAsia="宋体" w:hAnsi="Arial" w:cs="Arial"/>
                <w:b/>
                <w:bCs/>
                <w:color w:val="000000"/>
                <w:sz w:val="14"/>
                <w:szCs w:val="14"/>
              </w:rPr>
              <w:br/>
              <w:t>this 10-K</w:t>
            </w:r>
          </w:p>
        </w:tc>
        <w:tc>
          <w:tcPr>
            <w:tcW w:w="0" w:type="auto"/>
            <w:gridSpan w:val="3"/>
            <w:shd w:val="clear" w:color="auto" w:fill="auto"/>
            <w:tcMar>
              <w:top w:w="40" w:type="dxa"/>
              <w:left w:w="20" w:type="dxa"/>
              <w:bottom w:w="40" w:type="dxa"/>
              <w:right w:w="20" w:type="dxa"/>
            </w:tcMar>
            <w:vAlign w:val="bottom"/>
          </w:tcPr>
          <w:p w14:paraId="22CFE1D4" w14:textId="77777777" w:rsidR="002661BA" w:rsidRDefault="00D972BC">
            <w:pPr>
              <w:textAlignment w:val="bottom"/>
            </w:pPr>
            <w:r>
              <w:rPr>
                <w:rFonts w:ascii="Arial" w:eastAsia="宋体" w:hAnsi="Arial" w:cs="Arial"/>
                <w:color w:val="000000"/>
                <w:sz w:val="14"/>
                <w:szCs w:val="14"/>
              </w:rPr>
              <w:t> </w:t>
            </w:r>
          </w:p>
        </w:tc>
        <w:tc>
          <w:tcPr>
            <w:tcW w:w="0" w:type="auto"/>
            <w:gridSpan w:val="15"/>
            <w:shd w:val="clear" w:color="auto" w:fill="auto"/>
            <w:tcMar>
              <w:top w:w="40" w:type="dxa"/>
              <w:left w:w="20" w:type="dxa"/>
              <w:bottom w:w="40" w:type="dxa"/>
              <w:right w:w="20" w:type="dxa"/>
            </w:tcMar>
            <w:vAlign w:val="bottom"/>
          </w:tcPr>
          <w:p w14:paraId="22CFE1D5" w14:textId="77777777" w:rsidR="002661BA" w:rsidRDefault="00D972BC">
            <w:pPr>
              <w:jc w:val="center"/>
              <w:textAlignment w:val="bottom"/>
            </w:pPr>
            <w:r>
              <w:rPr>
                <w:rFonts w:ascii="Arial" w:eastAsia="宋体" w:hAnsi="Arial" w:cs="Arial"/>
                <w:b/>
                <w:bCs/>
                <w:color w:val="000000"/>
                <w:sz w:val="14"/>
                <w:szCs w:val="14"/>
              </w:rPr>
              <w:t>Incorporated by Reference</w:t>
            </w:r>
          </w:p>
        </w:tc>
      </w:tr>
      <w:tr w:rsidR="002661BA" w14:paraId="22CFE1E2" w14:textId="77777777">
        <w:trPr>
          <w:trHeight w:val="240"/>
          <w:jc w:val="center"/>
        </w:trPr>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22CFE1D7"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1D8" w14:textId="77777777" w:rsidR="002661BA" w:rsidRDefault="00D972BC">
            <w:pPr>
              <w:textAlignment w:val="bottom"/>
            </w:pPr>
            <w:r>
              <w:rPr>
                <w:rFonts w:ascii="Arial" w:eastAsia="宋体" w:hAnsi="Arial" w:cs="Arial"/>
                <w:color w:val="000000"/>
                <w:sz w:val="14"/>
                <w:szCs w:val="14"/>
              </w:rPr>
              <w:t>  </w:t>
            </w: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22CFE1D9" w14:textId="77777777" w:rsidR="002661BA" w:rsidRDefault="002661BA">
            <w:pPr>
              <w:jc w:val="center"/>
              <w:rPr>
                <w:rFonts w:ascii="宋体"/>
              </w:rPr>
            </w:pPr>
          </w:p>
        </w:tc>
        <w:tc>
          <w:tcPr>
            <w:tcW w:w="0" w:type="auto"/>
            <w:gridSpan w:val="3"/>
            <w:shd w:val="clear" w:color="auto" w:fill="auto"/>
            <w:tcMar>
              <w:top w:w="40" w:type="dxa"/>
              <w:left w:w="20" w:type="dxa"/>
              <w:bottom w:w="40" w:type="dxa"/>
              <w:right w:w="20" w:type="dxa"/>
            </w:tcMar>
            <w:vAlign w:val="bottom"/>
          </w:tcPr>
          <w:p w14:paraId="22CFE1DA" w14:textId="77777777" w:rsidR="002661BA" w:rsidRDefault="00D972BC">
            <w:pPr>
              <w:textAlignment w:val="bottom"/>
            </w:pPr>
            <w:r>
              <w:rPr>
                <w:rFonts w:ascii="Arial" w:eastAsia="宋体" w:hAnsi="Arial" w:cs="Arial"/>
                <w:color w:val="000000"/>
                <w:sz w:val="14"/>
                <w:szCs w:val="14"/>
              </w:rPr>
              <w:t> </w:t>
            </w: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22CFE1DB" w14:textId="77777777" w:rsidR="002661BA" w:rsidRDefault="002661BA">
            <w:pPr>
              <w:jc w:val="center"/>
              <w:rPr>
                <w:rFonts w:ascii="宋体"/>
              </w:rPr>
            </w:pPr>
          </w:p>
        </w:tc>
        <w:tc>
          <w:tcPr>
            <w:tcW w:w="0" w:type="auto"/>
            <w:gridSpan w:val="3"/>
            <w:shd w:val="clear" w:color="auto" w:fill="auto"/>
            <w:tcMar>
              <w:top w:w="40" w:type="dxa"/>
              <w:left w:w="20" w:type="dxa"/>
              <w:bottom w:w="40" w:type="dxa"/>
              <w:right w:w="20" w:type="dxa"/>
            </w:tcMar>
            <w:vAlign w:val="bottom"/>
          </w:tcPr>
          <w:p w14:paraId="22CFE1DC" w14:textId="77777777" w:rsidR="002661BA" w:rsidRDefault="00D972BC">
            <w:pPr>
              <w:textAlignment w:val="bottom"/>
            </w:pPr>
            <w:r>
              <w:rPr>
                <w:rFonts w:ascii="Arial" w:eastAsia="宋体" w:hAnsi="Arial" w:cs="Arial"/>
                <w:color w:val="000000"/>
                <w:sz w:val="14"/>
                <w:szCs w:val="14"/>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E1DD" w14:textId="77777777" w:rsidR="002661BA" w:rsidRDefault="00D972BC">
            <w:pPr>
              <w:jc w:val="center"/>
              <w:textAlignment w:val="bottom"/>
            </w:pPr>
            <w:r>
              <w:rPr>
                <w:rFonts w:ascii="Arial" w:eastAsia="宋体" w:hAnsi="Arial" w:cs="Arial"/>
                <w:b/>
                <w:bCs/>
                <w:color w:val="000000"/>
                <w:sz w:val="14"/>
                <w:szCs w:val="14"/>
              </w:rPr>
              <w:t>Form</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E1DE" w14:textId="77777777" w:rsidR="002661BA" w:rsidRDefault="00D972BC">
            <w:pPr>
              <w:textAlignment w:val="bottom"/>
            </w:pPr>
            <w:r>
              <w:rPr>
                <w:rFonts w:ascii="Arial" w:eastAsia="宋体" w:hAnsi="Arial" w:cs="Arial"/>
                <w:color w:val="000000"/>
                <w:sz w:val="14"/>
                <w:szCs w:val="14"/>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E1DF" w14:textId="77777777" w:rsidR="002661BA" w:rsidRDefault="00D972BC">
            <w:pPr>
              <w:jc w:val="center"/>
              <w:textAlignment w:val="bottom"/>
            </w:pPr>
            <w:r>
              <w:rPr>
                <w:rFonts w:ascii="Arial" w:eastAsia="宋体" w:hAnsi="Arial" w:cs="Arial"/>
                <w:b/>
                <w:bCs/>
                <w:color w:val="000000"/>
                <w:sz w:val="14"/>
                <w:szCs w:val="14"/>
              </w:rPr>
              <w:t>File No.</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E1E0" w14:textId="77777777" w:rsidR="002661BA" w:rsidRDefault="00D972BC">
            <w:pPr>
              <w:textAlignment w:val="bottom"/>
            </w:pPr>
            <w:r>
              <w:rPr>
                <w:rFonts w:ascii="Arial" w:eastAsia="宋体" w:hAnsi="Arial" w:cs="Arial"/>
                <w:color w:val="000000"/>
                <w:sz w:val="14"/>
                <w:szCs w:val="14"/>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FE1E1" w14:textId="77777777" w:rsidR="002661BA" w:rsidRDefault="00D972BC">
            <w:pPr>
              <w:jc w:val="center"/>
              <w:textAlignment w:val="bottom"/>
            </w:pPr>
            <w:r>
              <w:rPr>
                <w:rFonts w:ascii="Arial" w:eastAsia="宋体" w:hAnsi="Arial" w:cs="Arial"/>
                <w:b/>
                <w:bCs/>
                <w:color w:val="000000"/>
                <w:sz w:val="14"/>
                <w:szCs w:val="14"/>
              </w:rPr>
              <w:t>Date Filed</w:t>
            </w:r>
          </w:p>
        </w:tc>
      </w:tr>
      <w:tr w:rsidR="002661BA" w14:paraId="22CFE1EE" w14:textId="77777777">
        <w:trPr>
          <w:jc w:val="center"/>
        </w:trPr>
        <w:tc>
          <w:tcPr>
            <w:tcW w:w="0" w:type="auto"/>
            <w:gridSpan w:val="3"/>
            <w:shd w:val="clear" w:color="auto" w:fill="auto"/>
            <w:tcMar>
              <w:top w:w="40" w:type="dxa"/>
              <w:left w:w="20" w:type="dxa"/>
              <w:bottom w:w="40" w:type="dxa"/>
              <w:right w:w="20" w:type="dxa"/>
            </w:tcMar>
          </w:tcPr>
          <w:p w14:paraId="22CFE1E3" w14:textId="77777777" w:rsidR="002661BA" w:rsidRDefault="00D972BC">
            <w:pPr>
              <w:textAlignment w:val="top"/>
            </w:pPr>
            <w:r>
              <w:rPr>
                <w:rFonts w:ascii="Arial" w:eastAsia="宋体" w:hAnsi="Arial" w:cs="Arial"/>
                <w:color w:val="000000"/>
                <w:sz w:val="18"/>
                <w:szCs w:val="18"/>
              </w:rPr>
              <w:t>10.42+</w:t>
            </w:r>
          </w:p>
        </w:tc>
        <w:tc>
          <w:tcPr>
            <w:tcW w:w="0" w:type="auto"/>
            <w:gridSpan w:val="3"/>
            <w:shd w:val="clear" w:color="auto" w:fill="auto"/>
            <w:tcMar>
              <w:top w:w="0" w:type="dxa"/>
              <w:left w:w="20" w:type="dxa"/>
              <w:bottom w:w="0" w:type="dxa"/>
              <w:right w:w="20" w:type="dxa"/>
            </w:tcMar>
            <w:vAlign w:val="bottom"/>
          </w:tcPr>
          <w:p w14:paraId="22CFE1E4"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1E5" w14:textId="77777777" w:rsidR="002661BA" w:rsidRDefault="00D972BC">
            <w:pPr>
              <w:textAlignment w:val="bottom"/>
            </w:pPr>
            <w:hyperlink r:id="rId226" w:history="1">
              <w:r>
                <w:rPr>
                  <w:rStyle w:val="a5"/>
                  <w:rFonts w:ascii="Arial" w:eastAsia="宋体" w:hAnsi="Arial" w:cs="Arial"/>
                  <w:sz w:val="18"/>
                  <w:szCs w:val="18"/>
                </w:rPr>
                <w:t>Offer Letter dated July 7, 2019 between Registrant and Peter Thompson.</w:t>
              </w:r>
            </w:hyperlink>
          </w:p>
        </w:tc>
        <w:tc>
          <w:tcPr>
            <w:tcW w:w="0" w:type="auto"/>
            <w:gridSpan w:val="3"/>
            <w:shd w:val="clear" w:color="auto" w:fill="auto"/>
            <w:tcMar>
              <w:top w:w="0" w:type="dxa"/>
              <w:left w:w="20" w:type="dxa"/>
              <w:bottom w:w="0" w:type="dxa"/>
              <w:right w:w="20" w:type="dxa"/>
            </w:tcMar>
            <w:vAlign w:val="bottom"/>
          </w:tcPr>
          <w:p w14:paraId="22CFE1E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E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E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E9"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E1E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EB"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E1E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1ED" w14:textId="77777777" w:rsidR="002661BA" w:rsidRDefault="00D972BC">
            <w:pPr>
              <w:jc w:val="center"/>
              <w:textAlignment w:val="top"/>
            </w:pPr>
            <w:r>
              <w:rPr>
                <w:rFonts w:ascii="Arial" w:eastAsia="宋体" w:hAnsi="Arial" w:cs="Arial"/>
                <w:color w:val="000000"/>
                <w:sz w:val="18"/>
                <w:szCs w:val="18"/>
              </w:rPr>
              <w:t>4/30/2020</w:t>
            </w:r>
          </w:p>
        </w:tc>
      </w:tr>
      <w:tr w:rsidR="002661BA" w14:paraId="22CFE1FA"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1E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F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F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F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F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F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F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F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F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F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F9" w14:textId="77777777" w:rsidR="002661BA" w:rsidRDefault="002661BA">
            <w:pPr>
              <w:rPr>
                <w:rFonts w:ascii="宋体"/>
              </w:rPr>
            </w:pPr>
          </w:p>
        </w:tc>
      </w:tr>
      <w:tr w:rsidR="002661BA" w14:paraId="22CFE206" w14:textId="77777777">
        <w:trPr>
          <w:jc w:val="center"/>
        </w:trPr>
        <w:tc>
          <w:tcPr>
            <w:tcW w:w="0" w:type="auto"/>
            <w:gridSpan w:val="3"/>
            <w:shd w:val="clear" w:color="auto" w:fill="auto"/>
            <w:tcMar>
              <w:top w:w="40" w:type="dxa"/>
              <w:left w:w="20" w:type="dxa"/>
              <w:bottom w:w="40" w:type="dxa"/>
              <w:right w:w="20" w:type="dxa"/>
            </w:tcMar>
          </w:tcPr>
          <w:p w14:paraId="22CFE1FB" w14:textId="77777777" w:rsidR="002661BA" w:rsidRDefault="00D972BC">
            <w:pPr>
              <w:textAlignment w:val="top"/>
            </w:pPr>
            <w:r>
              <w:rPr>
                <w:rFonts w:ascii="Arial" w:eastAsia="宋体" w:hAnsi="Arial" w:cs="Arial"/>
                <w:color w:val="000000"/>
                <w:sz w:val="18"/>
                <w:szCs w:val="18"/>
              </w:rPr>
              <w:t>10.43+</w:t>
            </w:r>
          </w:p>
        </w:tc>
        <w:tc>
          <w:tcPr>
            <w:tcW w:w="0" w:type="auto"/>
            <w:gridSpan w:val="3"/>
            <w:shd w:val="clear" w:color="auto" w:fill="auto"/>
            <w:tcMar>
              <w:top w:w="0" w:type="dxa"/>
              <w:left w:w="20" w:type="dxa"/>
              <w:bottom w:w="0" w:type="dxa"/>
              <w:right w:w="20" w:type="dxa"/>
            </w:tcMar>
            <w:vAlign w:val="bottom"/>
          </w:tcPr>
          <w:p w14:paraId="22CFE1F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1FD" w14:textId="77777777" w:rsidR="002661BA" w:rsidRDefault="00D972BC">
            <w:pPr>
              <w:textAlignment w:val="bottom"/>
            </w:pPr>
            <w:hyperlink r:id="rId227" w:history="1">
              <w:r>
                <w:rPr>
                  <w:rStyle w:val="a5"/>
                  <w:rFonts w:ascii="Arial" w:eastAsia="宋体" w:hAnsi="Arial" w:cs="Arial"/>
                  <w:sz w:val="18"/>
                  <w:szCs w:val="18"/>
                </w:rPr>
                <w:t>Offer Letter dated May 1, 2015 between Registrant and Kristin Yetto.</w:t>
              </w:r>
            </w:hyperlink>
          </w:p>
        </w:tc>
        <w:tc>
          <w:tcPr>
            <w:tcW w:w="0" w:type="auto"/>
            <w:gridSpan w:val="3"/>
            <w:shd w:val="clear" w:color="auto" w:fill="auto"/>
            <w:tcMar>
              <w:top w:w="0" w:type="dxa"/>
              <w:left w:w="20" w:type="dxa"/>
              <w:bottom w:w="0" w:type="dxa"/>
              <w:right w:w="20" w:type="dxa"/>
            </w:tcMar>
            <w:vAlign w:val="bottom"/>
          </w:tcPr>
          <w:p w14:paraId="22CFE1F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1F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0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01"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E20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03"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E204"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05" w14:textId="77777777" w:rsidR="002661BA" w:rsidRDefault="00D972BC">
            <w:pPr>
              <w:jc w:val="center"/>
              <w:textAlignment w:val="top"/>
            </w:pPr>
            <w:r>
              <w:rPr>
                <w:rFonts w:ascii="Arial" w:eastAsia="宋体" w:hAnsi="Arial" w:cs="Arial"/>
                <w:color w:val="000000"/>
                <w:sz w:val="18"/>
                <w:szCs w:val="18"/>
              </w:rPr>
              <w:t>4/30/2020</w:t>
            </w:r>
          </w:p>
        </w:tc>
      </w:tr>
      <w:tr w:rsidR="002661BA" w14:paraId="22CFE212"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20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0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0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0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0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0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0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0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0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1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11" w14:textId="77777777" w:rsidR="002661BA" w:rsidRDefault="002661BA">
            <w:pPr>
              <w:rPr>
                <w:rFonts w:ascii="宋体"/>
              </w:rPr>
            </w:pPr>
          </w:p>
        </w:tc>
      </w:tr>
      <w:tr w:rsidR="002661BA" w14:paraId="22CFE21E" w14:textId="77777777">
        <w:trPr>
          <w:jc w:val="center"/>
        </w:trPr>
        <w:tc>
          <w:tcPr>
            <w:tcW w:w="0" w:type="auto"/>
            <w:gridSpan w:val="3"/>
            <w:shd w:val="clear" w:color="auto" w:fill="auto"/>
            <w:tcMar>
              <w:top w:w="40" w:type="dxa"/>
              <w:left w:w="20" w:type="dxa"/>
              <w:bottom w:w="40" w:type="dxa"/>
              <w:right w:w="20" w:type="dxa"/>
            </w:tcMar>
          </w:tcPr>
          <w:p w14:paraId="22CFE213" w14:textId="77777777" w:rsidR="002661BA" w:rsidRDefault="00D972BC">
            <w:pPr>
              <w:textAlignment w:val="top"/>
            </w:pPr>
            <w:r>
              <w:rPr>
                <w:rFonts w:ascii="Arial" w:eastAsia="宋体" w:hAnsi="Arial" w:cs="Arial"/>
                <w:color w:val="000000"/>
                <w:sz w:val="18"/>
                <w:szCs w:val="18"/>
              </w:rPr>
              <w:t>10.44+</w:t>
            </w:r>
          </w:p>
        </w:tc>
        <w:tc>
          <w:tcPr>
            <w:tcW w:w="0" w:type="auto"/>
            <w:gridSpan w:val="3"/>
            <w:shd w:val="clear" w:color="auto" w:fill="auto"/>
            <w:tcMar>
              <w:top w:w="0" w:type="dxa"/>
              <w:left w:w="20" w:type="dxa"/>
              <w:bottom w:w="0" w:type="dxa"/>
              <w:right w:w="20" w:type="dxa"/>
            </w:tcMar>
            <w:vAlign w:val="bottom"/>
          </w:tcPr>
          <w:p w14:paraId="22CFE214"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215" w14:textId="77777777" w:rsidR="002661BA" w:rsidRDefault="00D972BC">
            <w:pPr>
              <w:textAlignment w:val="bottom"/>
            </w:pPr>
            <w:hyperlink r:id="rId228" w:history="1">
              <w:r>
                <w:rPr>
                  <w:rStyle w:val="a5"/>
                  <w:rFonts w:ascii="Arial" w:eastAsia="宋体" w:hAnsi="Arial" w:cs="Arial"/>
                  <w:sz w:val="18"/>
                  <w:szCs w:val="18"/>
                </w:rPr>
                <w:t>Letter Agreement between Jamie Iannone and eBay Inc., dated April 12, 2020.</w:t>
              </w:r>
            </w:hyperlink>
          </w:p>
        </w:tc>
        <w:tc>
          <w:tcPr>
            <w:tcW w:w="0" w:type="auto"/>
            <w:gridSpan w:val="3"/>
            <w:shd w:val="clear" w:color="auto" w:fill="auto"/>
            <w:tcMar>
              <w:top w:w="0" w:type="dxa"/>
              <w:left w:w="20" w:type="dxa"/>
              <w:bottom w:w="0" w:type="dxa"/>
              <w:right w:w="20" w:type="dxa"/>
            </w:tcMar>
            <w:vAlign w:val="bottom"/>
          </w:tcPr>
          <w:p w14:paraId="22CFE21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1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1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19"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E21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1B"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E21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1D" w14:textId="77777777" w:rsidR="002661BA" w:rsidRDefault="00D972BC">
            <w:pPr>
              <w:jc w:val="center"/>
              <w:textAlignment w:val="top"/>
            </w:pPr>
            <w:r>
              <w:rPr>
                <w:rFonts w:ascii="Arial" w:eastAsia="宋体" w:hAnsi="Arial" w:cs="Arial"/>
                <w:color w:val="000000"/>
                <w:sz w:val="18"/>
                <w:szCs w:val="18"/>
              </w:rPr>
              <w:t>7/29/2020</w:t>
            </w:r>
          </w:p>
        </w:tc>
      </w:tr>
      <w:tr w:rsidR="002661BA" w14:paraId="22CFE22A"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21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2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2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2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2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2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2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2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2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2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29" w14:textId="77777777" w:rsidR="002661BA" w:rsidRDefault="002661BA">
            <w:pPr>
              <w:rPr>
                <w:rFonts w:ascii="宋体"/>
              </w:rPr>
            </w:pPr>
          </w:p>
        </w:tc>
      </w:tr>
      <w:tr w:rsidR="002661BA" w14:paraId="22CFE236" w14:textId="77777777">
        <w:trPr>
          <w:jc w:val="center"/>
        </w:trPr>
        <w:tc>
          <w:tcPr>
            <w:tcW w:w="0" w:type="auto"/>
            <w:gridSpan w:val="3"/>
            <w:shd w:val="clear" w:color="auto" w:fill="auto"/>
            <w:tcMar>
              <w:top w:w="40" w:type="dxa"/>
              <w:left w:w="20" w:type="dxa"/>
              <w:bottom w:w="40" w:type="dxa"/>
              <w:right w:w="20" w:type="dxa"/>
            </w:tcMar>
          </w:tcPr>
          <w:p w14:paraId="22CFE22B" w14:textId="77777777" w:rsidR="002661BA" w:rsidRDefault="00D972BC">
            <w:pPr>
              <w:textAlignment w:val="top"/>
            </w:pPr>
            <w:r>
              <w:rPr>
                <w:rFonts w:ascii="Arial" w:eastAsia="宋体" w:hAnsi="Arial" w:cs="Arial"/>
                <w:color w:val="000000"/>
                <w:sz w:val="18"/>
                <w:szCs w:val="18"/>
              </w:rPr>
              <w:t>10.45+</w:t>
            </w:r>
          </w:p>
        </w:tc>
        <w:tc>
          <w:tcPr>
            <w:tcW w:w="0" w:type="auto"/>
            <w:gridSpan w:val="3"/>
            <w:shd w:val="clear" w:color="auto" w:fill="auto"/>
            <w:tcMar>
              <w:top w:w="0" w:type="dxa"/>
              <w:left w:w="20" w:type="dxa"/>
              <w:bottom w:w="0" w:type="dxa"/>
              <w:right w:w="20" w:type="dxa"/>
            </w:tcMar>
            <w:vAlign w:val="bottom"/>
          </w:tcPr>
          <w:p w14:paraId="22CFE22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22D" w14:textId="77777777" w:rsidR="002661BA" w:rsidRDefault="00D972BC">
            <w:pPr>
              <w:textAlignment w:val="bottom"/>
            </w:pPr>
            <w:hyperlink r:id="rId229" w:history="1">
              <w:r>
                <w:rPr>
                  <w:rStyle w:val="a5"/>
                  <w:rFonts w:ascii="Arial" w:eastAsia="宋体" w:hAnsi="Arial" w:cs="Arial"/>
                  <w:sz w:val="18"/>
                  <w:szCs w:val="18"/>
                </w:rPr>
                <w:t>Letter Agreement between Scott Schenkel and eBay Inc., dated April 13, 2020.</w:t>
              </w:r>
            </w:hyperlink>
          </w:p>
        </w:tc>
        <w:tc>
          <w:tcPr>
            <w:tcW w:w="0" w:type="auto"/>
            <w:gridSpan w:val="3"/>
            <w:shd w:val="clear" w:color="auto" w:fill="auto"/>
            <w:tcMar>
              <w:top w:w="0" w:type="dxa"/>
              <w:left w:w="20" w:type="dxa"/>
              <w:bottom w:w="0" w:type="dxa"/>
              <w:right w:w="20" w:type="dxa"/>
            </w:tcMar>
            <w:vAlign w:val="bottom"/>
          </w:tcPr>
          <w:p w14:paraId="22CFE22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2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3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31"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E23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33"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E234"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35" w14:textId="77777777" w:rsidR="002661BA" w:rsidRDefault="00D972BC">
            <w:pPr>
              <w:jc w:val="center"/>
              <w:textAlignment w:val="top"/>
            </w:pPr>
            <w:r>
              <w:rPr>
                <w:rFonts w:ascii="Arial" w:eastAsia="宋体" w:hAnsi="Arial" w:cs="Arial"/>
                <w:color w:val="000000"/>
                <w:sz w:val="18"/>
                <w:szCs w:val="18"/>
              </w:rPr>
              <w:t>7/29/2020</w:t>
            </w:r>
          </w:p>
        </w:tc>
      </w:tr>
      <w:tr w:rsidR="002661BA" w14:paraId="22CFE242"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23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3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3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3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3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3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3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3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3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4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41" w14:textId="77777777" w:rsidR="002661BA" w:rsidRDefault="002661BA">
            <w:pPr>
              <w:rPr>
                <w:rFonts w:ascii="宋体"/>
              </w:rPr>
            </w:pPr>
          </w:p>
        </w:tc>
      </w:tr>
      <w:tr w:rsidR="002661BA" w14:paraId="22CFE24E" w14:textId="77777777">
        <w:trPr>
          <w:jc w:val="center"/>
        </w:trPr>
        <w:tc>
          <w:tcPr>
            <w:tcW w:w="0" w:type="auto"/>
            <w:gridSpan w:val="3"/>
            <w:shd w:val="clear" w:color="auto" w:fill="auto"/>
            <w:tcMar>
              <w:top w:w="40" w:type="dxa"/>
              <w:left w:w="20" w:type="dxa"/>
              <w:bottom w:w="40" w:type="dxa"/>
              <w:right w:w="20" w:type="dxa"/>
            </w:tcMar>
          </w:tcPr>
          <w:p w14:paraId="22CFE243" w14:textId="77777777" w:rsidR="002661BA" w:rsidRDefault="00D972BC">
            <w:pPr>
              <w:textAlignment w:val="top"/>
            </w:pPr>
            <w:r>
              <w:rPr>
                <w:rFonts w:ascii="Arial" w:eastAsia="宋体" w:hAnsi="Arial" w:cs="Arial"/>
                <w:color w:val="000000"/>
                <w:sz w:val="18"/>
                <w:szCs w:val="18"/>
              </w:rPr>
              <w:t>10.46+</w:t>
            </w:r>
          </w:p>
        </w:tc>
        <w:tc>
          <w:tcPr>
            <w:tcW w:w="0" w:type="auto"/>
            <w:gridSpan w:val="3"/>
            <w:shd w:val="clear" w:color="auto" w:fill="auto"/>
            <w:tcMar>
              <w:top w:w="0" w:type="dxa"/>
              <w:left w:w="20" w:type="dxa"/>
              <w:bottom w:w="0" w:type="dxa"/>
              <w:right w:w="20" w:type="dxa"/>
            </w:tcMar>
            <w:vAlign w:val="bottom"/>
          </w:tcPr>
          <w:p w14:paraId="22CFE244"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245" w14:textId="77777777" w:rsidR="002661BA" w:rsidRDefault="00D972BC">
            <w:pPr>
              <w:textAlignment w:val="bottom"/>
            </w:pPr>
            <w:hyperlink r:id="rId230" w:history="1">
              <w:r>
                <w:rPr>
                  <w:rStyle w:val="a5"/>
                  <w:rFonts w:ascii="Arial" w:eastAsia="宋体" w:hAnsi="Arial" w:cs="Arial"/>
                  <w:sz w:val="18"/>
                  <w:szCs w:val="18"/>
                </w:rPr>
                <w:t>Amended and Restated eBay Inc. SVP and Above Standard Severance Plan, effective April 11, 2020.</w:t>
              </w:r>
            </w:hyperlink>
          </w:p>
        </w:tc>
        <w:tc>
          <w:tcPr>
            <w:tcW w:w="0" w:type="auto"/>
            <w:gridSpan w:val="3"/>
            <w:shd w:val="clear" w:color="auto" w:fill="auto"/>
            <w:tcMar>
              <w:top w:w="0" w:type="dxa"/>
              <w:left w:w="20" w:type="dxa"/>
              <w:bottom w:w="0" w:type="dxa"/>
              <w:right w:w="20" w:type="dxa"/>
            </w:tcMar>
            <w:vAlign w:val="bottom"/>
          </w:tcPr>
          <w:p w14:paraId="22CFE24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4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4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49"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E24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4B"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E24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4D" w14:textId="77777777" w:rsidR="002661BA" w:rsidRDefault="00D972BC">
            <w:pPr>
              <w:jc w:val="center"/>
              <w:textAlignment w:val="top"/>
            </w:pPr>
            <w:r>
              <w:rPr>
                <w:rFonts w:ascii="Arial" w:eastAsia="宋体" w:hAnsi="Arial" w:cs="Arial"/>
                <w:color w:val="000000"/>
                <w:sz w:val="18"/>
                <w:szCs w:val="18"/>
              </w:rPr>
              <w:t>7/29/2020</w:t>
            </w:r>
          </w:p>
        </w:tc>
      </w:tr>
      <w:tr w:rsidR="002661BA" w14:paraId="22CFE25A"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24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5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5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5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5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5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5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5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5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5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59" w14:textId="77777777" w:rsidR="002661BA" w:rsidRDefault="002661BA">
            <w:pPr>
              <w:rPr>
                <w:rFonts w:ascii="宋体"/>
              </w:rPr>
            </w:pPr>
          </w:p>
        </w:tc>
      </w:tr>
      <w:tr w:rsidR="002661BA" w14:paraId="22CFE266" w14:textId="77777777">
        <w:trPr>
          <w:jc w:val="center"/>
        </w:trPr>
        <w:tc>
          <w:tcPr>
            <w:tcW w:w="0" w:type="auto"/>
            <w:gridSpan w:val="3"/>
            <w:shd w:val="clear" w:color="auto" w:fill="auto"/>
            <w:tcMar>
              <w:top w:w="40" w:type="dxa"/>
              <w:left w:w="20" w:type="dxa"/>
              <w:bottom w:w="40" w:type="dxa"/>
              <w:right w:w="20" w:type="dxa"/>
            </w:tcMar>
          </w:tcPr>
          <w:p w14:paraId="22CFE25B" w14:textId="77777777" w:rsidR="002661BA" w:rsidRDefault="00D972BC">
            <w:pPr>
              <w:textAlignment w:val="top"/>
            </w:pPr>
            <w:r>
              <w:rPr>
                <w:rFonts w:ascii="Arial" w:eastAsia="宋体" w:hAnsi="Arial" w:cs="Arial"/>
                <w:color w:val="000000"/>
                <w:sz w:val="18"/>
                <w:szCs w:val="18"/>
              </w:rPr>
              <w:t>10.47+</w:t>
            </w:r>
          </w:p>
        </w:tc>
        <w:tc>
          <w:tcPr>
            <w:tcW w:w="0" w:type="auto"/>
            <w:gridSpan w:val="3"/>
            <w:shd w:val="clear" w:color="auto" w:fill="auto"/>
            <w:tcMar>
              <w:top w:w="0" w:type="dxa"/>
              <w:left w:w="20" w:type="dxa"/>
              <w:bottom w:w="0" w:type="dxa"/>
              <w:right w:w="20" w:type="dxa"/>
            </w:tcMar>
            <w:vAlign w:val="bottom"/>
          </w:tcPr>
          <w:p w14:paraId="22CFE25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25D" w14:textId="77777777" w:rsidR="002661BA" w:rsidRDefault="00D972BC">
            <w:pPr>
              <w:textAlignment w:val="bottom"/>
            </w:pPr>
            <w:hyperlink r:id="rId231" w:history="1">
              <w:r>
                <w:rPr>
                  <w:rStyle w:val="a5"/>
                  <w:rFonts w:ascii="Arial" w:eastAsia="宋体" w:hAnsi="Arial" w:cs="Arial"/>
                  <w:sz w:val="18"/>
                  <w:szCs w:val="18"/>
                </w:rPr>
                <w:t>Amended and Restated eBay Inc. Change in Control Severance Plan, effective April 11, 2020.</w:t>
              </w:r>
            </w:hyperlink>
          </w:p>
        </w:tc>
        <w:tc>
          <w:tcPr>
            <w:tcW w:w="0" w:type="auto"/>
            <w:gridSpan w:val="3"/>
            <w:shd w:val="clear" w:color="auto" w:fill="auto"/>
            <w:tcMar>
              <w:top w:w="0" w:type="dxa"/>
              <w:left w:w="20" w:type="dxa"/>
              <w:bottom w:w="0" w:type="dxa"/>
              <w:right w:w="20" w:type="dxa"/>
            </w:tcMar>
            <w:vAlign w:val="bottom"/>
          </w:tcPr>
          <w:p w14:paraId="22CFE25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5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6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61"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E26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63"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E264"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65" w14:textId="77777777" w:rsidR="002661BA" w:rsidRDefault="00D972BC">
            <w:pPr>
              <w:jc w:val="center"/>
              <w:textAlignment w:val="top"/>
            </w:pPr>
            <w:r>
              <w:rPr>
                <w:rFonts w:ascii="Arial" w:eastAsia="宋体" w:hAnsi="Arial" w:cs="Arial"/>
                <w:color w:val="000000"/>
                <w:sz w:val="18"/>
                <w:szCs w:val="18"/>
              </w:rPr>
              <w:t>7/29/2020</w:t>
            </w:r>
          </w:p>
        </w:tc>
      </w:tr>
      <w:tr w:rsidR="002661BA" w14:paraId="22CFE272"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26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6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6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6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6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6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6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6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6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7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71" w14:textId="77777777" w:rsidR="002661BA" w:rsidRDefault="002661BA">
            <w:pPr>
              <w:rPr>
                <w:rFonts w:ascii="宋体"/>
              </w:rPr>
            </w:pPr>
          </w:p>
        </w:tc>
      </w:tr>
      <w:tr w:rsidR="002661BA" w14:paraId="22CFE27E" w14:textId="77777777">
        <w:trPr>
          <w:jc w:val="center"/>
        </w:trPr>
        <w:tc>
          <w:tcPr>
            <w:tcW w:w="0" w:type="auto"/>
            <w:gridSpan w:val="3"/>
            <w:shd w:val="clear" w:color="auto" w:fill="auto"/>
            <w:tcMar>
              <w:top w:w="40" w:type="dxa"/>
              <w:left w:w="20" w:type="dxa"/>
              <w:bottom w:w="40" w:type="dxa"/>
              <w:right w:w="20" w:type="dxa"/>
            </w:tcMar>
          </w:tcPr>
          <w:p w14:paraId="22CFE273" w14:textId="77777777" w:rsidR="002661BA" w:rsidRDefault="00D972BC">
            <w:pPr>
              <w:textAlignment w:val="top"/>
            </w:pPr>
            <w:r>
              <w:rPr>
                <w:rFonts w:ascii="Arial" w:eastAsia="宋体" w:hAnsi="Arial" w:cs="Arial"/>
                <w:color w:val="000000"/>
                <w:sz w:val="18"/>
                <w:szCs w:val="18"/>
              </w:rPr>
              <w:t>10.48+</w:t>
            </w:r>
          </w:p>
        </w:tc>
        <w:tc>
          <w:tcPr>
            <w:tcW w:w="0" w:type="auto"/>
            <w:gridSpan w:val="3"/>
            <w:shd w:val="clear" w:color="auto" w:fill="auto"/>
            <w:tcMar>
              <w:top w:w="0" w:type="dxa"/>
              <w:left w:w="20" w:type="dxa"/>
              <w:bottom w:w="0" w:type="dxa"/>
              <w:right w:w="20" w:type="dxa"/>
            </w:tcMar>
            <w:vAlign w:val="bottom"/>
          </w:tcPr>
          <w:p w14:paraId="22CFE274"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275" w14:textId="77777777" w:rsidR="002661BA" w:rsidRDefault="00D972BC">
            <w:pPr>
              <w:textAlignment w:val="bottom"/>
            </w:pPr>
            <w:hyperlink r:id="rId232" w:history="1">
              <w:r>
                <w:rPr>
                  <w:rStyle w:val="a5"/>
                  <w:rFonts w:ascii="Arial" w:eastAsia="宋体" w:hAnsi="Arial" w:cs="Arial"/>
                  <w:sz w:val="18"/>
                  <w:szCs w:val="18"/>
                </w:rPr>
                <w:t>Letter Agreement between Andy Cring and eBay Inc., dated July 1, 2020.</w:t>
              </w:r>
            </w:hyperlink>
          </w:p>
        </w:tc>
        <w:tc>
          <w:tcPr>
            <w:tcW w:w="0" w:type="auto"/>
            <w:gridSpan w:val="3"/>
            <w:shd w:val="clear" w:color="auto" w:fill="auto"/>
            <w:tcMar>
              <w:top w:w="0" w:type="dxa"/>
              <w:left w:w="20" w:type="dxa"/>
              <w:bottom w:w="0" w:type="dxa"/>
              <w:right w:w="20" w:type="dxa"/>
            </w:tcMar>
            <w:vAlign w:val="bottom"/>
          </w:tcPr>
          <w:p w14:paraId="22CFE27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7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7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79"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E27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7B"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E27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7D" w14:textId="77777777" w:rsidR="002661BA" w:rsidRDefault="00D972BC">
            <w:pPr>
              <w:jc w:val="center"/>
              <w:textAlignment w:val="top"/>
            </w:pPr>
            <w:r>
              <w:rPr>
                <w:rFonts w:ascii="Arial" w:eastAsia="宋体" w:hAnsi="Arial" w:cs="Arial"/>
                <w:color w:val="000000"/>
                <w:sz w:val="18"/>
                <w:szCs w:val="18"/>
              </w:rPr>
              <w:t>10/29/2020</w:t>
            </w:r>
          </w:p>
        </w:tc>
      </w:tr>
      <w:tr w:rsidR="002661BA" w14:paraId="22CFE28A"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27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8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8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8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8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8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8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8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8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8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89" w14:textId="77777777" w:rsidR="002661BA" w:rsidRDefault="002661BA">
            <w:pPr>
              <w:rPr>
                <w:rFonts w:ascii="宋体"/>
              </w:rPr>
            </w:pPr>
          </w:p>
        </w:tc>
      </w:tr>
      <w:tr w:rsidR="002661BA" w14:paraId="22CFE296" w14:textId="77777777">
        <w:trPr>
          <w:jc w:val="center"/>
        </w:trPr>
        <w:tc>
          <w:tcPr>
            <w:tcW w:w="0" w:type="auto"/>
            <w:gridSpan w:val="3"/>
            <w:shd w:val="clear" w:color="auto" w:fill="auto"/>
            <w:tcMar>
              <w:top w:w="40" w:type="dxa"/>
              <w:left w:w="20" w:type="dxa"/>
              <w:bottom w:w="40" w:type="dxa"/>
              <w:right w:w="20" w:type="dxa"/>
            </w:tcMar>
          </w:tcPr>
          <w:p w14:paraId="22CFE28B" w14:textId="77777777" w:rsidR="002661BA" w:rsidRDefault="00D972BC">
            <w:pPr>
              <w:textAlignment w:val="top"/>
            </w:pPr>
            <w:r>
              <w:rPr>
                <w:rFonts w:ascii="Arial" w:eastAsia="宋体" w:hAnsi="Arial" w:cs="Arial"/>
                <w:color w:val="000000"/>
                <w:sz w:val="18"/>
                <w:szCs w:val="18"/>
              </w:rPr>
              <w:t>10.49+</w:t>
            </w:r>
          </w:p>
        </w:tc>
        <w:tc>
          <w:tcPr>
            <w:tcW w:w="0" w:type="auto"/>
            <w:gridSpan w:val="3"/>
            <w:shd w:val="clear" w:color="auto" w:fill="auto"/>
            <w:tcMar>
              <w:top w:w="0" w:type="dxa"/>
              <w:left w:w="20" w:type="dxa"/>
              <w:bottom w:w="0" w:type="dxa"/>
              <w:right w:w="20" w:type="dxa"/>
            </w:tcMar>
            <w:vAlign w:val="bottom"/>
          </w:tcPr>
          <w:p w14:paraId="22CFE28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28D" w14:textId="77777777" w:rsidR="002661BA" w:rsidRDefault="00D972BC">
            <w:pPr>
              <w:textAlignment w:val="bottom"/>
            </w:pPr>
            <w:hyperlink r:id="rId233" w:history="1">
              <w:r>
                <w:rPr>
                  <w:rStyle w:val="a5"/>
                  <w:rFonts w:ascii="Arial" w:eastAsia="宋体" w:hAnsi="Arial" w:cs="Arial"/>
                  <w:sz w:val="18"/>
                  <w:szCs w:val="18"/>
                </w:rPr>
                <w:t>Offer Letter dated May 7, 2021 between Registrant and Stephen Priest</w:t>
              </w:r>
            </w:hyperlink>
          </w:p>
        </w:tc>
        <w:tc>
          <w:tcPr>
            <w:tcW w:w="0" w:type="auto"/>
            <w:gridSpan w:val="3"/>
            <w:shd w:val="clear" w:color="auto" w:fill="auto"/>
            <w:tcMar>
              <w:top w:w="0" w:type="dxa"/>
              <w:left w:w="20" w:type="dxa"/>
              <w:bottom w:w="0" w:type="dxa"/>
              <w:right w:w="20" w:type="dxa"/>
            </w:tcMar>
            <w:vAlign w:val="bottom"/>
          </w:tcPr>
          <w:p w14:paraId="22CFE28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8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9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91" w14:textId="77777777" w:rsidR="002661BA" w:rsidRDefault="00D972BC">
            <w:pPr>
              <w:jc w:val="center"/>
              <w:textAlignment w:val="top"/>
            </w:pPr>
            <w:r>
              <w:rPr>
                <w:rFonts w:ascii="Arial" w:eastAsia="宋体" w:hAnsi="Arial" w:cs="Arial"/>
                <w:color w:val="000000"/>
                <w:sz w:val="18"/>
                <w:szCs w:val="18"/>
              </w:rPr>
              <w:t>10-Q</w:t>
            </w:r>
          </w:p>
        </w:tc>
        <w:tc>
          <w:tcPr>
            <w:tcW w:w="0" w:type="auto"/>
            <w:gridSpan w:val="3"/>
            <w:shd w:val="clear" w:color="auto" w:fill="auto"/>
            <w:tcMar>
              <w:top w:w="0" w:type="dxa"/>
              <w:left w:w="20" w:type="dxa"/>
              <w:bottom w:w="0" w:type="dxa"/>
              <w:right w:w="20" w:type="dxa"/>
            </w:tcMar>
            <w:vAlign w:val="bottom"/>
          </w:tcPr>
          <w:p w14:paraId="22CFE29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93" w14:textId="77777777" w:rsidR="002661BA" w:rsidRDefault="00D972BC">
            <w:pPr>
              <w:jc w:val="center"/>
              <w:textAlignment w:val="top"/>
            </w:pPr>
            <w:r>
              <w:rPr>
                <w:rFonts w:ascii="Arial" w:eastAsia="宋体" w:hAnsi="Arial" w:cs="Arial"/>
                <w:color w:val="000000"/>
                <w:sz w:val="18"/>
                <w:szCs w:val="18"/>
              </w:rPr>
              <w:t>001-37713</w:t>
            </w:r>
          </w:p>
        </w:tc>
        <w:tc>
          <w:tcPr>
            <w:tcW w:w="0" w:type="auto"/>
            <w:gridSpan w:val="3"/>
            <w:shd w:val="clear" w:color="auto" w:fill="auto"/>
            <w:tcMar>
              <w:top w:w="0" w:type="dxa"/>
              <w:left w:w="20" w:type="dxa"/>
              <w:bottom w:w="0" w:type="dxa"/>
              <w:right w:w="20" w:type="dxa"/>
            </w:tcMar>
            <w:vAlign w:val="bottom"/>
          </w:tcPr>
          <w:p w14:paraId="22CFE294"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95" w14:textId="77777777" w:rsidR="002661BA" w:rsidRDefault="00D972BC">
            <w:pPr>
              <w:jc w:val="center"/>
              <w:textAlignment w:val="top"/>
            </w:pPr>
            <w:r>
              <w:rPr>
                <w:rFonts w:ascii="Arial" w:eastAsia="宋体" w:hAnsi="Arial" w:cs="Arial"/>
                <w:color w:val="000000"/>
                <w:sz w:val="18"/>
                <w:szCs w:val="18"/>
              </w:rPr>
              <w:t>8/12/2021</w:t>
            </w:r>
          </w:p>
        </w:tc>
      </w:tr>
      <w:tr w:rsidR="002661BA" w14:paraId="22CFE2A2"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29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9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9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9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9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9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9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9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9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A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2A1" w14:textId="77777777" w:rsidR="002661BA" w:rsidRDefault="002661BA">
            <w:pPr>
              <w:rPr>
                <w:rFonts w:ascii="宋体"/>
              </w:rPr>
            </w:pPr>
          </w:p>
        </w:tc>
      </w:tr>
      <w:tr w:rsidR="002661BA" w14:paraId="22CFE2AE" w14:textId="77777777">
        <w:trPr>
          <w:jc w:val="center"/>
        </w:trPr>
        <w:tc>
          <w:tcPr>
            <w:tcW w:w="0" w:type="auto"/>
            <w:gridSpan w:val="3"/>
            <w:shd w:val="clear" w:color="auto" w:fill="auto"/>
            <w:tcMar>
              <w:top w:w="40" w:type="dxa"/>
              <w:left w:w="20" w:type="dxa"/>
              <w:bottom w:w="40" w:type="dxa"/>
              <w:right w:w="20" w:type="dxa"/>
            </w:tcMar>
          </w:tcPr>
          <w:p w14:paraId="22CFE2A3" w14:textId="77777777" w:rsidR="002661BA" w:rsidRDefault="00D972BC">
            <w:pPr>
              <w:textAlignment w:val="top"/>
            </w:pPr>
            <w:r>
              <w:rPr>
                <w:rFonts w:ascii="Arial" w:eastAsia="宋体" w:hAnsi="Arial" w:cs="Arial"/>
                <w:color w:val="000000"/>
                <w:sz w:val="18"/>
                <w:szCs w:val="18"/>
              </w:rPr>
              <w:t>21.01</w:t>
            </w:r>
          </w:p>
        </w:tc>
        <w:tc>
          <w:tcPr>
            <w:tcW w:w="0" w:type="auto"/>
            <w:gridSpan w:val="3"/>
            <w:shd w:val="clear" w:color="auto" w:fill="auto"/>
            <w:tcMar>
              <w:top w:w="40" w:type="dxa"/>
              <w:left w:w="20" w:type="dxa"/>
              <w:bottom w:w="40" w:type="dxa"/>
              <w:right w:w="20" w:type="dxa"/>
            </w:tcMar>
            <w:vAlign w:val="bottom"/>
          </w:tcPr>
          <w:p w14:paraId="22CFE2A4"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22CFE2A5" w14:textId="77777777" w:rsidR="002661BA" w:rsidRDefault="00D972BC">
            <w:pPr>
              <w:textAlignment w:val="bottom"/>
            </w:pPr>
            <w:hyperlink r:id="rId234" w:history="1">
              <w:r>
                <w:rPr>
                  <w:rStyle w:val="a5"/>
                  <w:rFonts w:ascii="Arial" w:eastAsia="宋体" w:hAnsi="Arial" w:cs="Arial"/>
                  <w:sz w:val="18"/>
                  <w:szCs w:val="18"/>
                </w:rPr>
                <w:t>List of Subsidiaries.</w:t>
              </w:r>
            </w:hyperlink>
          </w:p>
        </w:tc>
        <w:tc>
          <w:tcPr>
            <w:tcW w:w="0" w:type="auto"/>
            <w:gridSpan w:val="3"/>
            <w:shd w:val="clear" w:color="auto" w:fill="auto"/>
            <w:tcMar>
              <w:top w:w="40" w:type="dxa"/>
              <w:left w:w="20" w:type="dxa"/>
              <w:bottom w:w="40" w:type="dxa"/>
              <w:right w:w="20" w:type="dxa"/>
            </w:tcMar>
            <w:vAlign w:val="bottom"/>
          </w:tcPr>
          <w:p w14:paraId="22CFE2A6" w14:textId="77777777" w:rsidR="002661BA" w:rsidRDefault="00D972BC">
            <w:pPr>
              <w:jc w:val="cente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22CFE2A7" w14:textId="77777777" w:rsidR="002661BA" w:rsidRDefault="00D972BC">
            <w:pPr>
              <w:jc w:val="center"/>
              <w:textAlignment w:val="bottom"/>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22CFE2A8"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2A9"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AA"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2A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AC"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2AD" w14:textId="77777777" w:rsidR="002661BA" w:rsidRDefault="002661BA">
            <w:pPr>
              <w:rPr>
                <w:rFonts w:ascii="宋体"/>
              </w:rPr>
            </w:pPr>
          </w:p>
        </w:tc>
      </w:tr>
      <w:tr w:rsidR="002661BA" w14:paraId="22CFE2B5"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2AF"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B0"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B1"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B2"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B3"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B4" w14:textId="77777777" w:rsidR="002661BA" w:rsidRDefault="002661BA">
            <w:pPr>
              <w:rPr>
                <w:rFonts w:ascii="宋体"/>
              </w:rPr>
            </w:pPr>
          </w:p>
        </w:tc>
      </w:tr>
      <w:tr w:rsidR="002661BA" w14:paraId="22CFE2C1" w14:textId="77777777">
        <w:trPr>
          <w:jc w:val="center"/>
        </w:trPr>
        <w:tc>
          <w:tcPr>
            <w:tcW w:w="0" w:type="auto"/>
            <w:gridSpan w:val="3"/>
            <w:shd w:val="clear" w:color="auto" w:fill="auto"/>
            <w:tcMar>
              <w:top w:w="40" w:type="dxa"/>
              <w:left w:w="20" w:type="dxa"/>
              <w:bottom w:w="40" w:type="dxa"/>
              <w:right w:w="20" w:type="dxa"/>
            </w:tcMar>
          </w:tcPr>
          <w:p w14:paraId="22CFE2B6" w14:textId="77777777" w:rsidR="002661BA" w:rsidRDefault="00D972BC">
            <w:pPr>
              <w:textAlignment w:val="top"/>
            </w:pPr>
            <w:r>
              <w:rPr>
                <w:rFonts w:ascii="Arial" w:eastAsia="宋体" w:hAnsi="Arial" w:cs="Arial"/>
                <w:color w:val="000000"/>
                <w:sz w:val="18"/>
                <w:szCs w:val="18"/>
              </w:rPr>
              <w:t>23.01</w:t>
            </w:r>
          </w:p>
        </w:tc>
        <w:tc>
          <w:tcPr>
            <w:tcW w:w="0" w:type="auto"/>
            <w:gridSpan w:val="3"/>
            <w:shd w:val="clear" w:color="auto" w:fill="auto"/>
            <w:tcMar>
              <w:top w:w="40" w:type="dxa"/>
              <w:left w:w="20" w:type="dxa"/>
              <w:bottom w:w="40" w:type="dxa"/>
              <w:right w:w="20" w:type="dxa"/>
            </w:tcMar>
            <w:vAlign w:val="bottom"/>
          </w:tcPr>
          <w:p w14:paraId="22CFE2B7"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22CFE2B8" w14:textId="77777777" w:rsidR="002661BA" w:rsidRDefault="00D972BC">
            <w:pPr>
              <w:textAlignment w:val="bottom"/>
            </w:pPr>
            <w:hyperlink r:id="rId235" w:history="1">
              <w:r>
                <w:rPr>
                  <w:rStyle w:val="a5"/>
                  <w:rFonts w:ascii="Arial" w:eastAsia="宋体" w:hAnsi="Arial" w:cs="Arial"/>
                  <w:sz w:val="18"/>
                  <w:szCs w:val="18"/>
                </w:rPr>
                <w:t>PricewaterhouseCoopers LLP consent.</w:t>
              </w:r>
            </w:hyperlink>
          </w:p>
        </w:tc>
        <w:tc>
          <w:tcPr>
            <w:tcW w:w="0" w:type="auto"/>
            <w:gridSpan w:val="3"/>
            <w:shd w:val="clear" w:color="auto" w:fill="auto"/>
            <w:tcMar>
              <w:top w:w="40" w:type="dxa"/>
              <w:left w:w="20" w:type="dxa"/>
              <w:bottom w:w="40" w:type="dxa"/>
              <w:right w:w="20" w:type="dxa"/>
            </w:tcMar>
            <w:vAlign w:val="bottom"/>
          </w:tcPr>
          <w:p w14:paraId="22CFE2B9" w14:textId="77777777" w:rsidR="002661BA" w:rsidRDefault="00D972BC">
            <w:pPr>
              <w:jc w:val="cente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22CFE2BA" w14:textId="77777777" w:rsidR="002661BA" w:rsidRDefault="00D972BC">
            <w:pPr>
              <w:jc w:val="center"/>
              <w:textAlignment w:val="bottom"/>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22CFE2BB"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2B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BD"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2B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BF"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2C0" w14:textId="77777777" w:rsidR="002661BA" w:rsidRDefault="002661BA">
            <w:pPr>
              <w:rPr>
                <w:rFonts w:ascii="宋体"/>
              </w:rPr>
            </w:pPr>
          </w:p>
        </w:tc>
      </w:tr>
      <w:tr w:rsidR="002661BA" w14:paraId="22CFE2C8"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2C2"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C3"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C4"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C5"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C6"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C7" w14:textId="77777777" w:rsidR="002661BA" w:rsidRDefault="002661BA">
            <w:pPr>
              <w:rPr>
                <w:rFonts w:ascii="宋体"/>
              </w:rPr>
            </w:pPr>
          </w:p>
        </w:tc>
      </w:tr>
      <w:tr w:rsidR="002661BA" w14:paraId="22CFE2D4" w14:textId="77777777">
        <w:trPr>
          <w:jc w:val="center"/>
        </w:trPr>
        <w:tc>
          <w:tcPr>
            <w:tcW w:w="0" w:type="auto"/>
            <w:gridSpan w:val="3"/>
            <w:shd w:val="clear" w:color="auto" w:fill="auto"/>
            <w:tcMar>
              <w:top w:w="40" w:type="dxa"/>
              <w:left w:w="20" w:type="dxa"/>
              <w:bottom w:w="40" w:type="dxa"/>
              <w:right w:w="20" w:type="dxa"/>
            </w:tcMar>
          </w:tcPr>
          <w:p w14:paraId="22CFE2C9" w14:textId="77777777" w:rsidR="002661BA" w:rsidRDefault="00D972BC">
            <w:pPr>
              <w:textAlignment w:val="top"/>
            </w:pPr>
            <w:r>
              <w:rPr>
                <w:rFonts w:ascii="Arial" w:eastAsia="宋体" w:hAnsi="Arial" w:cs="Arial"/>
                <w:color w:val="000000"/>
                <w:sz w:val="18"/>
                <w:szCs w:val="18"/>
              </w:rPr>
              <w:t>24.01</w:t>
            </w:r>
          </w:p>
        </w:tc>
        <w:tc>
          <w:tcPr>
            <w:tcW w:w="0" w:type="auto"/>
            <w:gridSpan w:val="3"/>
            <w:shd w:val="clear" w:color="auto" w:fill="auto"/>
            <w:tcMar>
              <w:top w:w="40" w:type="dxa"/>
              <w:left w:w="20" w:type="dxa"/>
              <w:bottom w:w="40" w:type="dxa"/>
              <w:right w:w="20" w:type="dxa"/>
            </w:tcMar>
            <w:vAlign w:val="bottom"/>
          </w:tcPr>
          <w:p w14:paraId="22CFE2CA"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22CFE2CB" w14:textId="77777777" w:rsidR="002661BA" w:rsidRDefault="00D972BC">
            <w:pPr>
              <w:textAlignment w:val="bottom"/>
            </w:pPr>
            <w:r>
              <w:rPr>
                <w:rFonts w:ascii="Arial" w:eastAsia="宋体" w:hAnsi="Arial" w:cs="Arial"/>
                <w:color w:val="000000"/>
                <w:sz w:val="18"/>
                <w:szCs w:val="18"/>
              </w:rPr>
              <w:t>Power of Attorney (see signature page).</w:t>
            </w:r>
          </w:p>
        </w:tc>
        <w:tc>
          <w:tcPr>
            <w:tcW w:w="0" w:type="auto"/>
            <w:gridSpan w:val="3"/>
            <w:shd w:val="clear" w:color="auto" w:fill="auto"/>
            <w:tcMar>
              <w:top w:w="40" w:type="dxa"/>
              <w:left w:w="20" w:type="dxa"/>
              <w:bottom w:w="40" w:type="dxa"/>
              <w:right w:w="20" w:type="dxa"/>
            </w:tcMar>
            <w:vAlign w:val="bottom"/>
          </w:tcPr>
          <w:p w14:paraId="22CFE2CC" w14:textId="77777777" w:rsidR="002661BA" w:rsidRDefault="00D972BC">
            <w:pPr>
              <w:jc w:val="cente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22CFE2CD" w14:textId="77777777" w:rsidR="002661BA" w:rsidRDefault="00D972BC">
            <w:pPr>
              <w:jc w:val="center"/>
              <w:textAlignment w:val="bottom"/>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22CFE2CE"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2C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D0"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2D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D2"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2D3" w14:textId="77777777" w:rsidR="002661BA" w:rsidRDefault="002661BA">
            <w:pPr>
              <w:rPr>
                <w:rFonts w:ascii="宋体"/>
              </w:rPr>
            </w:pPr>
          </w:p>
        </w:tc>
      </w:tr>
      <w:tr w:rsidR="002661BA" w14:paraId="22CFE2DB"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2D5"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D6"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D7"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D8"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D9"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DA" w14:textId="77777777" w:rsidR="002661BA" w:rsidRDefault="002661BA">
            <w:pPr>
              <w:rPr>
                <w:rFonts w:ascii="宋体"/>
              </w:rPr>
            </w:pPr>
          </w:p>
        </w:tc>
      </w:tr>
      <w:tr w:rsidR="002661BA" w14:paraId="22CFE2E7" w14:textId="77777777">
        <w:trPr>
          <w:jc w:val="center"/>
        </w:trPr>
        <w:tc>
          <w:tcPr>
            <w:tcW w:w="0" w:type="auto"/>
            <w:gridSpan w:val="3"/>
            <w:shd w:val="clear" w:color="auto" w:fill="auto"/>
            <w:tcMar>
              <w:top w:w="40" w:type="dxa"/>
              <w:left w:w="20" w:type="dxa"/>
              <w:bottom w:w="40" w:type="dxa"/>
              <w:right w:w="20" w:type="dxa"/>
            </w:tcMar>
          </w:tcPr>
          <w:p w14:paraId="22CFE2DC" w14:textId="77777777" w:rsidR="002661BA" w:rsidRDefault="00D972BC">
            <w:pPr>
              <w:textAlignment w:val="top"/>
            </w:pPr>
            <w:r>
              <w:rPr>
                <w:rFonts w:ascii="Arial" w:eastAsia="宋体" w:hAnsi="Arial" w:cs="Arial"/>
                <w:color w:val="000000"/>
                <w:sz w:val="18"/>
                <w:szCs w:val="18"/>
              </w:rPr>
              <w:t>31.01</w:t>
            </w:r>
          </w:p>
        </w:tc>
        <w:tc>
          <w:tcPr>
            <w:tcW w:w="0" w:type="auto"/>
            <w:gridSpan w:val="3"/>
            <w:shd w:val="clear" w:color="auto" w:fill="auto"/>
            <w:tcMar>
              <w:top w:w="40" w:type="dxa"/>
              <w:left w:w="20" w:type="dxa"/>
              <w:bottom w:w="40" w:type="dxa"/>
              <w:right w:w="20" w:type="dxa"/>
            </w:tcMar>
            <w:vAlign w:val="bottom"/>
          </w:tcPr>
          <w:p w14:paraId="22CFE2DD"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22CFE2DE" w14:textId="77777777" w:rsidR="002661BA" w:rsidRDefault="00D972BC">
            <w:pPr>
              <w:textAlignment w:val="bottom"/>
            </w:pPr>
            <w:hyperlink r:id="rId236" w:history="1">
              <w:r>
                <w:rPr>
                  <w:rStyle w:val="a5"/>
                  <w:rFonts w:ascii="Arial" w:eastAsia="宋体" w:hAnsi="Arial" w:cs="Arial"/>
                  <w:sz w:val="18"/>
                  <w:szCs w:val="18"/>
                </w:rPr>
                <w:t>Certification of Registrant’s Chief Executive Officer, as required by Section 302 of the Sarbanes-Oxley Act of 2002.</w:t>
              </w:r>
            </w:hyperlink>
          </w:p>
        </w:tc>
        <w:tc>
          <w:tcPr>
            <w:tcW w:w="0" w:type="auto"/>
            <w:gridSpan w:val="3"/>
            <w:shd w:val="clear" w:color="auto" w:fill="auto"/>
            <w:tcMar>
              <w:top w:w="40" w:type="dxa"/>
              <w:left w:w="20" w:type="dxa"/>
              <w:bottom w:w="40" w:type="dxa"/>
              <w:right w:w="20" w:type="dxa"/>
            </w:tcMar>
          </w:tcPr>
          <w:p w14:paraId="22CFE2DF"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E2E0" w14:textId="77777777" w:rsidR="002661BA" w:rsidRDefault="00D972BC">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22CFE2E1"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2E2"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E3"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2E4"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E5"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2E6" w14:textId="77777777" w:rsidR="002661BA" w:rsidRDefault="002661BA">
            <w:pPr>
              <w:rPr>
                <w:rFonts w:ascii="宋体"/>
              </w:rPr>
            </w:pPr>
          </w:p>
        </w:tc>
      </w:tr>
      <w:tr w:rsidR="002661BA" w14:paraId="22CFE2EE"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2E8"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E9"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EA"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EB"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EC"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ED" w14:textId="77777777" w:rsidR="002661BA" w:rsidRDefault="002661BA">
            <w:pPr>
              <w:rPr>
                <w:rFonts w:ascii="宋体"/>
              </w:rPr>
            </w:pPr>
          </w:p>
        </w:tc>
      </w:tr>
      <w:tr w:rsidR="002661BA" w14:paraId="22CFE2FA" w14:textId="77777777">
        <w:trPr>
          <w:jc w:val="center"/>
        </w:trPr>
        <w:tc>
          <w:tcPr>
            <w:tcW w:w="0" w:type="auto"/>
            <w:gridSpan w:val="3"/>
            <w:shd w:val="clear" w:color="auto" w:fill="auto"/>
            <w:tcMar>
              <w:top w:w="40" w:type="dxa"/>
              <w:left w:w="20" w:type="dxa"/>
              <w:bottom w:w="40" w:type="dxa"/>
              <w:right w:w="20" w:type="dxa"/>
            </w:tcMar>
          </w:tcPr>
          <w:p w14:paraId="22CFE2EF" w14:textId="77777777" w:rsidR="002661BA" w:rsidRDefault="00D972BC">
            <w:pPr>
              <w:textAlignment w:val="top"/>
            </w:pPr>
            <w:r>
              <w:rPr>
                <w:rFonts w:ascii="Arial" w:eastAsia="宋体" w:hAnsi="Arial" w:cs="Arial"/>
                <w:color w:val="000000"/>
                <w:sz w:val="18"/>
                <w:szCs w:val="18"/>
              </w:rPr>
              <w:t>31.02</w:t>
            </w:r>
          </w:p>
        </w:tc>
        <w:tc>
          <w:tcPr>
            <w:tcW w:w="0" w:type="auto"/>
            <w:gridSpan w:val="3"/>
            <w:shd w:val="clear" w:color="auto" w:fill="auto"/>
            <w:tcMar>
              <w:top w:w="40" w:type="dxa"/>
              <w:left w:w="20" w:type="dxa"/>
              <w:bottom w:w="40" w:type="dxa"/>
              <w:right w:w="20" w:type="dxa"/>
            </w:tcMar>
            <w:vAlign w:val="bottom"/>
          </w:tcPr>
          <w:p w14:paraId="22CFE2F0"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22CFE2F1" w14:textId="77777777" w:rsidR="002661BA" w:rsidRDefault="00D972BC">
            <w:pPr>
              <w:textAlignment w:val="bottom"/>
            </w:pPr>
            <w:hyperlink r:id="rId237" w:history="1">
              <w:r>
                <w:rPr>
                  <w:rStyle w:val="a5"/>
                  <w:rFonts w:ascii="Arial" w:eastAsia="宋体" w:hAnsi="Arial" w:cs="Arial"/>
                  <w:sz w:val="18"/>
                  <w:szCs w:val="18"/>
                </w:rPr>
                <w:t>Certification of Registrant’s Chief Financial Officer, as required by Section 302 of the Sarbanes-Oxley Act of 2002.</w:t>
              </w:r>
            </w:hyperlink>
          </w:p>
        </w:tc>
        <w:tc>
          <w:tcPr>
            <w:tcW w:w="0" w:type="auto"/>
            <w:gridSpan w:val="3"/>
            <w:shd w:val="clear" w:color="auto" w:fill="auto"/>
            <w:tcMar>
              <w:top w:w="40" w:type="dxa"/>
              <w:left w:w="20" w:type="dxa"/>
              <w:bottom w:w="40" w:type="dxa"/>
              <w:right w:w="20" w:type="dxa"/>
            </w:tcMar>
          </w:tcPr>
          <w:p w14:paraId="22CFE2F2"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E2F3" w14:textId="77777777" w:rsidR="002661BA" w:rsidRDefault="00D972BC">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22CFE2F4"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2F5"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F6"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2F7"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2F8"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2F9" w14:textId="77777777" w:rsidR="002661BA" w:rsidRDefault="002661BA">
            <w:pPr>
              <w:rPr>
                <w:rFonts w:ascii="宋体"/>
              </w:rPr>
            </w:pPr>
          </w:p>
        </w:tc>
      </w:tr>
      <w:tr w:rsidR="002661BA" w14:paraId="22CFE301"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2FB"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FC"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FD"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FE"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2FF"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300" w14:textId="77777777" w:rsidR="002661BA" w:rsidRDefault="002661BA">
            <w:pPr>
              <w:rPr>
                <w:rFonts w:ascii="宋体"/>
              </w:rPr>
            </w:pPr>
          </w:p>
        </w:tc>
      </w:tr>
      <w:tr w:rsidR="002661BA" w14:paraId="22CFE30D" w14:textId="77777777">
        <w:trPr>
          <w:jc w:val="center"/>
        </w:trPr>
        <w:tc>
          <w:tcPr>
            <w:tcW w:w="0" w:type="auto"/>
            <w:gridSpan w:val="3"/>
            <w:shd w:val="clear" w:color="auto" w:fill="auto"/>
            <w:tcMar>
              <w:top w:w="40" w:type="dxa"/>
              <w:left w:w="20" w:type="dxa"/>
              <w:bottom w:w="40" w:type="dxa"/>
              <w:right w:w="20" w:type="dxa"/>
            </w:tcMar>
          </w:tcPr>
          <w:p w14:paraId="22CFE302" w14:textId="77777777" w:rsidR="002661BA" w:rsidRDefault="00D972BC">
            <w:pPr>
              <w:textAlignment w:val="top"/>
            </w:pPr>
            <w:r>
              <w:rPr>
                <w:rFonts w:ascii="Arial" w:eastAsia="宋体" w:hAnsi="Arial" w:cs="Arial"/>
                <w:color w:val="000000"/>
                <w:sz w:val="18"/>
                <w:szCs w:val="18"/>
              </w:rPr>
              <w:t>32.01</w:t>
            </w:r>
          </w:p>
        </w:tc>
        <w:tc>
          <w:tcPr>
            <w:tcW w:w="0" w:type="auto"/>
            <w:gridSpan w:val="3"/>
            <w:shd w:val="clear" w:color="auto" w:fill="auto"/>
            <w:tcMar>
              <w:top w:w="40" w:type="dxa"/>
              <w:left w:w="20" w:type="dxa"/>
              <w:bottom w:w="40" w:type="dxa"/>
              <w:right w:w="20" w:type="dxa"/>
            </w:tcMar>
            <w:vAlign w:val="bottom"/>
          </w:tcPr>
          <w:p w14:paraId="22CFE303"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22CFE304" w14:textId="77777777" w:rsidR="002661BA" w:rsidRDefault="00D972BC">
            <w:pPr>
              <w:textAlignment w:val="bottom"/>
            </w:pPr>
            <w:hyperlink r:id="rId238" w:history="1">
              <w:r>
                <w:rPr>
                  <w:rStyle w:val="a5"/>
                  <w:rFonts w:ascii="Arial" w:eastAsia="宋体" w:hAnsi="Arial" w:cs="Arial"/>
                  <w:sz w:val="18"/>
                  <w:szCs w:val="18"/>
                </w:rPr>
                <w:t>Certification of Registrant’s Chief Executive Officer, as required by Section 906 of the Sarbanes-Oxley Act of 2002.</w:t>
              </w:r>
            </w:hyperlink>
          </w:p>
        </w:tc>
        <w:tc>
          <w:tcPr>
            <w:tcW w:w="0" w:type="auto"/>
            <w:gridSpan w:val="3"/>
            <w:shd w:val="clear" w:color="auto" w:fill="auto"/>
            <w:tcMar>
              <w:top w:w="40" w:type="dxa"/>
              <w:left w:w="20" w:type="dxa"/>
              <w:bottom w:w="40" w:type="dxa"/>
              <w:right w:w="20" w:type="dxa"/>
            </w:tcMar>
          </w:tcPr>
          <w:p w14:paraId="22CFE305"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E306" w14:textId="77777777" w:rsidR="002661BA" w:rsidRDefault="00D972BC">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22CFE307"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30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309"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30A"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30B"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30C" w14:textId="77777777" w:rsidR="002661BA" w:rsidRDefault="002661BA">
            <w:pPr>
              <w:rPr>
                <w:rFonts w:ascii="宋体"/>
              </w:rPr>
            </w:pPr>
          </w:p>
        </w:tc>
      </w:tr>
      <w:tr w:rsidR="002661BA" w14:paraId="22CFE314"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30E"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30F"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310"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311"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312"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313" w14:textId="77777777" w:rsidR="002661BA" w:rsidRDefault="002661BA">
            <w:pPr>
              <w:rPr>
                <w:rFonts w:ascii="宋体"/>
              </w:rPr>
            </w:pPr>
          </w:p>
        </w:tc>
      </w:tr>
      <w:tr w:rsidR="002661BA" w14:paraId="22CFE320" w14:textId="77777777">
        <w:trPr>
          <w:jc w:val="center"/>
        </w:trPr>
        <w:tc>
          <w:tcPr>
            <w:tcW w:w="0" w:type="auto"/>
            <w:gridSpan w:val="3"/>
            <w:shd w:val="clear" w:color="auto" w:fill="auto"/>
            <w:tcMar>
              <w:top w:w="40" w:type="dxa"/>
              <w:left w:w="20" w:type="dxa"/>
              <w:bottom w:w="40" w:type="dxa"/>
              <w:right w:w="20" w:type="dxa"/>
            </w:tcMar>
          </w:tcPr>
          <w:p w14:paraId="22CFE315" w14:textId="77777777" w:rsidR="002661BA" w:rsidRDefault="00D972BC">
            <w:pPr>
              <w:textAlignment w:val="top"/>
            </w:pPr>
            <w:r>
              <w:rPr>
                <w:rFonts w:ascii="Arial" w:eastAsia="宋体" w:hAnsi="Arial" w:cs="Arial"/>
                <w:color w:val="000000"/>
                <w:sz w:val="18"/>
                <w:szCs w:val="18"/>
              </w:rPr>
              <w:t>32.02</w:t>
            </w:r>
          </w:p>
        </w:tc>
        <w:tc>
          <w:tcPr>
            <w:tcW w:w="0" w:type="auto"/>
            <w:gridSpan w:val="3"/>
            <w:shd w:val="clear" w:color="auto" w:fill="auto"/>
            <w:tcMar>
              <w:top w:w="40" w:type="dxa"/>
              <w:left w:w="20" w:type="dxa"/>
              <w:bottom w:w="40" w:type="dxa"/>
              <w:right w:w="20" w:type="dxa"/>
            </w:tcMar>
            <w:vAlign w:val="bottom"/>
          </w:tcPr>
          <w:p w14:paraId="22CFE316"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22CFE317" w14:textId="77777777" w:rsidR="002661BA" w:rsidRDefault="00D972BC">
            <w:pPr>
              <w:textAlignment w:val="bottom"/>
            </w:pPr>
            <w:hyperlink r:id="rId239" w:history="1">
              <w:r>
                <w:rPr>
                  <w:rStyle w:val="a5"/>
                  <w:rFonts w:ascii="Arial" w:eastAsia="宋体" w:hAnsi="Arial" w:cs="Arial"/>
                  <w:sz w:val="18"/>
                  <w:szCs w:val="18"/>
                </w:rPr>
                <w:t>Certification of Registrant’s Chief Financial Officer, as required by Section 906 of the Sarbanes-Oxley Act of 2002.</w:t>
              </w:r>
            </w:hyperlink>
          </w:p>
        </w:tc>
        <w:tc>
          <w:tcPr>
            <w:tcW w:w="0" w:type="auto"/>
            <w:gridSpan w:val="3"/>
            <w:shd w:val="clear" w:color="auto" w:fill="auto"/>
            <w:tcMar>
              <w:top w:w="40" w:type="dxa"/>
              <w:left w:w="20" w:type="dxa"/>
              <w:bottom w:w="40" w:type="dxa"/>
              <w:right w:w="20" w:type="dxa"/>
            </w:tcMar>
          </w:tcPr>
          <w:p w14:paraId="22CFE318"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E319" w14:textId="77777777" w:rsidR="002661BA" w:rsidRDefault="00D972BC">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22CFE31A"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31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31C"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31D"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31E"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31F" w14:textId="77777777" w:rsidR="002661BA" w:rsidRDefault="002661BA">
            <w:pPr>
              <w:rPr>
                <w:rFonts w:ascii="宋体"/>
              </w:rPr>
            </w:pPr>
          </w:p>
        </w:tc>
      </w:tr>
      <w:tr w:rsidR="002661BA" w14:paraId="22CFE328"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32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2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23"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324"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325"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326"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327" w14:textId="77777777" w:rsidR="002661BA" w:rsidRDefault="002661BA">
            <w:pPr>
              <w:rPr>
                <w:rFonts w:ascii="宋体"/>
              </w:rPr>
            </w:pPr>
          </w:p>
        </w:tc>
      </w:tr>
      <w:tr w:rsidR="002661BA" w14:paraId="22CFE334" w14:textId="77777777">
        <w:trPr>
          <w:jc w:val="center"/>
        </w:trPr>
        <w:tc>
          <w:tcPr>
            <w:tcW w:w="0" w:type="auto"/>
            <w:gridSpan w:val="3"/>
            <w:shd w:val="clear" w:color="auto" w:fill="auto"/>
            <w:tcMar>
              <w:top w:w="40" w:type="dxa"/>
              <w:left w:w="20" w:type="dxa"/>
              <w:bottom w:w="40" w:type="dxa"/>
              <w:right w:w="20" w:type="dxa"/>
            </w:tcMar>
          </w:tcPr>
          <w:p w14:paraId="22CFE329" w14:textId="77777777" w:rsidR="002661BA" w:rsidRDefault="00D972BC">
            <w:pPr>
              <w:textAlignment w:val="top"/>
            </w:pPr>
            <w:r>
              <w:rPr>
                <w:rFonts w:ascii="Arial" w:eastAsia="宋体" w:hAnsi="Arial" w:cs="Arial"/>
                <w:color w:val="000000"/>
                <w:sz w:val="18"/>
                <w:szCs w:val="18"/>
              </w:rPr>
              <w:t>101</w:t>
            </w:r>
          </w:p>
        </w:tc>
        <w:tc>
          <w:tcPr>
            <w:tcW w:w="0" w:type="auto"/>
            <w:gridSpan w:val="3"/>
            <w:shd w:val="clear" w:color="auto" w:fill="auto"/>
            <w:tcMar>
              <w:top w:w="40" w:type="dxa"/>
              <w:left w:w="20" w:type="dxa"/>
              <w:bottom w:w="40" w:type="dxa"/>
              <w:right w:w="20" w:type="dxa"/>
            </w:tcMar>
            <w:vAlign w:val="bottom"/>
          </w:tcPr>
          <w:p w14:paraId="22CFE32A" w14:textId="77777777" w:rsidR="002661BA" w:rsidRDefault="00D972BC">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22CFE32B" w14:textId="77777777" w:rsidR="002661BA" w:rsidRDefault="00D972BC">
            <w:pPr>
              <w:textAlignment w:val="bottom"/>
            </w:pPr>
            <w:r>
              <w:rPr>
                <w:rFonts w:ascii="Arial" w:eastAsia="宋体" w:hAnsi="Arial" w:cs="Arial"/>
                <w:color w:val="000000"/>
                <w:sz w:val="18"/>
                <w:szCs w:val="18"/>
              </w:rPr>
              <w:t>The following materials from the Annual Report on Form 10-K of eBay Inc. for the year ended December 31, 2021, were formatted in Inline XBRL (Extensible Business Reporting Language): (i) eBay Inc. Consolidated Balance Sheets, (ii) eBay Inc. Consolidated St</w:t>
            </w:r>
            <w:r>
              <w:rPr>
                <w:rFonts w:ascii="Arial" w:eastAsia="宋体" w:hAnsi="Arial" w:cs="Arial"/>
                <w:color w:val="000000"/>
                <w:sz w:val="18"/>
                <w:szCs w:val="18"/>
              </w:rPr>
              <w:t>atements of Income, (iii) eBay Inc. Consolidated Statements of Comprehensive Income, (iv) eBay Inc. Consolidated Statements of Stockholders’ Equity and (v) eBay Inc. Consolidated Statements of Cash Flows. The instance document does not appear in the Intera</w:t>
            </w:r>
            <w:r>
              <w:rPr>
                <w:rFonts w:ascii="Arial" w:eastAsia="宋体" w:hAnsi="Arial" w:cs="Arial"/>
                <w:color w:val="000000"/>
                <w:sz w:val="18"/>
                <w:szCs w:val="18"/>
              </w:rPr>
              <w:t xml:space="preserve">ctive Data File because its XBRL tags are imbedded within the Inline XBRL document. </w:t>
            </w:r>
          </w:p>
        </w:tc>
        <w:tc>
          <w:tcPr>
            <w:tcW w:w="0" w:type="auto"/>
            <w:gridSpan w:val="3"/>
            <w:shd w:val="clear" w:color="auto" w:fill="auto"/>
            <w:tcMar>
              <w:top w:w="40" w:type="dxa"/>
              <w:left w:w="20" w:type="dxa"/>
              <w:bottom w:w="40" w:type="dxa"/>
              <w:right w:w="20" w:type="dxa"/>
            </w:tcMar>
            <w:vAlign w:val="bottom"/>
          </w:tcPr>
          <w:p w14:paraId="22CFE32C" w14:textId="77777777" w:rsidR="002661BA" w:rsidRDefault="00D972BC">
            <w:pPr>
              <w:jc w:val="cente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22CFE32D" w14:textId="77777777" w:rsidR="002661BA" w:rsidRDefault="00D972BC">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22CFE32E"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32F"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330"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33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332" w14:textId="77777777" w:rsidR="002661BA" w:rsidRDefault="00D972BC">
            <w:pPr>
              <w:jc w:val="center"/>
              <w:textAlignment w:val="top"/>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vAlign w:val="bottom"/>
          </w:tcPr>
          <w:p w14:paraId="22CFE333" w14:textId="77777777" w:rsidR="002661BA" w:rsidRDefault="002661BA">
            <w:pPr>
              <w:rPr>
                <w:rFonts w:ascii="宋体"/>
              </w:rPr>
            </w:pPr>
          </w:p>
        </w:tc>
      </w:tr>
      <w:tr w:rsidR="002661BA" w14:paraId="22CFE33C" w14:textId="77777777">
        <w:trPr>
          <w:trHeight w:val="60"/>
          <w:jc w:val="center"/>
        </w:trPr>
        <w:tc>
          <w:tcPr>
            <w:tcW w:w="0" w:type="auto"/>
            <w:gridSpan w:val="3"/>
            <w:shd w:val="clear" w:color="auto" w:fill="auto"/>
            <w:tcMar>
              <w:top w:w="0" w:type="dxa"/>
              <w:left w:w="20" w:type="dxa"/>
              <w:bottom w:w="0" w:type="dxa"/>
              <w:right w:w="20" w:type="dxa"/>
            </w:tcMar>
            <w:vAlign w:val="bottom"/>
          </w:tcPr>
          <w:p w14:paraId="22CFE33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3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37"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338"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339"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33A" w14:textId="77777777" w:rsidR="002661BA" w:rsidRDefault="002661BA">
            <w:pPr>
              <w:rPr>
                <w:rFonts w:ascii="宋体"/>
              </w:rPr>
            </w:pPr>
          </w:p>
        </w:tc>
        <w:tc>
          <w:tcPr>
            <w:tcW w:w="0" w:type="auto"/>
            <w:gridSpan w:val="6"/>
            <w:shd w:val="clear" w:color="auto" w:fill="auto"/>
            <w:tcMar>
              <w:top w:w="0" w:type="dxa"/>
              <w:left w:w="20" w:type="dxa"/>
              <w:bottom w:w="0" w:type="dxa"/>
              <w:right w:w="20" w:type="dxa"/>
            </w:tcMar>
            <w:vAlign w:val="bottom"/>
          </w:tcPr>
          <w:p w14:paraId="22CFE33B" w14:textId="77777777" w:rsidR="002661BA" w:rsidRDefault="002661BA">
            <w:pPr>
              <w:rPr>
                <w:rFonts w:ascii="宋体"/>
              </w:rPr>
            </w:pPr>
          </w:p>
        </w:tc>
      </w:tr>
      <w:tr w:rsidR="002661BA" w14:paraId="22CFE348" w14:textId="77777777">
        <w:trPr>
          <w:jc w:val="center"/>
        </w:trPr>
        <w:tc>
          <w:tcPr>
            <w:tcW w:w="0" w:type="auto"/>
            <w:gridSpan w:val="3"/>
            <w:shd w:val="clear" w:color="auto" w:fill="auto"/>
            <w:tcMar>
              <w:top w:w="40" w:type="dxa"/>
              <w:left w:w="20" w:type="dxa"/>
              <w:bottom w:w="40" w:type="dxa"/>
              <w:right w:w="20" w:type="dxa"/>
            </w:tcMar>
          </w:tcPr>
          <w:p w14:paraId="22CFE33D" w14:textId="77777777" w:rsidR="002661BA" w:rsidRDefault="00D972BC">
            <w:pPr>
              <w:textAlignment w:val="top"/>
            </w:pPr>
            <w:r>
              <w:rPr>
                <w:rFonts w:ascii="Arial" w:eastAsia="宋体" w:hAnsi="Arial" w:cs="Arial"/>
                <w:color w:val="000000"/>
                <w:sz w:val="18"/>
                <w:szCs w:val="18"/>
              </w:rPr>
              <w:t>104</w:t>
            </w:r>
          </w:p>
        </w:tc>
        <w:tc>
          <w:tcPr>
            <w:tcW w:w="0" w:type="auto"/>
            <w:gridSpan w:val="3"/>
            <w:shd w:val="clear" w:color="auto" w:fill="auto"/>
            <w:tcMar>
              <w:top w:w="0" w:type="dxa"/>
              <w:left w:w="20" w:type="dxa"/>
              <w:bottom w:w="0" w:type="dxa"/>
              <w:right w:w="20" w:type="dxa"/>
            </w:tcMar>
            <w:vAlign w:val="bottom"/>
          </w:tcPr>
          <w:p w14:paraId="22CFE33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33F" w14:textId="77777777" w:rsidR="002661BA" w:rsidRDefault="00D972BC">
            <w:pPr>
              <w:textAlignment w:val="bottom"/>
            </w:pPr>
            <w:r>
              <w:rPr>
                <w:rFonts w:ascii="Arial" w:eastAsia="宋体" w:hAnsi="Arial" w:cs="Arial"/>
                <w:color w:val="000000"/>
                <w:sz w:val="18"/>
                <w:szCs w:val="18"/>
              </w:rPr>
              <w:t xml:space="preserve">Cover Page Interactive Data File (formatted as Inline XBRL and contained in Exhibit 101). </w:t>
            </w:r>
          </w:p>
        </w:tc>
        <w:tc>
          <w:tcPr>
            <w:tcW w:w="0" w:type="auto"/>
            <w:gridSpan w:val="3"/>
            <w:shd w:val="clear" w:color="auto" w:fill="auto"/>
            <w:tcMar>
              <w:top w:w="0" w:type="dxa"/>
              <w:left w:w="20" w:type="dxa"/>
              <w:bottom w:w="0" w:type="dxa"/>
              <w:right w:w="20" w:type="dxa"/>
            </w:tcMar>
            <w:vAlign w:val="bottom"/>
          </w:tcPr>
          <w:p w14:paraId="22CFE34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tcPr>
          <w:p w14:paraId="22CFE341" w14:textId="77777777" w:rsidR="002661BA" w:rsidRDefault="00D972BC">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22CFE34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4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4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4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4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47" w14:textId="77777777" w:rsidR="002661BA" w:rsidRDefault="002661BA">
            <w:pPr>
              <w:rPr>
                <w:rFonts w:ascii="宋体"/>
              </w:rPr>
            </w:pPr>
          </w:p>
        </w:tc>
      </w:tr>
    </w:tbl>
    <w:p w14:paraId="22CFE349" w14:textId="77777777" w:rsidR="002661BA" w:rsidRDefault="002661BA">
      <w:pPr>
        <w:jc w:val="center"/>
      </w:pPr>
    </w:p>
    <w:p w14:paraId="22CFE34A" w14:textId="77777777" w:rsidR="002661BA" w:rsidRDefault="00D972BC">
      <w:pPr>
        <w:ind w:hanging="450"/>
        <w:jc w:val="both"/>
      </w:pPr>
      <w:r>
        <w:rPr>
          <w:rFonts w:ascii="Arial" w:eastAsia="宋体" w:hAnsi="Arial" w:cs="Arial"/>
          <w:color w:val="000000"/>
          <w:sz w:val="16"/>
          <w:szCs w:val="16"/>
        </w:rPr>
        <w:t xml:space="preserve">*    Schedules and exhibits have been omitted pursuant to Item 601(a)(5) of Regulation S-K. The registrant agrees to furnish supplementally a copy of </w:t>
      </w:r>
      <w:r>
        <w:rPr>
          <w:rFonts w:ascii="Arial" w:eastAsia="宋体" w:hAnsi="Arial" w:cs="Arial"/>
          <w:color w:val="000000"/>
          <w:sz w:val="16"/>
          <w:szCs w:val="16"/>
        </w:rPr>
        <w:t>any omitted schedule or exhibit to the U.S. Securities and Exchange Commission upon request.</w:t>
      </w:r>
    </w:p>
    <w:p w14:paraId="22CFE34B" w14:textId="77777777" w:rsidR="002661BA" w:rsidRDefault="00D972BC">
      <w:pPr>
        <w:ind w:hanging="450"/>
        <w:jc w:val="both"/>
      </w:pPr>
      <w:r>
        <w:rPr>
          <w:rFonts w:ascii="Arial" w:eastAsia="宋体" w:hAnsi="Arial" w:cs="Arial"/>
          <w:color w:val="000000"/>
          <w:sz w:val="16"/>
          <w:szCs w:val="16"/>
        </w:rPr>
        <w:t>+    Indicates a management contract or compensatory plan or arrangement.</w:t>
      </w:r>
    </w:p>
    <w:p w14:paraId="22CFE34C" w14:textId="77777777" w:rsidR="002661BA" w:rsidRDefault="00D972BC">
      <w:pPr>
        <w:jc w:val="center"/>
      </w:pPr>
      <w:r>
        <w:rPr>
          <w:rFonts w:ascii="Arial" w:eastAsia="宋体" w:hAnsi="Arial" w:cs="Arial"/>
          <w:color w:val="000000"/>
          <w:sz w:val="18"/>
          <w:szCs w:val="18"/>
        </w:rPr>
        <w:t>119</w:t>
      </w:r>
    </w:p>
    <w:p w14:paraId="22CFE34D" w14:textId="77777777" w:rsidR="002661BA" w:rsidRDefault="00D972BC">
      <w:r>
        <w:pict w14:anchorId="22CFE528">
          <v:rect id="_x0000_i1143" style="width:415.3pt;height:1.5pt" o:hralign="center" o:hrstd="t" o:hr="t" fillcolor="#a0a0a0" stroked="f"/>
        </w:pict>
      </w:r>
    </w:p>
    <w:p w14:paraId="22CFE34E" w14:textId="77777777" w:rsidR="002661BA" w:rsidRDefault="00D972BC">
      <w:hyperlink r:id="rId240" w:anchor="id0d7a71b05ce452ea9fdb54f3cb359c7_7" w:history="1">
        <w:r>
          <w:rPr>
            <w:rStyle w:val="a5"/>
            <w:rFonts w:ascii="Arial" w:eastAsia="宋体" w:hAnsi="Arial" w:cs="Arial"/>
            <w:sz w:val="18"/>
            <w:szCs w:val="18"/>
          </w:rPr>
          <w:t>Table of Contents</w:t>
        </w:r>
      </w:hyperlink>
    </w:p>
    <w:p w14:paraId="22CFE34F" w14:textId="77777777" w:rsidR="002661BA" w:rsidRDefault="00D972BC">
      <w:pPr>
        <w:jc w:val="both"/>
      </w:pPr>
      <w:r>
        <w:rPr>
          <w:rFonts w:ascii="Arial" w:eastAsia="宋体" w:hAnsi="Arial" w:cs="Arial"/>
          <w:b/>
          <w:bCs/>
          <w:color w:val="000000"/>
          <w:sz w:val="18"/>
          <w:szCs w:val="18"/>
        </w:rPr>
        <w:t>SIGNATURES</w:t>
      </w:r>
    </w:p>
    <w:p w14:paraId="22CFE350" w14:textId="77777777" w:rsidR="002661BA" w:rsidRDefault="002661BA">
      <w:pPr>
        <w:jc w:val="both"/>
      </w:pPr>
    </w:p>
    <w:p w14:paraId="22CFE351" w14:textId="77777777" w:rsidR="002661BA" w:rsidRDefault="00D972BC">
      <w:pPr>
        <w:spacing w:after="120"/>
        <w:ind w:firstLine="540"/>
        <w:jc w:val="both"/>
      </w:pPr>
      <w:r>
        <w:rPr>
          <w:rFonts w:ascii="Arial" w:eastAsia="宋体" w:hAnsi="Arial" w:cs="Arial"/>
          <w:color w:val="000000"/>
          <w:sz w:val="18"/>
          <w:szCs w:val="18"/>
        </w:rPr>
        <w:t xml:space="preserve">Pursuant to the requirements of Section 13 or 15(d) of the Securities Exchange Act of 1934, as amended, the Registrant has duly caused this report to be signed on its behalf by the undersigned, thereunto duly authorized on February 24, 2022. </w:t>
      </w:r>
    </w:p>
    <w:tbl>
      <w:tblPr>
        <w:tblW w:w="4985" w:type="pct"/>
        <w:tblCellMar>
          <w:top w:w="15" w:type="dxa"/>
          <w:left w:w="15" w:type="dxa"/>
          <w:bottom w:w="15" w:type="dxa"/>
          <w:right w:w="15" w:type="dxa"/>
        </w:tblCellMar>
        <w:tblLook w:val="04A0" w:firstRow="1" w:lastRow="0" w:firstColumn="1" w:lastColumn="0" w:noHBand="0" w:noVBand="1"/>
      </w:tblPr>
      <w:tblGrid>
        <w:gridCol w:w="68"/>
        <w:gridCol w:w="2930"/>
        <w:gridCol w:w="36"/>
        <w:gridCol w:w="69"/>
        <w:gridCol w:w="295"/>
        <w:gridCol w:w="37"/>
        <w:gridCol w:w="69"/>
        <w:gridCol w:w="4770"/>
        <w:gridCol w:w="37"/>
      </w:tblGrid>
      <w:tr w:rsidR="002661BA" w14:paraId="22CFE35B" w14:textId="77777777">
        <w:tc>
          <w:tcPr>
            <w:tcW w:w="50" w:type="pct"/>
            <w:shd w:val="clear" w:color="auto" w:fill="auto"/>
            <w:vAlign w:val="bottom"/>
          </w:tcPr>
          <w:p w14:paraId="22CFE352" w14:textId="77777777" w:rsidR="002661BA" w:rsidRDefault="002661BA">
            <w:pPr>
              <w:rPr>
                <w:rFonts w:ascii="宋体"/>
              </w:rPr>
            </w:pPr>
          </w:p>
        </w:tc>
        <w:tc>
          <w:tcPr>
            <w:tcW w:w="1770" w:type="pct"/>
            <w:shd w:val="clear" w:color="auto" w:fill="auto"/>
            <w:vAlign w:val="bottom"/>
          </w:tcPr>
          <w:p w14:paraId="22CFE353" w14:textId="77777777" w:rsidR="002661BA" w:rsidRDefault="002661BA">
            <w:pPr>
              <w:rPr>
                <w:rFonts w:ascii="宋体"/>
              </w:rPr>
            </w:pPr>
          </w:p>
        </w:tc>
        <w:tc>
          <w:tcPr>
            <w:tcW w:w="5" w:type="pct"/>
            <w:shd w:val="clear" w:color="auto" w:fill="auto"/>
            <w:vAlign w:val="bottom"/>
          </w:tcPr>
          <w:p w14:paraId="22CFE354" w14:textId="77777777" w:rsidR="002661BA" w:rsidRDefault="002661BA">
            <w:pPr>
              <w:rPr>
                <w:rFonts w:ascii="宋体"/>
              </w:rPr>
            </w:pPr>
          </w:p>
        </w:tc>
        <w:tc>
          <w:tcPr>
            <w:tcW w:w="50" w:type="pct"/>
            <w:shd w:val="clear" w:color="auto" w:fill="auto"/>
            <w:vAlign w:val="bottom"/>
          </w:tcPr>
          <w:p w14:paraId="22CFE355" w14:textId="77777777" w:rsidR="002661BA" w:rsidRDefault="002661BA">
            <w:pPr>
              <w:rPr>
                <w:rFonts w:ascii="宋体"/>
              </w:rPr>
            </w:pPr>
          </w:p>
        </w:tc>
        <w:tc>
          <w:tcPr>
            <w:tcW w:w="186" w:type="pct"/>
            <w:shd w:val="clear" w:color="auto" w:fill="auto"/>
            <w:vAlign w:val="bottom"/>
          </w:tcPr>
          <w:p w14:paraId="22CFE356" w14:textId="77777777" w:rsidR="002661BA" w:rsidRDefault="002661BA">
            <w:pPr>
              <w:rPr>
                <w:rFonts w:ascii="宋体"/>
              </w:rPr>
            </w:pPr>
          </w:p>
        </w:tc>
        <w:tc>
          <w:tcPr>
            <w:tcW w:w="5" w:type="pct"/>
            <w:shd w:val="clear" w:color="auto" w:fill="auto"/>
            <w:vAlign w:val="bottom"/>
          </w:tcPr>
          <w:p w14:paraId="22CFE357" w14:textId="77777777" w:rsidR="002661BA" w:rsidRDefault="002661BA">
            <w:pPr>
              <w:rPr>
                <w:rFonts w:ascii="宋体"/>
              </w:rPr>
            </w:pPr>
          </w:p>
        </w:tc>
        <w:tc>
          <w:tcPr>
            <w:tcW w:w="50" w:type="pct"/>
            <w:shd w:val="clear" w:color="auto" w:fill="auto"/>
            <w:vAlign w:val="bottom"/>
          </w:tcPr>
          <w:p w14:paraId="22CFE358" w14:textId="77777777" w:rsidR="002661BA" w:rsidRDefault="002661BA">
            <w:pPr>
              <w:rPr>
                <w:rFonts w:ascii="宋体"/>
              </w:rPr>
            </w:pPr>
          </w:p>
        </w:tc>
        <w:tc>
          <w:tcPr>
            <w:tcW w:w="2877" w:type="pct"/>
            <w:shd w:val="clear" w:color="auto" w:fill="auto"/>
            <w:vAlign w:val="bottom"/>
          </w:tcPr>
          <w:p w14:paraId="22CFE359" w14:textId="77777777" w:rsidR="002661BA" w:rsidRDefault="002661BA">
            <w:pPr>
              <w:rPr>
                <w:rFonts w:ascii="宋体"/>
              </w:rPr>
            </w:pPr>
          </w:p>
        </w:tc>
        <w:tc>
          <w:tcPr>
            <w:tcW w:w="5" w:type="pct"/>
            <w:shd w:val="clear" w:color="auto" w:fill="auto"/>
            <w:vAlign w:val="bottom"/>
          </w:tcPr>
          <w:p w14:paraId="22CFE35A" w14:textId="77777777" w:rsidR="002661BA" w:rsidRDefault="002661BA">
            <w:pPr>
              <w:rPr>
                <w:rFonts w:ascii="宋体"/>
              </w:rPr>
            </w:pPr>
          </w:p>
        </w:tc>
      </w:tr>
      <w:tr w:rsidR="002661BA" w14:paraId="22CFE35E" w14:textId="77777777">
        <w:tc>
          <w:tcPr>
            <w:tcW w:w="0" w:type="auto"/>
            <w:gridSpan w:val="3"/>
            <w:shd w:val="clear" w:color="auto" w:fill="auto"/>
            <w:tcMar>
              <w:top w:w="0" w:type="dxa"/>
              <w:left w:w="20" w:type="dxa"/>
              <w:bottom w:w="0" w:type="dxa"/>
              <w:right w:w="20" w:type="dxa"/>
            </w:tcMar>
            <w:vAlign w:val="bottom"/>
          </w:tcPr>
          <w:p w14:paraId="22CFE35C" w14:textId="77777777" w:rsidR="002661BA" w:rsidRDefault="002661BA">
            <w:pPr>
              <w:rPr>
                <w:rFonts w:ascii="宋体"/>
              </w:rPr>
            </w:pPr>
          </w:p>
        </w:tc>
        <w:tc>
          <w:tcPr>
            <w:tcW w:w="0" w:type="auto"/>
            <w:gridSpan w:val="6"/>
            <w:shd w:val="clear" w:color="auto" w:fill="auto"/>
            <w:tcMar>
              <w:top w:w="40" w:type="dxa"/>
              <w:left w:w="20" w:type="dxa"/>
              <w:bottom w:w="40" w:type="dxa"/>
              <w:right w:w="20" w:type="dxa"/>
            </w:tcMar>
            <w:vAlign w:val="bottom"/>
          </w:tcPr>
          <w:p w14:paraId="22CFE35D" w14:textId="77777777" w:rsidR="002661BA" w:rsidRDefault="00D972BC">
            <w:pPr>
              <w:textAlignment w:val="bottom"/>
            </w:pPr>
            <w:r>
              <w:rPr>
                <w:rFonts w:ascii="Arial" w:eastAsia="宋体" w:hAnsi="Arial" w:cs="Arial"/>
                <w:b/>
                <w:bCs/>
                <w:color w:val="000000"/>
                <w:sz w:val="18"/>
                <w:szCs w:val="18"/>
              </w:rPr>
              <w:t>eBay Inc.</w:t>
            </w:r>
          </w:p>
        </w:tc>
      </w:tr>
      <w:tr w:rsidR="002661BA" w14:paraId="22CFE362" w14:textId="77777777">
        <w:trPr>
          <w:trHeight w:val="280"/>
        </w:trPr>
        <w:tc>
          <w:tcPr>
            <w:tcW w:w="0" w:type="auto"/>
            <w:gridSpan w:val="3"/>
            <w:shd w:val="clear" w:color="auto" w:fill="auto"/>
            <w:tcMar>
              <w:top w:w="0" w:type="dxa"/>
              <w:left w:w="20" w:type="dxa"/>
              <w:bottom w:w="0" w:type="dxa"/>
              <w:right w:w="20" w:type="dxa"/>
            </w:tcMar>
            <w:vAlign w:val="bottom"/>
          </w:tcPr>
          <w:p w14:paraId="22CFE35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6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61" w14:textId="77777777" w:rsidR="002661BA" w:rsidRDefault="002661BA">
            <w:pPr>
              <w:rPr>
                <w:rFonts w:ascii="宋体"/>
              </w:rPr>
            </w:pPr>
          </w:p>
        </w:tc>
      </w:tr>
      <w:tr w:rsidR="002661BA" w14:paraId="22CFE366" w14:textId="77777777">
        <w:tc>
          <w:tcPr>
            <w:tcW w:w="0" w:type="auto"/>
            <w:gridSpan w:val="3"/>
            <w:shd w:val="clear" w:color="auto" w:fill="auto"/>
            <w:tcMar>
              <w:top w:w="0" w:type="dxa"/>
              <w:left w:w="20" w:type="dxa"/>
              <w:bottom w:w="0" w:type="dxa"/>
              <w:right w:w="20" w:type="dxa"/>
            </w:tcMar>
            <w:vAlign w:val="bottom"/>
          </w:tcPr>
          <w:p w14:paraId="22CFE36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364" w14:textId="77777777" w:rsidR="002661BA" w:rsidRDefault="00D972BC">
            <w:pPr>
              <w:textAlignment w:val="bottom"/>
            </w:pPr>
            <w:r>
              <w:rPr>
                <w:rFonts w:ascii="Arial" w:eastAsia="宋体" w:hAnsi="Arial" w:cs="Arial"/>
                <w:color w:val="000000"/>
                <w:sz w:val="18"/>
                <w:szCs w:val="18"/>
              </w:rPr>
              <w:t>By:</w:t>
            </w:r>
          </w:p>
        </w:tc>
        <w:tc>
          <w:tcPr>
            <w:tcW w:w="0" w:type="auto"/>
            <w:gridSpan w:val="3"/>
            <w:shd w:val="clear" w:color="auto" w:fill="auto"/>
            <w:tcMar>
              <w:top w:w="40" w:type="dxa"/>
              <w:left w:w="20" w:type="dxa"/>
              <w:bottom w:w="40" w:type="dxa"/>
              <w:right w:w="20" w:type="dxa"/>
            </w:tcMar>
            <w:vAlign w:val="bottom"/>
          </w:tcPr>
          <w:p w14:paraId="22CFE365" w14:textId="77777777" w:rsidR="002661BA" w:rsidRDefault="00D972BC">
            <w:pPr>
              <w:textAlignment w:val="bottom"/>
            </w:pPr>
            <w:r>
              <w:rPr>
                <w:rFonts w:ascii="Arial" w:eastAsia="宋体" w:hAnsi="Arial" w:cs="Arial"/>
                <w:color w:val="000000"/>
                <w:sz w:val="18"/>
                <w:szCs w:val="18"/>
              </w:rPr>
              <w:t>/s/ Jamie Iannone</w:t>
            </w:r>
          </w:p>
        </w:tc>
      </w:tr>
      <w:tr w:rsidR="002661BA" w14:paraId="22CFE36A" w14:textId="77777777">
        <w:tc>
          <w:tcPr>
            <w:tcW w:w="0" w:type="auto"/>
            <w:gridSpan w:val="3"/>
            <w:shd w:val="clear" w:color="auto" w:fill="auto"/>
            <w:tcMar>
              <w:top w:w="0" w:type="dxa"/>
              <w:left w:w="20" w:type="dxa"/>
              <w:bottom w:w="0" w:type="dxa"/>
              <w:right w:w="20" w:type="dxa"/>
            </w:tcMar>
            <w:vAlign w:val="bottom"/>
          </w:tcPr>
          <w:p w14:paraId="22CFE36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68"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E369" w14:textId="77777777" w:rsidR="002661BA" w:rsidRDefault="00D972BC">
            <w:pPr>
              <w:jc w:val="center"/>
              <w:textAlignment w:val="bottom"/>
            </w:pPr>
            <w:r>
              <w:rPr>
                <w:rFonts w:ascii="Arial" w:eastAsia="宋体" w:hAnsi="Arial" w:cs="Arial"/>
                <w:b/>
                <w:bCs/>
                <w:color w:val="000000"/>
                <w:sz w:val="18"/>
                <w:szCs w:val="18"/>
              </w:rPr>
              <w:t>Jamie Iannone</w:t>
            </w:r>
          </w:p>
        </w:tc>
      </w:tr>
      <w:tr w:rsidR="002661BA" w14:paraId="22CFE36E" w14:textId="77777777">
        <w:tc>
          <w:tcPr>
            <w:tcW w:w="0" w:type="auto"/>
            <w:gridSpan w:val="3"/>
            <w:shd w:val="clear" w:color="auto" w:fill="auto"/>
            <w:tcMar>
              <w:top w:w="0" w:type="dxa"/>
              <w:left w:w="20" w:type="dxa"/>
              <w:bottom w:w="0" w:type="dxa"/>
              <w:right w:w="20" w:type="dxa"/>
            </w:tcMar>
            <w:vAlign w:val="bottom"/>
          </w:tcPr>
          <w:p w14:paraId="22CFE36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6C"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36D" w14:textId="77777777" w:rsidR="002661BA" w:rsidRDefault="00D972BC">
            <w:pPr>
              <w:jc w:val="center"/>
              <w:textAlignment w:val="bottom"/>
            </w:pPr>
            <w:r>
              <w:rPr>
                <w:rFonts w:ascii="Arial" w:eastAsia="宋体" w:hAnsi="Arial" w:cs="Arial"/>
                <w:b/>
                <w:bCs/>
                <w:color w:val="000000"/>
                <w:sz w:val="18"/>
                <w:szCs w:val="18"/>
              </w:rPr>
              <w:t>Chief Executive Officer</w:t>
            </w:r>
          </w:p>
        </w:tc>
      </w:tr>
    </w:tbl>
    <w:p w14:paraId="22CFE36F" w14:textId="77777777" w:rsidR="002661BA" w:rsidRDefault="002661BA">
      <w:pPr>
        <w:jc w:val="both"/>
      </w:pPr>
    </w:p>
    <w:p w14:paraId="22CFE370" w14:textId="77777777" w:rsidR="002661BA" w:rsidRDefault="00D972BC">
      <w:pPr>
        <w:jc w:val="both"/>
      </w:pPr>
      <w:r>
        <w:rPr>
          <w:rFonts w:ascii="Arial" w:eastAsia="宋体" w:hAnsi="Arial" w:cs="Arial"/>
          <w:b/>
          <w:bCs/>
          <w:color w:val="000000"/>
          <w:sz w:val="18"/>
          <w:szCs w:val="18"/>
        </w:rPr>
        <w:t>POWER OF ATTORNEY</w:t>
      </w:r>
    </w:p>
    <w:p w14:paraId="22CFE371" w14:textId="77777777" w:rsidR="002661BA" w:rsidRDefault="002661BA">
      <w:pPr>
        <w:jc w:val="both"/>
      </w:pPr>
    </w:p>
    <w:p w14:paraId="22CFE372" w14:textId="77777777" w:rsidR="002661BA" w:rsidRDefault="00D972BC">
      <w:pPr>
        <w:ind w:firstLine="540"/>
        <w:jc w:val="both"/>
      </w:pPr>
      <w:r>
        <w:rPr>
          <w:rFonts w:ascii="Arial" w:eastAsia="宋体" w:hAnsi="Arial" w:cs="Arial"/>
          <w:color w:val="000000"/>
          <w:sz w:val="18"/>
          <w:szCs w:val="18"/>
        </w:rPr>
        <w:t>KNOW ALL PERSONS BY THESE PRESENTS, that each person whose signature appears below constitutes and appoints Jamie Iannone, Steve Priest, Brian J. Doerger and Marie Oh Huber and each or any one of them, each with the power of substitution, his or her attorn</w:t>
      </w:r>
      <w:r>
        <w:rPr>
          <w:rFonts w:ascii="Arial" w:eastAsia="宋体" w:hAnsi="Arial" w:cs="Arial"/>
          <w:color w:val="000000"/>
          <w:sz w:val="18"/>
          <w:szCs w:val="18"/>
        </w:rPr>
        <w:t>ey-in-fact, to sign any amendments to this report, with exhibits thereto and other documents in connection therewith, with the Securities and Exchange Commission, hereby ratifying and confirming all that each of said attorneys-in-fact, or his substitute or</w:t>
      </w:r>
      <w:r>
        <w:rPr>
          <w:rFonts w:ascii="Arial" w:eastAsia="宋体" w:hAnsi="Arial" w:cs="Arial"/>
          <w:color w:val="000000"/>
          <w:sz w:val="18"/>
          <w:szCs w:val="18"/>
        </w:rPr>
        <w:t xml:space="preserve"> substitutes, may do or cause to be done by virtue hereof. </w:t>
      </w:r>
    </w:p>
    <w:p w14:paraId="22CFE373" w14:textId="77777777" w:rsidR="002661BA" w:rsidRDefault="002661BA">
      <w:pPr>
        <w:ind w:firstLine="540"/>
        <w:jc w:val="both"/>
      </w:pPr>
    </w:p>
    <w:p w14:paraId="22CFE374" w14:textId="77777777" w:rsidR="002661BA" w:rsidRDefault="00D972BC">
      <w:pPr>
        <w:spacing w:after="120"/>
        <w:ind w:firstLine="540"/>
        <w:jc w:val="both"/>
      </w:pPr>
      <w:r>
        <w:rPr>
          <w:rFonts w:ascii="Arial" w:eastAsia="宋体" w:hAnsi="Arial" w:cs="Arial"/>
          <w:color w:val="000000"/>
          <w:sz w:val="18"/>
          <w:szCs w:val="18"/>
        </w:rPr>
        <w:t>Pursuant to the requirements of the Securities Exchange Act of 1934, as amended, this report has been signed below by the following persons on behalf of the registrant and in the capacities indic</w:t>
      </w:r>
      <w:r>
        <w:rPr>
          <w:rFonts w:ascii="Arial" w:eastAsia="宋体" w:hAnsi="Arial" w:cs="Arial"/>
          <w:color w:val="000000"/>
          <w:sz w:val="18"/>
          <w:szCs w:val="18"/>
        </w:rPr>
        <w:t xml:space="preserve">ated on February 24, 2022. </w:t>
      </w:r>
    </w:p>
    <w:tbl>
      <w:tblPr>
        <w:tblW w:w="4978" w:type="pct"/>
        <w:tblCellMar>
          <w:top w:w="15" w:type="dxa"/>
          <w:left w:w="15" w:type="dxa"/>
          <w:bottom w:w="15" w:type="dxa"/>
          <w:right w:w="15" w:type="dxa"/>
        </w:tblCellMar>
        <w:tblLook w:val="04A0" w:firstRow="1" w:lastRow="0" w:firstColumn="1" w:lastColumn="0" w:noHBand="0" w:noVBand="1"/>
      </w:tblPr>
      <w:tblGrid>
        <w:gridCol w:w="63"/>
        <w:gridCol w:w="290"/>
        <w:gridCol w:w="38"/>
        <w:gridCol w:w="64"/>
        <w:gridCol w:w="3608"/>
        <w:gridCol w:w="37"/>
        <w:gridCol w:w="36"/>
        <w:gridCol w:w="36"/>
        <w:gridCol w:w="36"/>
        <w:gridCol w:w="63"/>
        <w:gridCol w:w="280"/>
        <w:gridCol w:w="38"/>
        <w:gridCol w:w="64"/>
        <w:gridCol w:w="3608"/>
        <w:gridCol w:w="38"/>
      </w:tblGrid>
      <w:tr w:rsidR="002661BA" w14:paraId="22CFE384" w14:textId="77777777">
        <w:tc>
          <w:tcPr>
            <w:tcW w:w="50" w:type="pct"/>
            <w:shd w:val="clear" w:color="auto" w:fill="auto"/>
            <w:vAlign w:val="bottom"/>
          </w:tcPr>
          <w:p w14:paraId="22CFE375" w14:textId="77777777" w:rsidR="002661BA" w:rsidRDefault="002661BA">
            <w:pPr>
              <w:rPr>
                <w:rFonts w:ascii="宋体"/>
              </w:rPr>
            </w:pPr>
          </w:p>
        </w:tc>
        <w:tc>
          <w:tcPr>
            <w:tcW w:w="187" w:type="pct"/>
            <w:shd w:val="clear" w:color="auto" w:fill="auto"/>
            <w:vAlign w:val="bottom"/>
          </w:tcPr>
          <w:p w14:paraId="22CFE376" w14:textId="77777777" w:rsidR="002661BA" w:rsidRDefault="002661BA">
            <w:pPr>
              <w:rPr>
                <w:rFonts w:ascii="宋体"/>
              </w:rPr>
            </w:pPr>
          </w:p>
        </w:tc>
        <w:tc>
          <w:tcPr>
            <w:tcW w:w="5" w:type="pct"/>
            <w:shd w:val="clear" w:color="auto" w:fill="auto"/>
            <w:vAlign w:val="bottom"/>
          </w:tcPr>
          <w:p w14:paraId="22CFE377" w14:textId="77777777" w:rsidR="002661BA" w:rsidRDefault="002661BA">
            <w:pPr>
              <w:rPr>
                <w:rFonts w:ascii="宋体"/>
              </w:rPr>
            </w:pPr>
          </w:p>
        </w:tc>
        <w:tc>
          <w:tcPr>
            <w:tcW w:w="50" w:type="pct"/>
            <w:shd w:val="clear" w:color="auto" w:fill="auto"/>
            <w:vAlign w:val="bottom"/>
          </w:tcPr>
          <w:p w14:paraId="22CFE378" w14:textId="77777777" w:rsidR="002661BA" w:rsidRDefault="002661BA">
            <w:pPr>
              <w:rPr>
                <w:rFonts w:ascii="宋体"/>
              </w:rPr>
            </w:pPr>
          </w:p>
        </w:tc>
        <w:tc>
          <w:tcPr>
            <w:tcW w:w="2184" w:type="pct"/>
            <w:shd w:val="clear" w:color="auto" w:fill="auto"/>
            <w:vAlign w:val="bottom"/>
          </w:tcPr>
          <w:p w14:paraId="22CFE379" w14:textId="77777777" w:rsidR="002661BA" w:rsidRDefault="002661BA">
            <w:pPr>
              <w:rPr>
                <w:rFonts w:ascii="宋体"/>
              </w:rPr>
            </w:pPr>
          </w:p>
        </w:tc>
        <w:tc>
          <w:tcPr>
            <w:tcW w:w="5" w:type="pct"/>
            <w:shd w:val="clear" w:color="auto" w:fill="auto"/>
            <w:vAlign w:val="bottom"/>
          </w:tcPr>
          <w:p w14:paraId="22CFE37A" w14:textId="77777777" w:rsidR="002661BA" w:rsidRDefault="002661BA">
            <w:pPr>
              <w:rPr>
                <w:rFonts w:ascii="宋体"/>
              </w:rPr>
            </w:pPr>
          </w:p>
        </w:tc>
        <w:tc>
          <w:tcPr>
            <w:tcW w:w="5" w:type="pct"/>
            <w:shd w:val="clear" w:color="auto" w:fill="auto"/>
            <w:vAlign w:val="bottom"/>
          </w:tcPr>
          <w:p w14:paraId="22CFE37B" w14:textId="77777777" w:rsidR="002661BA" w:rsidRDefault="002661BA">
            <w:pPr>
              <w:rPr>
                <w:rFonts w:ascii="宋体"/>
              </w:rPr>
            </w:pPr>
          </w:p>
        </w:tc>
        <w:tc>
          <w:tcPr>
            <w:tcW w:w="26" w:type="pct"/>
            <w:shd w:val="clear" w:color="auto" w:fill="auto"/>
            <w:vAlign w:val="bottom"/>
          </w:tcPr>
          <w:p w14:paraId="22CFE37C" w14:textId="77777777" w:rsidR="002661BA" w:rsidRDefault="002661BA">
            <w:pPr>
              <w:rPr>
                <w:rFonts w:ascii="宋体"/>
              </w:rPr>
            </w:pPr>
          </w:p>
        </w:tc>
        <w:tc>
          <w:tcPr>
            <w:tcW w:w="5" w:type="pct"/>
            <w:shd w:val="clear" w:color="auto" w:fill="auto"/>
            <w:vAlign w:val="bottom"/>
          </w:tcPr>
          <w:p w14:paraId="22CFE37D" w14:textId="77777777" w:rsidR="002661BA" w:rsidRDefault="002661BA">
            <w:pPr>
              <w:rPr>
                <w:rFonts w:ascii="宋体"/>
              </w:rPr>
            </w:pPr>
          </w:p>
        </w:tc>
        <w:tc>
          <w:tcPr>
            <w:tcW w:w="50" w:type="pct"/>
            <w:shd w:val="clear" w:color="auto" w:fill="auto"/>
            <w:vAlign w:val="bottom"/>
          </w:tcPr>
          <w:p w14:paraId="22CFE37E" w14:textId="77777777" w:rsidR="002661BA" w:rsidRDefault="002661BA">
            <w:pPr>
              <w:rPr>
                <w:rFonts w:ascii="宋体"/>
              </w:rPr>
            </w:pPr>
          </w:p>
        </w:tc>
        <w:tc>
          <w:tcPr>
            <w:tcW w:w="187" w:type="pct"/>
            <w:shd w:val="clear" w:color="auto" w:fill="auto"/>
            <w:vAlign w:val="bottom"/>
          </w:tcPr>
          <w:p w14:paraId="22CFE37F" w14:textId="77777777" w:rsidR="002661BA" w:rsidRDefault="002661BA">
            <w:pPr>
              <w:rPr>
                <w:rFonts w:ascii="宋体"/>
              </w:rPr>
            </w:pPr>
          </w:p>
        </w:tc>
        <w:tc>
          <w:tcPr>
            <w:tcW w:w="5" w:type="pct"/>
            <w:shd w:val="clear" w:color="auto" w:fill="auto"/>
            <w:vAlign w:val="bottom"/>
          </w:tcPr>
          <w:p w14:paraId="22CFE380" w14:textId="77777777" w:rsidR="002661BA" w:rsidRDefault="002661BA">
            <w:pPr>
              <w:rPr>
                <w:rFonts w:ascii="宋体"/>
              </w:rPr>
            </w:pPr>
          </w:p>
        </w:tc>
        <w:tc>
          <w:tcPr>
            <w:tcW w:w="50" w:type="pct"/>
            <w:shd w:val="clear" w:color="auto" w:fill="auto"/>
            <w:vAlign w:val="bottom"/>
          </w:tcPr>
          <w:p w14:paraId="22CFE381" w14:textId="77777777" w:rsidR="002661BA" w:rsidRDefault="002661BA">
            <w:pPr>
              <w:rPr>
                <w:rFonts w:ascii="宋体"/>
              </w:rPr>
            </w:pPr>
          </w:p>
        </w:tc>
        <w:tc>
          <w:tcPr>
            <w:tcW w:w="2184" w:type="pct"/>
            <w:shd w:val="clear" w:color="auto" w:fill="auto"/>
            <w:vAlign w:val="bottom"/>
          </w:tcPr>
          <w:p w14:paraId="22CFE382" w14:textId="77777777" w:rsidR="002661BA" w:rsidRDefault="002661BA">
            <w:pPr>
              <w:rPr>
                <w:rFonts w:ascii="宋体"/>
              </w:rPr>
            </w:pPr>
          </w:p>
        </w:tc>
        <w:tc>
          <w:tcPr>
            <w:tcW w:w="5" w:type="pct"/>
            <w:shd w:val="clear" w:color="auto" w:fill="auto"/>
            <w:vAlign w:val="bottom"/>
          </w:tcPr>
          <w:p w14:paraId="22CFE383" w14:textId="77777777" w:rsidR="002661BA" w:rsidRDefault="002661BA">
            <w:pPr>
              <w:rPr>
                <w:rFonts w:ascii="宋体"/>
              </w:rPr>
            </w:pPr>
          </w:p>
        </w:tc>
      </w:tr>
      <w:tr w:rsidR="002661BA" w14:paraId="22CFE388" w14:textId="77777777">
        <w:tc>
          <w:tcPr>
            <w:tcW w:w="0" w:type="auto"/>
            <w:gridSpan w:val="6"/>
            <w:shd w:val="clear" w:color="auto" w:fill="auto"/>
            <w:tcMar>
              <w:top w:w="40" w:type="dxa"/>
              <w:left w:w="20" w:type="dxa"/>
              <w:bottom w:w="40" w:type="dxa"/>
              <w:right w:w="20" w:type="dxa"/>
            </w:tcMar>
            <w:vAlign w:val="bottom"/>
          </w:tcPr>
          <w:p w14:paraId="22CFE385" w14:textId="77777777" w:rsidR="002661BA" w:rsidRDefault="00D972BC">
            <w:pPr>
              <w:textAlignment w:val="bottom"/>
            </w:pPr>
            <w:r>
              <w:rPr>
                <w:rFonts w:ascii="Arial" w:eastAsia="宋体" w:hAnsi="Arial" w:cs="Arial"/>
                <w:b/>
                <w:bCs/>
                <w:color w:val="000000"/>
                <w:sz w:val="18"/>
                <w:szCs w:val="18"/>
              </w:rPr>
              <w:t>Principal Executive Officer and Director:</w:t>
            </w:r>
          </w:p>
        </w:tc>
        <w:tc>
          <w:tcPr>
            <w:tcW w:w="0" w:type="auto"/>
            <w:gridSpan w:val="3"/>
            <w:shd w:val="clear" w:color="auto" w:fill="auto"/>
            <w:tcMar>
              <w:top w:w="0" w:type="dxa"/>
              <w:left w:w="20" w:type="dxa"/>
              <w:bottom w:w="0" w:type="dxa"/>
              <w:right w:w="20" w:type="dxa"/>
            </w:tcMar>
            <w:vAlign w:val="bottom"/>
          </w:tcPr>
          <w:p w14:paraId="22CFE386" w14:textId="77777777" w:rsidR="002661BA" w:rsidRDefault="002661BA">
            <w:pPr>
              <w:rPr>
                <w:rFonts w:ascii="宋体"/>
              </w:rPr>
            </w:pPr>
          </w:p>
        </w:tc>
        <w:tc>
          <w:tcPr>
            <w:tcW w:w="0" w:type="auto"/>
            <w:gridSpan w:val="6"/>
            <w:shd w:val="clear" w:color="auto" w:fill="auto"/>
            <w:tcMar>
              <w:top w:w="40" w:type="dxa"/>
              <w:left w:w="20" w:type="dxa"/>
              <w:bottom w:w="40" w:type="dxa"/>
              <w:right w:w="20" w:type="dxa"/>
            </w:tcMar>
            <w:vAlign w:val="bottom"/>
          </w:tcPr>
          <w:p w14:paraId="22CFE387" w14:textId="77777777" w:rsidR="002661BA" w:rsidRDefault="00D972BC">
            <w:pPr>
              <w:textAlignment w:val="bottom"/>
            </w:pPr>
            <w:r>
              <w:rPr>
                <w:rFonts w:ascii="Arial" w:eastAsia="宋体" w:hAnsi="Arial" w:cs="Arial"/>
                <w:b/>
                <w:bCs/>
                <w:color w:val="000000"/>
                <w:sz w:val="18"/>
                <w:szCs w:val="18"/>
              </w:rPr>
              <w:t>Principal Financial Officer:</w:t>
            </w:r>
          </w:p>
        </w:tc>
      </w:tr>
      <w:tr w:rsidR="002661BA" w14:paraId="22CFE38E" w14:textId="77777777">
        <w:trPr>
          <w:trHeight w:val="280"/>
        </w:trPr>
        <w:tc>
          <w:tcPr>
            <w:tcW w:w="0" w:type="auto"/>
            <w:gridSpan w:val="3"/>
            <w:shd w:val="clear" w:color="auto" w:fill="auto"/>
            <w:tcMar>
              <w:top w:w="0" w:type="dxa"/>
              <w:left w:w="20" w:type="dxa"/>
              <w:bottom w:w="0" w:type="dxa"/>
              <w:right w:w="20" w:type="dxa"/>
            </w:tcMar>
            <w:vAlign w:val="bottom"/>
          </w:tcPr>
          <w:p w14:paraId="22CFE38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8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8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8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8D" w14:textId="77777777" w:rsidR="002661BA" w:rsidRDefault="002661BA">
            <w:pPr>
              <w:rPr>
                <w:rFonts w:ascii="宋体"/>
              </w:rPr>
            </w:pPr>
          </w:p>
        </w:tc>
      </w:tr>
      <w:tr w:rsidR="002661BA" w14:paraId="22CFE394" w14:textId="77777777">
        <w:tc>
          <w:tcPr>
            <w:tcW w:w="0" w:type="auto"/>
            <w:gridSpan w:val="3"/>
            <w:shd w:val="clear" w:color="auto" w:fill="auto"/>
            <w:tcMar>
              <w:top w:w="40" w:type="dxa"/>
              <w:left w:w="20" w:type="dxa"/>
              <w:bottom w:w="40" w:type="dxa"/>
              <w:right w:w="20" w:type="dxa"/>
            </w:tcMar>
            <w:vAlign w:val="bottom"/>
          </w:tcPr>
          <w:p w14:paraId="22CFE38F" w14:textId="77777777" w:rsidR="002661BA" w:rsidRDefault="00D972BC">
            <w:pPr>
              <w:textAlignment w:val="bottom"/>
            </w:pPr>
            <w:r>
              <w:rPr>
                <w:rFonts w:ascii="Arial" w:eastAsia="宋体" w:hAnsi="Arial" w:cs="Arial"/>
                <w:color w:val="000000"/>
                <w:sz w:val="18"/>
                <w:szCs w:val="18"/>
              </w:rPr>
              <w:t>By:</w:t>
            </w:r>
          </w:p>
        </w:tc>
        <w:tc>
          <w:tcPr>
            <w:tcW w:w="0" w:type="auto"/>
            <w:gridSpan w:val="3"/>
            <w:shd w:val="clear" w:color="auto" w:fill="auto"/>
            <w:tcMar>
              <w:top w:w="40" w:type="dxa"/>
              <w:left w:w="20" w:type="dxa"/>
              <w:bottom w:w="40" w:type="dxa"/>
              <w:right w:w="20" w:type="dxa"/>
            </w:tcMar>
            <w:vAlign w:val="bottom"/>
          </w:tcPr>
          <w:p w14:paraId="22CFE390" w14:textId="77777777" w:rsidR="002661BA" w:rsidRDefault="00D972BC">
            <w:pPr>
              <w:textAlignment w:val="bottom"/>
            </w:pPr>
            <w:r>
              <w:rPr>
                <w:rFonts w:ascii="Arial" w:eastAsia="宋体" w:hAnsi="Arial" w:cs="Arial"/>
                <w:color w:val="000000"/>
                <w:sz w:val="18"/>
                <w:szCs w:val="18"/>
              </w:rPr>
              <w:t>/s/ Jamie Iannone</w:t>
            </w:r>
          </w:p>
        </w:tc>
        <w:tc>
          <w:tcPr>
            <w:tcW w:w="0" w:type="auto"/>
            <w:gridSpan w:val="3"/>
            <w:shd w:val="clear" w:color="auto" w:fill="auto"/>
            <w:tcMar>
              <w:top w:w="0" w:type="dxa"/>
              <w:left w:w="20" w:type="dxa"/>
              <w:bottom w:w="0" w:type="dxa"/>
              <w:right w:w="20" w:type="dxa"/>
            </w:tcMar>
            <w:vAlign w:val="bottom"/>
          </w:tcPr>
          <w:p w14:paraId="22CFE39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392" w14:textId="77777777" w:rsidR="002661BA" w:rsidRDefault="00D972BC">
            <w:pPr>
              <w:textAlignment w:val="bottom"/>
            </w:pPr>
            <w:r>
              <w:rPr>
                <w:rFonts w:ascii="Arial" w:eastAsia="宋体" w:hAnsi="Arial" w:cs="Arial"/>
                <w:color w:val="000000"/>
                <w:sz w:val="18"/>
                <w:szCs w:val="18"/>
              </w:rPr>
              <w:t>By:</w:t>
            </w:r>
          </w:p>
        </w:tc>
        <w:tc>
          <w:tcPr>
            <w:tcW w:w="0" w:type="auto"/>
            <w:gridSpan w:val="3"/>
            <w:shd w:val="clear" w:color="auto" w:fill="auto"/>
            <w:tcMar>
              <w:top w:w="40" w:type="dxa"/>
              <w:left w:w="20" w:type="dxa"/>
              <w:bottom w:w="40" w:type="dxa"/>
              <w:right w:w="20" w:type="dxa"/>
            </w:tcMar>
            <w:vAlign w:val="bottom"/>
          </w:tcPr>
          <w:p w14:paraId="22CFE393" w14:textId="77777777" w:rsidR="002661BA" w:rsidRDefault="00D972BC">
            <w:pPr>
              <w:textAlignment w:val="bottom"/>
            </w:pPr>
            <w:r>
              <w:rPr>
                <w:rFonts w:ascii="Arial" w:eastAsia="宋体" w:hAnsi="Arial" w:cs="Arial"/>
                <w:color w:val="000000"/>
                <w:sz w:val="18"/>
                <w:szCs w:val="18"/>
              </w:rPr>
              <w:t>/s/ Steve Priest</w:t>
            </w:r>
          </w:p>
        </w:tc>
      </w:tr>
      <w:tr w:rsidR="002661BA" w14:paraId="22CFE39A" w14:textId="77777777">
        <w:tc>
          <w:tcPr>
            <w:tcW w:w="0" w:type="auto"/>
            <w:gridSpan w:val="3"/>
            <w:shd w:val="clear" w:color="auto" w:fill="auto"/>
            <w:tcMar>
              <w:top w:w="0" w:type="dxa"/>
              <w:left w:w="20" w:type="dxa"/>
              <w:bottom w:w="0" w:type="dxa"/>
              <w:right w:w="20" w:type="dxa"/>
            </w:tcMar>
            <w:vAlign w:val="bottom"/>
          </w:tcPr>
          <w:p w14:paraId="22CFE395"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E396" w14:textId="77777777" w:rsidR="002661BA" w:rsidRDefault="00D972BC">
            <w:pPr>
              <w:jc w:val="center"/>
              <w:textAlignment w:val="bottom"/>
            </w:pPr>
            <w:r>
              <w:rPr>
                <w:rFonts w:ascii="Arial" w:eastAsia="宋体" w:hAnsi="Arial" w:cs="Arial"/>
                <w:b/>
                <w:bCs/>
                <w:color w:val="000000"/>
                <w:sz w:val="18"/>
                <w:szCs w:val="18"/>
              </w:rPr>
              <w:t>Jamie Iannone</w:t>
            </w:r>
          </w:p>
        </w:tc>
        <w:tc>
          <w:tcPr>
            <w:tcW w:w="0" w:type="auto"/>
            <w:gridSpan w:val="3"/>
            <w:shd w:val="clear" w:color="auto" w:fill="auto"/>
            <w:tcMar>
              <w:top w:w="0" w:type="dxa"/>
              <w:left w:w="20" w:type="dxa"/>
              <w:bottom w:w="0" w:type="dxa"/>
              <w:right w:w="20" w:type="dxa"/>
            </w:tcMar>
            <w:vAlign w:val="bottom"/>
          </w:tcPr>
          <w:p w14:paraId="22CFE39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98"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E399" w14:textId="77777777" w:rsidR="002661BA" w:rsidRDefault="00D972BC">
            <w:pPr>
              <w:jc w:val="center"/>
              <w:textAlignment w:val="bottom"/>
            </w:pPr>
            <w:r>
              <w:rPr>
                <w:rFonts w:ascii="Arial" w:eastAsia="宋体" w:hAnsi="Arial" w:cs="Arial"/>
                <w:b/>
                <w:bCs/>
                <w:color w:val="000000"/>
                <w:sz w:val="18"/>
                <w:szCs w:val="18"/>
              </w:rPr>
              <w:t>Steve Priest</w:t>
            </w:r>
          </w:p>
        </w:tc>
      </w:tr>
      <w:tr w:rsidR="002661BA" w14:paraId="22CFE3A0" w14:textId="77777777">
        <w:tc>
          <w:tcPr>
            <w:tcW w:w="0" w:type="auto"/>
            <w:gridSpan w:val="3"/>
            <w:shd w:val="clear" w:color="auto" w:fill="auto"/>
            <w:tcMar>
              <w:top w:w="0" w:type="dxa"/>
              <w:left w:w="20" w:type="dxa"/>
              <w:bottom w:w="0" w:type="dxa"/>
              <w:right w:w="20" w:type="dxa"/>
            </w:tcMar>
            <w:vAlign w:val="bottom"/>
          </w:tcPr>
          <w:p w14:paraId="22CFE39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39C" w14:textId="77777777" w:rsidR="002661BA" w:rsidRDefault="00D972BC">
            <w:pPr>
              <w:jc w:val="center"/>
              <w:textAlignment w:val="bottom"/>
            </w:pPr>
            <w:r>
              <w:rPr>
                <w:rFonts w:ascii="Arial" w:eastAsia="宋体" w:hAnsi="Arial" w:cs="Arial"/>
                <w:b/>
                <w:bCs/>
                <w:color w:val="000000"/>
                <w:sz w:val="18"/>
                <w:szCs w:val="18"/>
              </w:rPr>
              <w:t>Chief Executive Officer</w:t>
            </w:r>
          </w:p>
        </w:tc>
        <w:tc>
          <w:tcPr>
            <w:tcW w:w="0" w:type="auto"/>
            <w:gridSpan w:val="3"/>
            <w:shd w:val="clear" w:color="auto" w:fill="auto"/>
            <w:tcMar>
              <w:top w:w="0" w:type="dxa"/>
              <w:left w:w="20" w:type="dxa"/>
              <w:bottom w:w="0" w:type="dxa"/>
              <w:right w:w="20" w:type="dxa"/>
            </w:tcMar>
            <w:vAlign w:val="bottom"/>
          </w:tcPr>
          <w:p w14:paraId="22CFE39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9E"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39F" w14:textId="77777777" w:rsidR="002661BA" w:rsidRDefault="00D972BC">
            <w:pPr>
              <w:jc w:val="center"/>
              <w:textAlignment w:val="bottom"/>
            </w:pPr>
            <w:r>
              <w:rPr>
                <w:rFonts w:ascii="Arial" w:eastAsia="宋体" w:hAnsi="Arial" w:cs="Arial"/>
                <w:b/>
                <w:bCs/>
                <w:color w:val="000000"/>
                <w:sz w:val="18"/>
                <w:szCs w:val="18"/>
              </w:rPr>
              <w:t>Chief Financial Officer</w:t>
            </w:r>
          </w:p>
        </w:tc>
      </w:tr>
      <w:tr w:rsidR="002661BA" w14:paraId="22CFE3A6" w14:textId="77777777">
        <w:trPr>
          <w:trHeight w:val="280"/>
        </w:trPr>
        <w:tc>
          <w:tcPr>
            <w:tcW w:w="0" w:type="auto"/>
            <w:gridSpan w:val="3"/>
            <w:shd w:val="clear" w:color="auto" w:fill="auto"/>
            <w:tcMar>
              <w:top w:w="0" w:type="dxa"/>
              <w:left w:w="20" w:type="dxa"/>
              <w:bottom w:w="0" w:type="dxa"/>
              <w:right w:w="20" w:type="dxa"/>
            </w:tcMar>
            <w:vAlign w:val="bottom"/>
          </w:tcPr>
          <w:p w14:paraId="22CFE3A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A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A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A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A5" w14:textId="77777777" w:rsidR="002661BA" w:rsidRDefault="002661BA">
            <w:pPr>
              <w:rPr>
                <w:rFonts w:ascii="宋体"/>
              </w:rPr>
            </w:pPr>
          </w:p>
        </w:tc>
      </w:tr>
      <w:tr w:rsidR="002661BA" w14:paraId="22CFE3AB" w14:textId="77777777">
        <w:tc>
          <w:tcPr>
            <w:tcW w:w="0" w:type="auto"/>
            <w:gridSpan w:val="3"/>
            <w:shd w:val="clear" w:color="auto" w:fill="auto"/>
            <w:tcMar>
              <w:top w:w="0" w:type="dxa"/>
              <w:left w:w="20" w:type="dxa"/>
              <w:bottom w:w="0" w:type="dxa"/>
              <w:right w:w="20" w:type="dxa"/>
            </w:tcMar>
            <w:vAlign w:val="bottom"/>
          </w:tcPr>
          <w:p w14:paraId="22CFE3A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A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A9" w14:textId="77777777" w:rsidR="002661BA" w:rsidRDefault="002661BA">
            <w:pPr>
              <w:rPr>
                <w:rFonts w:ascii="宋体"/>
              </w:rPr>
            </w:pPr>
          </w:p>
        </w:tc>
        <w:tc>
          <w:tcPr>
            <w:tcW w:w="0" w:type="auto"/>
            <w:gridSpan w:val="6"/>
            <w:shd w:val="clear" w:color="auto" w:fill="auto"/>
            <w:tcMar>
              <w:top w:w="40" w:type="dxa"/>
              <w:left w:w="20" w:type="dxa"/>
              <w:bottom w:w="40" w:type="dxa"/>
              <w:right w:w="20" w:type="dxa"/>
            </w:tcMar>
            <w:vAlign w:val="bottom"/>
          </w:tcPr>
          <w:p w14:paraId="22CFE3AA" w14:textId="77777777" w:rsidR="002661BA" w:rsidRDefault="00D972BC">
            <w:pPr>
              <w:textAlignment w:val="bottom"/>
            </w:pPr>
            <w:r>
              <w:rPr>
                <w:rFonts w:ascii="Arial" w:eastAsia="宋体" w:hAnsi="Arial" w:cs="Arial"/>
                <w:b/>
                <w:bCs/>
                <w:color w:val="000000"/>
                <w:sz w:val="18"/>
                <w:szCs w:val="18"/>
              </w:rPr>
              <w:t>Principal Accounting Officer:</w:t>
            </w:r>
          </w:p>
        </w:tc>
      </w:tr>
      <w:tr w:rsidR="002661BA" w14:paraId="22CFE3B1" w14:textId="77777777">
        <w:trPr>
          <w:trHeight w:val="280"/>
        </w:trPr>
        <w:tc>
          <w:tcPr>
            <w:tcW w:w="0" w:type="auto"/>
            <w:gridSpan w:val="3"/>
            <w:shd w:val="clear" w:color="auto" w:fill="auto"/>
            <w:tcMar>
              <w:top w:w="0" w:type="dxa"/>
              <w:left w:w="20" w:type="dxa"/>
              <w:bottom w:w="0" w:type="dxa"/>
              <w:right w:w="20" w:type="dxa"/>
            </w:tcMar>
            <w:vAlign w:val="bottom"/>
          </w:tcPr>
          <w:p w14:paraId="22CFE3A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A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A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A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B0" w14:textId="77777777" w:rsidR="002661BA" w:rsidRDefault="002661BA">
            <w:pPr>
              <w:rPr>
                <w:rFonts w:ascii="宋体"/>
              </w:rPr>
            </w:pPr>
          </w:p>
        </w:tc>
      </w:tr>
      <w:tr w:rsidR="002661BA" w14:paraId="22CFE3B7" w14:textId="77777777">
        <w:tc>
          <w:tcPr>
            <w:tcW w:w="0" w:type="auto"/>
            <w:gridSpan w:val="3"/>
            <w:shd w:val="clear" w:color="auto" w:fill="auto"/>
            <w:tcMar>
              <w:top w:w="0" w:type="dxa"/>
              <w:left w:w="20" w:type="dxa"/>
              <w:bottom w:w="0" w:type="dxa"/>
              <w:right w:w="20" w:type="dxa"/>
            </w:tcMar>
            <w:vAlign w:val="bottom"/>
          </w:tcPr>
          <w:p w14:paraId="22CFE3B2"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B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B4"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3B5" w14:textId="77777777" w:rsidR="002661BA" w:rsidRDefault="00D972BC">
            <w:pPr>
              <w:textAlignment w:val="bottom"/>
            </w:pPr>
            <w:r>
              <w:rPr>
                <w:rFonts w:ascii="Arial" w:eastAsia="宋体" w:hAnsi="Arial" w:cs="Arial"/>
                <w:color w:val="000000"/>
                <w:sz w:val="18"/>
                <w:szCs w:val="18"/>
              </w:rPr>
              <w:t>By:</w:t>
            </w:r>
          </w:p>
        </w:tc>
        <w:tc>
          <w:tcPr>
            <w:tcW w:w="0" w:type="auto"/>
            <w:gridSpan w:val="3"/>
            <w:shd w:val="clear" w:color="auto" w:fill="auto"/>
            <w:tcMar>
              <w:top w:w="40" w:type="dxa"/>
              <w:left w:w="20" w:type="dxa"/>
              <w:bottom w:w="40" w:type="dxa"/>
              <w:right w:w="20" w:type="dxa"/>
            </w:tcMar>
            <w:vAlign w:val="bottom"/>
          </w:tcPr>
          <w:p w14:paraId="22CFE3B6" w14:textId="77777777" w:rsidR="002661BA" w:rsidRDefault="00D972BC">
            <w:pPr>
              <w:textAlignment w:val="bottom"/>
            </w:pPr>
            <w:r>
              <w:rPr>
                <w:rFonts w:ascii="Arial" w:eastAsia="宋体" w:hAnsi="Arial" w:cs="Arial"/>
                <w:color w:val="000000"/>
                <w:sz w:val="18"/>
                <w:szCs w:val="18"/>
              </w:rPr>
              <w:t>/s/ Brian J. Doerger</w:t>
            </w:r>
          </w:p>
        </w:tc>
      </w:tr>
      <w:tr w:rsidR="002661BA" w14:paraId="22CFE3BD" w14:textId="77777777">
        <w:tc>
          <w:tcPr>
            <w:tcW w:w="0" w:type="auto"/>
            <w:gridSpan w:val="3"/>
            <w:shd w:val="clear" w:color="auto" w:fill="auto"/>
            <w:tcMar>
              <w:top w:w="0" w:type="dxa"/>
              <w:left w:w="20" w:type="dxa"/>
              <w:bottom w:w="0" w:type="dxa"/>
              <w:right w:w="20" w:type="dxa"/>
            </w:tcMar>
            <w:vAlign w:val="bottom"/>
          </w:tcPr>
          <w:p w14:paraId="22CFE3B8"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B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BA"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BB"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E3BC" w14:textId="77777777" w:rsidR="002661BA" w:rsidRDefault="00D972BC">
            <w:pPr>
              <w:jc w:val="center"/>
              <w:textAlignment w:val="bottom"/>
            </w:pPr>
            <w:r>
              <w:rPr>
                <w:rFonts w:ascii="Arial" w:eastAsia="宋体" w:hAnsi="Arial" w:cs="Arial"/>
                <w:b/>
                <w:bCs/>
                <w:color w:val="000000"/>
                <w:sz w:val="18"/>
                <w:szCs w:val="18"/>
              </w:rPr>
              <w:t>Brian J. Doerger</w:t>
            </w:r>
          </w:p>
        </w:tc>
      </w:tr>
      <w:tr w:rsidR="002661BA" w14:paraId="22CFE3C3" w14:textId="77777777">
        <w:tc>
          <w:tcPr>
            <w:tcW w:w="0" w:type="auto"/>
            <w:gridSpan w:val="3"/>
            <w:shd w:val="clear" w:color="auto" w:fill="auto"/>
            <w:tcMar>
              <w:top w:w="0" w:type="dxa"/>
              <w:left w:w="20" w:type="dxa"/>
              <w:bottom w:w="0" w:type="dxa"/>
              <w:right w:w="20" w:type="dxa"/>
            </w:tcMar>
            <w:vAlign w:val="bottom"/>
          </w:tcPr>
          <w:p w14:paraId="22CFE3B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B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C0"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C1"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3C2" w14:textId="77777777" w:rsidR="002661BA" w:rsidRDefault="00D972BC">
            <w:pPr>
              <w:jc w:val="center"/>
              <w:textAlignment w:val="bottom"/>
            </w:pPr>
            <w:r>
              <w:rPr>
                <w:rFonts w:ascii="Arial" w:eastAsia="宋体" w:hAnsi="Arial" w:cs="Arial"/>
                <w:b/>
                <w:bCs/>
                <w:color w:val="000000"/>
                <w:sz w:val="18"/>
                <w:szCs w:val="18"/>
              </w:rPr>
              <w:t>Vice President, Chief Accounting Officer</w:t>
            </w:r>
          </w:p>
        </w:tc>
      </w:tr>
    </w:tbl>
    <w:p w14:paraId="22CFE3C4" w14:textId="77777777" w:rsidR="002661BA" w:rsidRDefault="002661BA">
      <w:pPr>
        <w:spacing w:before="100" w:after="100"/>
        <w:jc w:val="both"/>
      </w:pPr>
    </w:p>
    <w:p w14:paraId="22CFE3C5" w14:textId="77777777" w:rsidR="002661BA" w:rsidRDefault="00D972BC">
      <w:pPr>
        <w:jc w:val="center"/>
      </w:pPr>
      <w:r>
        <w:rPr>
          <w:rFonts w:ascii="Arial" w:eastAsia="宋体" w:hAnsi="Arial" w:cs="Arial"/>
          <w:color w:val="000000"/>
          <w:sz w:val="18"/>
          <w:szCs w:val="18"/>
        </w:rPr>
        <w:t>120</w:t>
      </w:r>
    </w:p>
    <w:p w14:paraId="22CFE3C6" w14:textId="77777777" w:rsidR="002661BA" w:rsidRDefault="00D972BC">
      <w:r>
        <w:pict w14:anchorId="22CFE529">
          <v:rect id="_x0000_i1144" style="width:415.3pt;height:1.5pt" o:hralign="center" o:hrstd="t" o:hr="t" fillcolor="#a0a0a0" stroked="f"/>
        </w:pict>
      </w:r>
    </w:p>
    <w:p w14:paraId="22CFE3C7" w14:textId="77777777" w:rsidR="002661BA" w:rsidRDefault="00D972BC">
      <w:hyperlink r:id="rId241" w:anchor="id0d7a71b05ce452ea9fdb54f3cb359c7_7" w:history="1">
        <w:r>
          <w:rPr>
            <w:rStyle w:val="a5"/>
            <w:rFonts w:ascii="Arial" w:eastAsia="宋体" w:hAnsi="Arial" w:cs="Arial"/>
            <w:sz w:val="18"/>
            <w:szCs w:val="18"/>
          </w:rPr>
          <w:t>Table of Contents</w:t>
        </w:r>
      </w:hyperlink>
    </w:p>
    <w:p w14:paraId="22CFE3C8" w14:textId="77777777" w:rsidR="002661BA" w:rsidRDefault="00D972BC">
      <w:pPr>
        <w:spacing w:after="120"/>
        <w:jc w:val="both"/>
      </w:pPr>
      <w:r>
        <w:rPr>
          <w:rFonts w:ascii="Arial" w:eastAsia="宋体" w:hAnsi="Arial" w:cs="Arial"/>
          <w:b/>
          <w:bCs/>
          <w:color w:val="000000"/>
          <w:sz w:val="18"/>
          <w:szCs w:val="18"/>
        </w:rPr>
        <w:t>Additional Directors</w:t>
      </w:r>
    </w:p>
    <w:tbl>
      <w:tblPr>
        <w:tblW w:w="5000" w:type="pct"/>
        <w:tblCellMar>
          <w:top w:w="15" w:type="dxa"/>
          <w:left w:w="15" w:type="dxa"/>
          <w:bottom w:w="15" w:type="dxa"/>
          <w:right w:w="15" w:type="dxa"/>
        </w:tblCellMar>
        <w:tblLook w:val="04A0" w:firstRow="1" w:lastRow="0" w:firstColumn="1" w:lastColumn="0" w:noHBand="0" w:noVBand="1"/>
      </w:tblPr>
      <w:tblGrid>
        <w:gridCol w:w="69"/>
        <w:gridCol w:w="296"/>
        <w:gridCol w:w="36"/>
        <w:gridCol w:w="69"/>
        <w:gridCol w:w="3245"/>
        <w:gridCol w:w="37"/>
        <w:gridCol w:w="69"/>
        <w:gridCol w:w="723"/>
        <w:gridCol w:w="36"/>
        <w:gridCol w:w="70"/>
        <w:gridCol w:w="297"/>
        <w:gridCol w:w="36"/>
        <w:gridCol w:w="70"/>
        <w:gridCol w:w="3246"/>
        <w:gridCol w:w="37"/>
      </w:tblGrid>
      <w:tr w:rsidR="002661BA" w14:paraId="22CFE3D8" w14:textId="77777777">
        <w:tc>
          <w:tcPr>
            <w:tcW w:w="50" w:type="pct"/>
            <w:shd w:val="clear" w:color="auto" w:fill="auto"/>
            <w:vAlign w:val="bottom"/>
          </w:tcPr>
          <w:p w14:paraId="22CFE3C9" w14:textId="77777777" w:rsidR="002661BA" w:rsidRDefault="002661BA">
            <w:pPr>
              <w:rPr>
                <w:rFonts w:ascii="宋体"/>
              </w:rPr>
            </w:pPr>
          </w:p>
        </w:tc>
        <w:tc>
          <w:tcPr>
            <w:tcW w:w="186" w:type="pct"/>
            <w:shd w:val="clear" w:color="auto" w:fill="auto"/>
            <w:vAlign w:val="bottom"/>
          </w:tcPr>
          <w:p w14:paraId="22CFE3CA" w14:textId="77777777" w:rsidR="002661BA" w:rsidRDefault="002661BA">
            <w:pPr>
              <w:rPr>
                <w:rFonts w:ascii="宋体"/>
              </w:rPr>
            </w:pPr>
          </w:p>
        </w:tc>
        <w:tc>
          <w:tcPr>
            <w:tcW w:w="5" w:type="pct"/>
            <w:shd w:val="clear" w:color="auto" w:fill="auto"/>
            <w:vAlign w:val="bottom"/>
          </w:tcPr>
          <w:p w14:paraId="22CFE3CB" w14:textId="77777777" w:rsidR="002661BA" w:rsidRDefault="002661BA">
            <w:pPr>
              <w:rPr>
                <w:rFonts w:ascii="宋体"/>
              </w:rPr>
            </w:pPr>
          </w:p>
        </w:tc>
        <w:tc>
          <w:tcPr>
            <w:tcW w:w="50" w:type="pct"/>
            <w:shd w:val="clear" w:color="auto" w:fill="auto"/>
            <w:vAlign w:val="bottom"/>
          </w:tcPr>
          <w:p w14:paraId="22CFE3CC" w14:textId="77777777" w:rsidR="002661BA" w:rsidRDefault="002661BA">
            <w:pPr>
              <w:rPr>
                <w:rFonts w:ascii="宋体"/>
              </w:rPr>
            </w:pPr>
          </w:p>
        </w:tc>
        <w:tc>
          <w:tcPr>
            <w:tcW w:w="1955" w:type="pct"/>
            <w:shd w:val="clear" w:color="auto" w:fill="auto"/>
            <w:vAlign w:val="bottom"/>
          </w:tcPr>
          <w:p w14:paraId="22CFE3CD" w14:textId="77777777" w:rsidR="002661BA" w:rsidRDefault="002661BA">
            <w:pPr>
              <w:rPr>
                <w:rFonts w:ascii="宋体"/>
              </w:rPr>
            </w:pPr>
          </w:p>
        </w:tc>
        <w:tc>
          <w:tcPr>
            <w:tcW w:w="5" w:type="pct"/>
            <w:shd w:val="clear" w:color="auto" w:fill="auto"/>
            <w:vAlign w:val="bottom"/>
          </w:tcPr>
          <w:p w14:paraId="22CFE3CE" w14:textId="77777777" w:rsidR="002661BA" w:rsidRDefault="002661BA">
            <w:pPr>
              <w:rPr>
                <w:rFonts w:ascii="宋体"/>
              </w:rPr>
            </w:pPr>
          </w:p>
        </w:tc>
        <w:tc>
          <w:tcPr>
            <w:tcW w:w="50" w:type="pct"/>
            <w:shd w:val="clear" w:color="auto" w:fill="auto"/>
            <w:vAlign w:val="bottom"/>
          </w:tcPr>
          <w:p w14:paraId="22CFE3CF" w14:textId="77777777" w:rsidR="002661BA" w:rsidRDefault="002661BA">
            <w:pPr>
              <w:rPr>
                <w:rFonts w:ascii="宋体"/>
              </w:rPr>
            </w:pPr>
          </w:p>
        </w:tc>
        <w:tc>
          <w:tcPr>
            <w:tcW w:w="442" w:type="pct"/>
            <w:shd w:val="clear" w:color="auto" w:fill="auto"/>
            <w:vAlign w:val="bottom"/>
          </w:tcPr>
          <w:p w14:paraId="22CFE3D0" w14:textId="77777777" w:rsidR="002661BA" w:rsidRDefault="002661BA">
            <w:pPr>
              <w:rPr>
                <w:rFonts w:ascii="宋体"/>
              </w:rPr>
            </w:pPr>
          </w:p>
        </w:tc>
        <w:tc>
          <w:tcPr>
            <w:tcW w:w="5" w:type="pct"/>
            <w:shd w:val="clear" w:color="auto" w:fill="auto"/>
            <w:vAlign w:val="bottom"/>
          </w:tcPr>
          <w:p w14:paraId="22CFE3D1" w14:textId="77777777" w:rsidR="002661BA" w:rsidRDefault="002661BA">
            <w:pPr>
              <w:rPr>
                <w:rFonts w:ascii="宋体"/>
              </w:rPr>
            </w:pPr>
          </w:p>
        </w:tc>
        <w:tc>
          <w:tcPr>
            <w:tcW w:w="50" w:type="pct"/>
            <w:shd w:val="clear" w:color="auto" w:fill="auto"/>
            <w:vAlign w:val="bottom"/>
          </w:tcPr>
          <w:p w14:paraId="22CFE3D2" w14:textId="77777777" w:rsidR="002661BA" w:rsidRDefault="002661BA">
            <w:pPr>
              <w:rPr>
                <w:rFonts w:ascii="宋体"/>
              </w:rPr>
            </w:pPr>
          </w:p>
        </w:tc>
        <w:tc>
          <w:tcPr>
            <w:tcW w:w="186" w:type="pct"/>
            <w:shd w:val="clear" w:color="auto" w:fill="auto"/>
            <w:vAlign w:val="bottom"/>
          </w:tcPr>
          <w:p w14:paraId="22CFE3D3" w14:textId="77777777" w:rsidR="002661BA" w:rsidRDefault="002661BA">
            <w:pPr>
              <w:rPr>
                <w:rFonts w:ascii="宋体"/>
              </w:rPr>
            </w:pPr>
          </w:p>
        </w:tc>
        <w:tc>
          <w:tcPr>
            <w:tcW w:w="5" w:type="pct"/>
            <w:shd w:val="clear" w:color="auto" w:fill="auto"/>
            <w:vAlign w:val="bottom"/>
          </w:tcPr>
          <w:p w14:paraId="22CFE3D4" w14:textId="77777777" w:rsidR="002661BA" w:rsidRDefault="002661BA">
            <w:pPr>
              <w:rPr>
                <w:rFonts w:ascii="宋体"/>
              </w:rPr>
            </w:pPr>
          </w:p>
        </w:tc>
        <w:tc>
          <w:tcPr>
            <w:tcW w:w="50" w:type="pct"/>
            <w:shd w:val="clear" w:color="auto" w:fill="auto"/>
            <w:vAlign w:val="bottom"/>
          </w:tcPr>
          <w:p w14:paraId="22CFE3D5" w14:textId="77777777" w:rsidR="002661BA" w:rsidRDefault="002661BA">
            <w:pPr>
              <w:rPr>
                <w:rFonts w:ascii="宋体"/>
              </w:rPr>
            </w:pPr>
          </w:p>
        </w:tc>
        <w:tc>
          <w:tcPr>
            <w:tcW w:w="1955" w:type="pct"/>
            <w:shd w:val="clear" w:color="auto" w:fill="auto"/>
            <w:vAlign w:val="bottom"/>
          </w:tcPr>
          <w:p w14:paraId="22CFE3D6" w14:textId="77777777" w:rsidR="002661BA" w:rsidRDefault="002661BA">
            <w:pPr>
              <w:rPr>
                <w:rFonts w:ascii="宋体"/>
              </w:rPr>
            </w:pPr>
          </w:p>
        </w:tc>
        <w:tc>
          <w:tcPr>
            <w:tcW w:w="5" w:type="pct"/>
            <w:shd w:val="clear" w:color="auto" w:fill="auto"/>
            <w:vAlign w:val="bottom"/>
          </w:tcPr>
          <w:p w14:paraId="22CFE3D7" w14:textId="77777777" w:rsidR="002661BA" w:rsidRDefault="002661BA">
            <w:pPr>
              <w:rPr>
                <w:rFonts w:ascii="宋体"/>
              </w:rPr>
            </w:pPr>
          </w:p>
        </w:tc>
      </w:tr>
      <w:tr w:rsidR="002661BA" w14:paraId="22CFE3DE" w14:textId="77777777">
        <w:tc>
          <w:tcPr>
            <w:tcW w:w="0" w:type="auto"/>
            <w:gridSpan w:val="3"/>
            <w:shd w:val="clear" w:color="auto" w:fill="auto"/>
            <w:tcMar>
              <w:top w:w="40" w:type="dxa"/>
              <w:left w:w="20" w:type="dxa"/>
              <w:bottom w:w="40" w:type="dxa"/>
              <w:right w:w="20" w:type="dxa"/>
            </w:tcMar>
            <w:vAlign w:val="bottom"/>
          </w:tcPr>
          <w:p w14:paraId="22CFE3D9" w14:textId="77777777" w:rsidR="002661BA" w:rsidRDefault="00D972BC">
            <w:pPr>
              <w:textAlignment w:val="bottom"/>
            </w:pPr>
            <w:r>
              <w:rPr>
                <w:rFonts w:ascii="Arial" w:eastAsia="宋体" w:hAnsi="Arial" w:cs="Arial"/>
                <w:color w:val="000000"/>
                <w:sz w:val="18"/>
                <w:szCs w:val="18"/>
              </w:rPr>
              <w:t>By:</w:t>
            </w:r>
          </w:p>
        </w:tc>
        <w:tc>
          <w:tcPr>
            <w:tcW w:w="0" w:type="auto"/>
            <w:gridSpan w:val="3"/>
            <w:shd w:val="clear" w:color="auto" w:fill="auto"/>
            <w:tcMar>
              <w:top w:w="40" w:type="dxa"/>
              <w:left w:w="20" w:type="dxa"/>
              <w:bottom w:w="40" w:type="dxa"/>
              <w:right w:w="20" w:type="dxa"/>
            </w:tcMar>
            <w:vAlign w:val="bottom"/>
          </w:tcPr>
          <w:p w14:paraId="22CFE3DA" w14:textId="77777777" w:rsidR="002661BA" w:rsidRDefault="00D972BC">
            <w:pPr>
              <w:textAlignment w:val="bottom"/>
            </w:pPr>
            <w:r>
              <w:rPr>
                <w:rFonts w:ascii="Arial" w:eastAsia="宋体" w:hAnsi="Arial" w:cs="Arial"/>
                <w:color w:val="000000"/>
                <w:sz w:val="18"/>
                <w:szCs w:val="18"/>
              </w:rPr>
              <w:t>/s/ Paul S. Pressler</w:t>
            </w:r>
          </w:p>
        </w:tc>
        <w:tc>
          <w:tcPr>
            <w:tcW w:w="0" w:type="auto"/>
            <w:gridSpan w:val="3"/>
            <w:shd w:val="clear" w:color="auto" w:fill="auto"/>
            <w:tcMar>
              <w:top w:w="0" w:type="dxa"/>
              <w:left w:w="20" w:type="dxa"/>
              <w:bottom w:w="0" w:type="dxa"/>
              <w:right w:w="20" w:type="dxa"/>
            </w:tcMar>
            <w:vAlign w:val="bottom"/>
          </w:tcPr>
          <w:p w14:paraId="22CFE3D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3DC" w14:textId="77777777" w:rsidR="002661BA" w:rsidRDefault="00D972BC">
            <w:pPr>
              <w:textAlignment w:val="bottom"/>
            </w:pPr>
            <w:r>
              <w:rPr>
                <w:rFonts w:ascii="Arial" w:eastAsia="宋体" w:hAnsi="Arial" w:cs="Arial"/>
                <w:color w:val="000000"/>
                <w:sz w:val="18"/>
                <w:szCs w:val="18"/>
              </w:rPr>
              <w:t>By:</w:t>
            </w:r>
          </w:p>
        </w:tc>
        <w:tc>
          <w:tcPr>
            <w:tcW w:w="0" w:type="auto"/>
            <w:gridSpan w:val="3"/>
            <w:shd w:val="clear" w:color="auto" w:fill="auto"/>
            <w:tcMar>
              <w:top w:w="40" w:type="dxa"/>
              <w:left w:w="20" w:type="dxa"/>
              <w:bottom w:w="40" w:type="dxa"/>
              <w:right w:w="20" w:type="dxa"/>
            </w:tcMar>
            <w:vAlign w:val="bottom"/>
          </w:tcPr>
          <w:p w14:paraId="22CFE3DD" w14:textId="77777777" w:rsidR="002661BA" w:rsidRDefault="00D972BC">
            <w:pPr>
              <w:textAlignment w:val="bottom"/>
            </w:pPr>
            <w:r>
              <w:rPr>
                <w:rFonts w:ascii="Arial" w:eastAsia="宋体" w:hAnsi="Arial" w:cs="Arial"/>
                <w:color w:val="000000"/>
                <w:sz w:val="18"/>
                <w:szCs w:val="18"/>
              </w:rPr>
              <w:t xml:space="preserve">/s/ Anthony J. </w:t>
            </w:r>
            <w:r>
              <w:rPr>
                <w:rFonts w:ascii="Arial" w:eastAsia="宋体" w:hAnsi="Arial" w:cs="Arial"/>
                <w:color w:val="000000"/>
                <w:sz w:val="18"/>
                <w:szCs w:val="18"/>
              </w:rPr>
              <w:t>Bates</w:t>
            </w:r>
          </w:p>
        </w:tc>
      </w:tr>
      <w:tr w:rsidR="002661BA" w14:paraId="22CFE3E4" w14:textId="77777777">
        <w:tc>
          <w:tcPr>
            <w:tcW w:w="0" w:type="auto"/>
            <w:gridSpan w:val="3"/>
            <w:shd w:val="clear" w:color="auto" w:fill="auto"/>
            <w:tcMar>
              <w:top w:w="0" w:type="dxa"/>
              <w:left w:w="20" w:type="dxa"/>
              <w:bottom w:w="0" w:type="dxa"/>
              <w:right w:w="20" w:type="dxa"/>
            </w:tcMar>
            <w:vAlign w:val="bottom"/>
          </w:tcPr>
          <w:p w14:paraId="22CFE3DF"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E3E0" w14:textId="77777777" w:rsidR="002661BA" w:rsidRDefault="00D972BC">
            <w:pPr>
              <w:jc w:val="center"/>
              <w:textAlignment w:val="bottom"/>
            </w:pPr>
            <w:r>
              <w:rPr>
                <w:rFonts w:ascii="Arial" w:eastAsia="宋体" w:hAnsi="Arial" w:cs="Arial"/>
                <w:b/>
                <w:bCs/>
                <w:color w:val="000000"/>
                <w:sz w:val="18"/>
                <w:szCs w:val="18"/>
              </w:rPr>
              <w:t>Paul S. Pressler</w:t>
            </w:r>
          </w:p>
        </w:tc>
        <w:tc>
          <w:tcPr>
            <w:tcW w:w="0" w:type="auto"/>
            <w:gridSpan w:val="3"/>
            <w:shd w:val="clear" w:color="auto" w:fill="auto"/>
            <w:tcMar>
              <w:top w:w="0" w:type="dxa"/>
              <w:left w:w="20" w:type="dxa"/>
              <w:bottom w:w="0" w:type="dxa"/>
              <w:right w:w="20" w:type="dxa"/>
            </w:tcMar>
            <w:vAlign w:val="bottom"/>
          </w:tcPr>
          <w:p w14:paraId="22CFE3E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E2"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E3E3" w14:textId="77777777" w:rsidR="002661BA" w:rsidRDefault="00D972BC">
            <w:pPr>
              <w:jc w:val="center"/>
              <w:textAlignment w:val="bottom"/>
            </w:pPr>
            <w:r>
              <w:rPr>
                <w:rFonts w:ascii="Arial" w:eastAsia="宋体" w:hAnsi="Arial" w:cs="Arial"/>
                <w:b/>
                <w:bCs/>
                <w:color w:val="000000"/>
                <w:sz w:val="18"/>
                <w:szCs w:val="18"/>
              </w:rPr>
              <w:t>Anthony J. Bates</w:t>
            </w:r>
          </w:p>
        </w:tc>
      </w:tr>
      <w:tr w:rsidR="002661BA" w14:paraId="22CFE3EA" w14:textId="77777777">
        <w:tc>
          <w:tcPr>
            <w:tcW w:w="0" w:type="auto"/>
            <w:gridSpan w:val="3"/>
            <w:shd w:val="clear" w:color="auto" w:fill="auto"/>
            <w:tcMar>
              <w:top w:w="0" w:type="dxa"/>
              <w:left w:w="20" w:type="dxa"/>
              <w:bottom w:w="0" w:type="dxa"/>
              <w:right w:w="20" w:type="dxa"/>
            </w:tcMar>
            <w:vAlign w:val="bottom"/>
          </w:tcPr>
          <w:p w14:paraId="22CFE3E5"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3E6" w14:textId="77777777" w:rsidR="002661BA" w:rsidRDefault="00D972BC">
            <w:pPr>
              <w:jc w:val="center"/>
              <w:textAlignment w:val="bottom"/>
            </w:pPr>
            <w:r>
              <w:rPr>
                <w:rFonts w:ascii="Arial" w:eastAsia="宋体" w:hAnsi="Arial" w:cs="Arial"/>
                <w:b/>
                <w:bCs/>
                <w:color w:val="000000"/>
                <w:sz w:val="18"/>
                <w:szCs w:val="18"/>
              </w:rPr>
              <w:t>Chairman of the Board and Director</w:t>
            </w:r>
          </w:p>
        </w:tc>
        <w:tc>
          <w:tcPr>
            <w:tcW w:w="0" w:type="auto"/>
            <w:gridSpan w:val="3"/>
            <w:shd w:val="clear" w:color="auto" w:fill="auto"/>
            <w:tcMar>
              <w:top w:w="0" w:type="dxa"/>
              <w:left w:w="20" w:type="dxa"/>
              <w:bottom w:w="0" w:type="dxa"/>
              <w:right w:w="20" w:type="dxa"/>
            </w:tcMar>
            <w:vAlign w:val="bottom"/>
          </w:tcPr>
          <w:p w14:paraId="22CFE3E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E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3E9" w14:textId="77777777" w:rsidR="002661BA" w:rsidRDefault="00D972BC">
            <w:pPr>
              <w:jc w:val="center"/>
              <w:textAlignment w:val="bottom"/>
            </w:pPr>
            <w:r>
              <w:rPr>
                <w:rFonts w:ascii="Arial" w:eastAsia="宋体" w:hAnsi="Arial" w:cs="Arial"/>
                <w:b/>
                <w:bCs/>
                <w:color w:val="000000"/>
                <w:sz w:val="18"/>
                <w:szCs w:val="18"/>
              </w:rPr>
              <w:t>Director</w:t>
            </w:r>
          </w:p>
        </w:tc>
      </w:tr>
      <w:tr w:rsidR="002661BA" w14:paraId="22CFE3F0" w14:textId="77777777">
        <w:trPr>
          <w:trHeight w:val="180"/>
        </w:trPr>
        <w:tc>
          <w:tcPr>
            <w:tcW w:w="0" w:type="auto"/>
            <w:gridSpan w:val="3"/>
            <w:shd w:val="clear" w:color="auto" w:fill="auto"/>
            <w:tcMar>
              <w:top w:w="0" w:type="dxa"/>
              <w:left w:w="20" w:type="dxa"/>
              <w:bottom w:w="0" w:type="dxa"/>
              <w:right w:w="20" w:type="dxa"/>
            </w:tcMar>
            <w:vAlign w:val="bottom"/>
          </w:tcPr>
          <w:p w14:paraId="22CFE3E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E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E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E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EF" w14:textId="77777777" w:rsidR="002661BA" w:rsidRDefault="002661BA">
            <w:pPr>
              <w:rPr>
                <w:rFonts w:ascii="宋体"/>
              </w:rPr>
            </w:pPr>
          </w:p>
        </w:tc>
      </w:tr>
      <w:tr w:rsidR="002661BA" w14:paraId="22CFE3F6" w14:textId="77777777">
        <w:tc>
          <w:tcPr>
            <w:tcW w:w="0" w:type="auto"/>
            <w:gridSpan w:val="3"/>
            <w:shd w:val="clear" w:color="auto" w:fill="auto"/>
            <w:tcMar>
              <w:top w:w="40" w:type="dxa"/>
              <w:left w:w="20" w:type="dxa"/>
              <w:bottom w:w="40" w:type="dxa"/>
              <w:right w:w="20" w:type="dxa"/>
            </w:tcMar>
            <w:vAlign w:val="bottom"/>
          </w:tcPr>
          <w:p w14:paraId="22CFE3F1" w14:textId="77777777" w:rsidR="002661BA" w:rsidRDefault="00D972BC">
            <w:pPr>
              <w:textAlignment w:val="bottom"/>
            </w:pPr>
            <w:r>
              <w:rPr>
                <w:rFonts w:ascii="Arial" w:eastAsia="宋体" w:hAnsi="Arial" w:cs="Arial"/>
                <w:color w:val="000000"/>
                <w:sz w:val="18"/>
                <w:szCs w:val="18"/>
              </w:rPr>
              <w:t>By:</w:t>
            </w:r>
          </w:p>
        </w:tc>
        <w:tc>
          <w:tcPr>
            <w:tcW w:w="0" w:type="auto"/>
            <w:gridSpan w:val="3"/>
            <w:shd w:val="clear" w:color="auto" w:fill="auto"/>
            <w:tcMar>
              <w:top w:w="40" w:type="dxa"/>
              <w:left w:w="20" w:type="dxa"/>
              <w:bottom w:w="40" w:type="dxa"/>
              <w:right w:w="20" w:type="dxa"/>
            </w:tcMar>
            <w:vAlign w:val="bottom"/>
          </w:tcPr>
          <w:p w14:paraId="22CFE3F2" w14:textId="77777777" w:rsidR="002661BA" w:rsidRDefault="00D972BC">
            <w:pPr>
              <w:textAlignment w:val="bottom"/>
            </w:pPr>
            <w:r>
              <w:rPr>
                <w:rFonts w:ascii="Arial" w:eastAsia="宋体" w:hAnsi="Arial" w:cs="Arial"/>
                <w:color w:val="000000"/>
                <w:sz w:val="18"/>
                <w:szCs w:val="18"/>
              </w:rPr>
              <w:t>/s/ Adriane M. Brown</w:t>
            </w:r>
          </w:p>
        </w:tc>
        <w:tc>
          <w:tcPr>
            <w:tcW w:w="0" w:type="auto"/>
            <w:gridSpan w:val="3"/>
            <w:shd w:val="clear" w:color="auto" w:fill="auto"/>
            <w:tcMar>
              <w:top w:w="0" w:type="dxa"/>
              <w:left w:w="20" w:type="dxa"/>
              <w:bottom w:w="0" w:type="dxa"/>
              <w:right w:w="20" w:type="dxa"/>
            </w:tcMar>
            <w:vAlign w:val="bottom"/>
          </w:tcPr>
          <w:p w14:paraId="22CFE3F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3F4" w14:textId="77777777" w:rsidR="002661BA" w:rsidRDefault="00D972BC">
            <w:pPr>
              <w:textAlignment w:val="bottom"/>
            </w:pPr>
            <w:r>
              <w:rPr>
                <w:rFonts w:ascii="Arial" w:eastAsia="宋体" w:hAnsi="Arial" w:cs="Arial"/>
                <w:color w:val="000000"/>
                <w:sz w:val="18"/>
                <w:szCs w:val="18"/>
              </w:rPr>
              <w:t>By:</w:t>
            </w:r>
          </w:p>
        </w:tc>
        <w:tc>
          <w:tcPr>
            <w:tcW w:w="0" w:type="auto"/>
            <w:gridSpan w:val="3"/>
            <w:shd w:val="clear" w:color="auto" w:fill="auto"/>
            <w:tcMar>
              <w:top w:w="40" w:type="dxa"/>
              <w:left w:w="20" w:type="dxa"/>
              <w:bottom w:w="40" w:type="dxa"/>
              <w:right w:w="20" w:type="dxa"/>
            </w:tcMar>
            <w:vAlign w:val="bottom"/>
          </w:tcPr>
          <w:p w14:paraId="22CFE3F5" w14:textId="77777777" w:rsidR="002661BA" w:rsidRDefault="00D972BC">
            <w:pPr>
              <w:textAlignment w:val="bottom"/>
            </w:pPr>
            <w:r>
              <w:rPr>
                <w:rFonts w:ascii="Arial" w:eastAsia="宋体" w:hAnsi="Arial" w:cs="Arial"/>
                <w:color w:val="000000"/>
                <w:sz w:val="18"/>
                <w:szCs w:val="18"/>
              </w:rPr>
              <w:t>/s/ Diana Farrell</w:t>
            </w:r>
          </w:p>
        </w:tc>
      </w:tr>
      <w:tr w:rsidR="002661BA" w14:paraId="22CFE3FC" w14:textId="77777777">
        <w:tc>
          <w:tcPr>
            <w:tcW w:w="0" w:type="auto"/>
            <w:gridSpan w:val="3"/>
            <w:shd w:val="clear" w:color="auto" w:fill="auto"/>
            <w:tcMar>
              <w:top w:w="0" w:type="dxa"/>
              <w:left w:w="20" w:type="dxa"/>
              <w:bottom w:w="0" w:type="dxa"/>
              <w:right w:w="20" w:type="dxa"/>
            </w:tcMar>
            <w:vAlign w:val="bottom"/>
          </w:tcPr>
          <w:p w14:paraId="22CFE3F7"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E3F8" w14:textId="77777777" w:rsidR="002661BA" w:rsidRDefault="00D972BC">
            <w:pPr>
              <w:jc w:val="center"/>
              <w:textAlignment w:val="bottom"/>
            </w:pPr>
            <w:r>
              <w:rPr>
                <w:rFonts w:ascii="Arial" w:eastAsia="宋体" w:hAnsi="Arial" w:cs="Arial"/>
                <w:b/>
                <w:bCs/>
                <w:color w:val="000000"/>
                <w:sz w:val="18"/>
                <w:szCs w:val="18"/>
              </w:rPr>
              <w:t>Adriane M. Brown</w:t>
            </w:r>
          </w:p>
        </w:tc>
        <w:tc>
          <w:tcPr>
            <w:tcW w:w="0" w:type="auto"/>
            <w:gridSpan w:val="3"/>
            <w:shd w:val="clear" w:color="auto" w:fill="auto"/>
            <w:tcMar>
              <w:top w:w="0" w:type="dxa"/>
              <w:left w:w="20" w:type="dxa"/>
              <w:bottom w:w="0" w:type="dxa"/>
              <w:right w:w="20" w:type="dxa"/>
            </w:tcMar>
            <w:vAlign w:val="bottom"/>
          </w:tcPr>
          <w:p w14:paraId="22CFE3F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3FA"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E3FB" w14:textId="77777777" w:rsidR="002661BA" w:rsidRDefault="00D972BC">
            <w:pPr>
              <w:jc w:val="center"/>
              <w:textAlignment w:val="bottom"/>
            </w:pPr>
            <w:r>
              <w:rPr>
                <w:rFonts w:ascii="Arial" w:eastAsia="宋体" w:hAnsi="Arial" w:cs="Arial"/>
                <w:b/>
                <w:bCs/>
                <w:color w:val="000000"/>
                <w:sz w:val="18"/>
                <w:szCs w:val="18"/>
              </w:rPr>
              <w:t>Diana Farrell</w:t>
            </w:r>
          </w:p>
        </w:tc>
      </w:tr>
      <w:tr w:rsidR="002661BA" w14:paraId="22CFE402" w14:textId="77777777">
        <w:tc>
          <w:tcPr>
            <w:tcW w:w="0" w:type="auto"/>
            <w:gridSpan w:val="3"/>
            <w:shd w:val="clear" w:color="auto" w:fill="auto"/>
            <w:tcMar>
              <w:top w:w="0" w:type="dxa"/>
              <w:left w:w="20" w:type="dxa"/>
              <w:bottom w:w="0" w:type="dxa"/>
              <w:right w:w="20" w:type="dxa"/>
            </w:tcMar>
            <w:vAlign w:val="bottom"/>
          </w:tcPr>
          <w:p w14:paraId="22CFE3FD"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3FE" w14:textId="77777777" w:rsidR="002661BA" w:rsidRDefault="00D972BC">
            <w:pPr>
              <w:jc w:val="center"/>
              <w:textAlignment w:val="bottom"/>
            </w:pPr>
            <w:r>
              <w:rPr>
                <w:rFonts w:ascii="Arial" w:eastAsia="宋体" w:hAnsi="Arial" w:cs="Arial"/>
                <w:b/>
                <w:bCs/>
                <w:color w:val="000000"/>
                <w:sz w:val="18"/>
                <w:szCs w:val="18"/>
              </w:rPr>
              <w:t>Director</w:t>
            </w:r>
          </w:p>
        </w:tc>
        <w:tc>
          <w:tcPr>
            <w:tcW w:w="0" w:type="auto"/>
            <w:gridSpan w:val="3"/>
            <w:shd w:val="clear" w:color="auto" w:fill="auto"/>
            <w:tcMar>
              <w:top w:w="0" w:type="dxa"/>
              <w:left w:w="20" w:type="dxa"/>
              <w:bottom w:w="0" w:type="dxa"/>
              <w:right w:w="20" w:type="dxa"/>
            </w:tcMar>
            <w:vAlign w:val="bottom"/>
          </w:tcPr>
          <w:p w14:paraId="22CFE3F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0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401" w14:textId="77777777" w:rsidR="002661BA" w:rsidRDefault="00D972BC">
            <w:pPr>
              <w:jc w:val="center"/>
              <w:textAlignment w:val="bottom"/>
            </w:pPr>
            <w:r>
              <w:rPr>
                <w:rFonts w:ascii="Arial" w:eastAsia="宋体" w:hAnsi="Arial" w:cs="Arial"/>
                <w:b/>
                <w:bCs/>
                <w:color w:val="000000"/>
                <w:sz w:val="18"/>
                <w:szCs w:val="18"/>
              </w:rPr>
              <w:t>Director</w:t>
            </w:r>
          </w:p>
        </w:tc>
      </w:tr>
      <w:tr w:rsidR="002661BA" w14:paraId="22CFE408" w14:textId="77777777">
        <w:trPr>
          <w:trHeight w:val="180"/>
        </w:trPr>
        <w:tc>
          <w:tcPr>
            <w:tcW w:w="0" w:type="auto"/>
            <w:gridSpan w:val="3"/>
            <w:shd w:val="clear" w:color="auto" w:fill="auto"/>
            <w:tcMar>
              <w:top w:w="0" w:type="dxa"/>
              <w:left w:w="20" w:type="dxa"/>
              <w:bottom w:w="0" w:type="dxa"/>
              <w:right w:w="20" w:type="dxa"/>
            </w:tcMar>
            <w:vAlign w:val="bottom"/>
          </w:tcPr>
          <w:p w14:paraId="22CFE40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0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0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0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07" w14:textId="77777777" w:rsidR="002661BA" w:rsidRDefault="002661BA">
            <w:pPr>
              <w:rPr>
                <w:rFonts w:ascii="宋体"/>
              </w:rPr>
            </w:pPr>
          </w:p>
        </w:tc>
      </w:tr>
      <w:tr w:rsidR="002661BA" w14:paraId="22CFE40E" w14:textId="77777777">
        <w:tc>
          <w:tcPr>
            <w:tcW w:w="0" w:type="auto"/>
            <w:gridSpan w:val="3"/>
            <w:shd w:val="clear" w:color="auto" w:fill="auto"/>
            <w:tcMar>
              <w:top w:w="40" w:type="dxa"/>
              <w:left w:w="20" w:type="dxa"/>
              <w:bottom w:w="40" w:type="dxa"/>
              <w:right w:w="20" w:type="dxa"/>
            </w:tcMar>
            <w:vAlign w:val="bottom"/>
          </w:tcPr>
          <w:p w14:paraId="22CFE409" w14:textId="77777777" w:rsidR="002661BA" w:rsidRDefault="00D972BC">
            <w:pPr>
              <w:textAlignment w:val="bottom"/>
            </w:pPr>
            <w:r>
              <w:rPr>
                <w:rFonts w:ascii="Arial" w:eastAsia="宋体" w:hAnsi="Arial" w:cs="Arial"/>
                <w:color w:val="000000"/>
                <w:sz w:val="18"/>
                <w:szCs w:val="18"/>
              </w:rPr>
              <w:t>By:</w:t>
            </w:r>
          </w:p>
        </w:tc>
        <w:tc>
          <w:tcPr>
            <w:tcW w:w="0" w:type="auto"/>
            <w:gridSpan w:val="3"/>
            <w:shd w:val="clear" w:color="auto" w:fill="auto"/>
            <w:tcMar>
              <w:top w:w="40" w:type="dxa"/>
              <w:left w:w="20" w:type="dxa"/>
              <w:bottom w:w="40" w:type="dxa"/>
              <w:right w:w="20" w:type="dxa"/>
            </w:tcMar>
            <w:vAlign w:val="bottom"/>
          </w:tcPr>
          <w:p w14:paraId="22CFE40A" w14:textId="77777777" w:rsidR="002661BA" w:rsidRDefault="00D972BC">
            <w:pPr>
              <w:textAlignment w:val="bottom"/>
            </w:pPr>
            <w:r>
              <w:rPr>
                <w:rFonts w:ascii="Arial" w:eastAsia="宋体" w:hAnsi="Arial" w:cs="Arial"/>
                <w:color w:val="000000"/>
                <w:sz w:val="18"/>
                <w:szCs w:val="18"/>
              </w:rPr>
              <w:t>/s/ Logan D. Green</w:t>
            </w:r>
          </w:p>
        </w:tc>
        <w:tc>
          <w:tcPr>
            <w:tcW w:w="0" w:type="auto"/>
            <w:gridSpan w:val="3"/>
            <w:shd w:val="clear" w:color="auto" w:fill="auto"/>
            <w:tcMar>
              <w:top w:w="0" w:type="dxa"/>
              <w:left w:w="20" w:type="dxa"/>
              <w:bottom w:w="0" w:type="dxa"/>
              <w:right w:w="20" w:type="dxa"/>
            </w:tcMar>
            <w:vAlign w:val="bottom"/>
          </w:tcPr>
          <w:p w14:paraId="22CFE40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40C" w14:textId="77777777" w:rsidR="002661BA" w:rsidRDefault="00D972BC">
            <w:pPr>
              <w:textAlignment w:val="bottom"/>
            </w:pPr>
            <w:r>
              <w:rPr>
                <w:rFonts w:ascii="Arial" w:eastAsia="宋体" w:hAnsi="Arial" w:cs="Arial"/>
                <w:color w:val="000000"/>
                <w:sz w:val="18"/>
                <w:szCs w:val="18"/>
              </w:rPr>
              <w:t>By:</w:t>
            </w:r>
          </w:p>
        </w:tc>
        <w:tc>
          <w:tcPr>
            <w:tcW w:w="0" w:type="auto"/>
            <w:gridSpan w:val="3"/>
            <w:shd w:val="clear" w:color="auto" w:fill="auto"/>
            <w:tcMar>
              <w:top w:w="40" w:type="dxa"/>
              <w:left w:w="20" w:type="dxa"/>
              <w:bottom w:w="40" w:type="dxa"/>
              <w:right w:w="20" w:type="dxa"/>
            </w:tcMar>
            <w:vAlign w:val="bottom"/>
          </w:tcPr>
          <w:p w14:paraId="22CFE40D" w14:textId="77777777" w:rsidR="002661BA" w:rsidRDefault="00D972BC">
            <w:pPr>
              <w:textAlignment w:val="bottom"/>
            </w:pPr>
            <w:r>
              <w:rPr>
                <w:rFonts w:ascii="Arial" w:eastAsia="宋体" w:hAnsi="Arial" w:cs="Arial"/>
                <w:color w:val="000000"/>
                <w:sz w:val="18"/>
                <w:szCs w:val="18"/>
              </w:rPr>
              <w:t xml:space="preserve">/s/ Bonnie S. </w:t>
            </w:r>
            <w:r>
              <w:rPr>
                <w:rFonts w:ascii="Arial" w:eastAsia="宋体" w:hAnsi="Arial" w:cs="Arial"/>
                <w:color w:val="000000"/>
                <w:sz w:val="18"/>
                <w:szCs w:val="18"/>
              </w:rPr>
              <w:t>Hammer</w:t>
            </w:r>
          </w:p>
        </w:tc>
      </w:tr>
      <w:tr w:rsidR="002661BA" w14:paraId="22CFE414" w14:textId="77777777">
        <w:tc>
          <w:tcPr>
            <w:tcW w:w="0" w:type="auto"/>
            <w:gridSpan w:val="3"/>
            <w:shd w:val="clear" w:color="auto" w:fill="auto"/>
            <w:tcMar>
              <w:top w:w="0" w:type="dxa"/>
              <w:left w:w="20" w:type="dxa"/>
              <w:bottom w:w="0" w:type="dxa"/>
              <w:right w:w="20" w:type="dxa"/>
            </w:tcMar>
            <w:vAlign w:val="bottom"/>
          </w:tcPr>
          <w:p w14:paraId="22CFE40F"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E410" w14:textId="77777777" w:rsidR="002661BA" w:rsidRDefault="00D972BC">
            <w:pPr>
              <w:jc w:val="center"/>
              <w:textAlignment w:val="bottom"/>
            </w:pPr>
            <w:r>
              <w:rPr>
                <w:rFonts w:ascii="Arial" w:eastAsia="宋体" w:hAnsi="Arial" w:cs="Arial"/>
                <w:b/>
                <w:bCs/>
                <w:color w:val="000000"/>
                <w:sz w:val="18"/>
                <w:szCs w:val="18"/>
              </w:rPr>
              <w:t>Logan D. Green</w:t>
            </w:r>
          </w:p>
        </w:tc>
        <w:tc>
          <w:tcPr>
            <w:tcW w:w="0" w:type="auto"/>
            <w:gridSpan w:val="3"/>
            <w:shd w:val="clear" w:color="auto" w:fill="auto"/>
            <w:tcMar>
              <w:top w:w="0" w:type="dxa"/>
              <w:left w:w="20" w:type="dxa"/>
              <w:bottom w:w="0" w:type="dxa"/>
              <w:right w:w="20" w:type="dxa"/>
            </w:tcMar>
            <w:vAlign w:val="bottom"/>
          </w:tcPr>
          <w:p w14:paraId="22CFE41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12"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E413" w14:textId="77777777" w:rsidR="002661BA" w:rsidRDefault="00D972BC">
            <w:pPr>
              <w:jc w:val="center"/>
              <w:textAlignment w:val="bottom"/>
            </w:pPr>
            <w:r>
              <w:rPr>
                <w:rFonts w:ascii="Arial" w:eastAsia="宋体" w:hAnsi="Arial" w:cs="Arial"/>
                <w:b/>
                <w:bCs/>
                <w:color w:val="000000"/>
                <w:sz w:val="18"/>
                <w:szCs w:val="18"/>
              </w:rPr>
              <w:t>Bonnie S. Hammer</w:t>
            </w:r>
          </w:p>
        </w:tc>
      </w:tr>
      <w:tr w:rsidR="002661BA" w14:paraId="22CFE41A" w14:textId="77777777">
        <w:tc>
          <w:tcPr>
            <w:tcW w:w="0" w:type="auto"/>
            <w:gridSpan w:val="3"/>
            <w:shd w:val="clear" w:color="auto" w:fill="auto"/>
            <w:tcMar>
              <w:top w:w="0" w:type="dxa"/>
              <w:left w:w="20" w:type="dxa"/>
              <w:bottom w:w="0" w:type="dxa"/>
              <w:right w:w="20" w:type="dxa"/>
            </w:tcMar>
            <w:vAlign w:val="bottom"/>
          </w:tcPr>
          <w:p w14:paraId="22CFE415"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416" w14:textId="77777777" w:rsidR="002661BA" w:rsidRDefault="00D972BC">
            <w:pPr>
              <w:jc w:val="center"/>
              <w:textAlignment w:val="bottom"/>
            </w:pPr>
            <w:r>
              <w:rPr>
                <w:rFonts w:ascii="Arial" w:eastAsia="宋体" w:hAnsi="Arial" w:cs="Arial"/>
                <w:b/>
                <w:bCs/>
                <w:color w:val="000000"/>
                <w:sz w:val="18"/>
                <w:szCs w:val="18"/>
              </w:rPr>
              <w:t>Director</w:t>
            </w:r>
          </w:p>
        </w:tc>
        <w:tc>
          <w:tcPr>
            <w:tcW w:w="0" w:type="auto"/>
            <w:gridSpan w:val="3"/>
            <w:shd w:val="clear" w:color="auto" w:fill="auto"/>
            <w:tcMar>
              <w:top w:w="0" w:type="dxa"/>
              <w:left w:w="20" w:type="dxa"/>
              <w:bottom w:w="0" w:type="dxa"/>
              <w:right w:w="20" w:type="dxa"/>
            </w:tcMar>
            <w:vAlign w:val="bottom"/>
          </w:tcPr>
          <w:p w14:paraId="22CFE41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1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419" w14:textId="77777777" w:rsidR="002661BA" w:rsidRDefault="00D972BC">
            <w:pPr>
              <w:jc w:val="center"/>
              <w:textAlignment w:val="bottom"/>
            </w:pPr>
            <w:r>
              <w:rPr>
                <w:rFonts w:ascii="Arial" w:eastAsia="宋体" w:hAnsi="Arial" w:cs="Arial"/>
                <w:b/>
                <w:bCs/>
                <w:color w:val="000000"/>
                <w:sz w:val="18"/>
                <w:szCs w:val="18"/>
              </w:rPr>
              <w:t>Director</w:t>
            </w:r>
          </w:p>
        </w:tc>
      </w:tr>
      <w:tr w:rsidR="002661BA" w14:paraId="22CFE420" w14:textId="77777777">
        <w:trPr>
          <w:trHeight w:val="180"/>
        </w:trPr>
        <w:tc>
          <w:tcPr>
            <w:tcW w:w="0" w:type="auto"/>
            <w:gridSpan w:val="3"/>
            <w:shd w:val="clear" w:color="auto" w:fill="auto"/>
            <w:tcMar>
              <w:top w:w="0" w:type="dxa"/>
              <w:left w:w="20" w:type="dxa"/>
              <w:bottom w:w="0" w:type="dxa"/>
              <w:right w:w="20" w:type="dxa"/>
            </w:tcMar>
            <w:vAlign w:val="bottom"/>
          </w:tcPr>
          <w:p w14:paraId="22CFE41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1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1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1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1F" w14:textId="77777777" w:rsidR="002661BA" w:rsidRDefault="002661BA">
            <w:pPr>
              <w:rPr>
                <w:rFonts w:ascii="宋体"/>
              </w:rPr>
            </w:pPr>
          </w:p>
        </w:tc>
      </w:tr>
      <w:tr w:rsidR="002661BA" w14:paraId="22CFE426" w14:textId="77777777">
        <w:tc>
          <w:tcPr>
            <w:tcW w:w="0" w:type="auto"/>
            <w:gridSpan w:val="3"/>
            <w:shd w:val="clear" w:color="auto" w:fill="auto"/>
            <w:tcMar>
              <w:top w:w="40" w:type="dxa"/>
              <w:left w:w="20" w:type="dxa"/>
              <w:bottom w:w="40" w:type="dxa"/>
              <w:right w:w="20" w:type="dxa"/>
            </w:tcMar>
            <w:vAlign w:val="bottom"/>
          </w:tcPr>
          <w:p w14:paraId="22CFE421" w14:textId="77777777" w:rsidR="002661BA" w:rsidRDefault="00D972BC">
            <w:pPr>
              <w:textAlignment w:val="bottom"/>
            </w:pPr>
            <w:r>
              <w:rPr>
                <w:rFonts w:ascii="Arial" w:eastAsia="宋体" w:hAnsi="Arial" w:cs="Arial"/>
                <w:color w:val="000000"/>
                <w:sz w:val="18"/>
                <w:szCs w:val="18"/>
              </w:rPr>
              <w:t>By:</w:t>
            </w:r>
          </w:p>
        </w:tc>
        <w:tc>
          <w:tcPr>
            <w:tcW w:w="0" w:type="auto"/>
            <w:gridSpan w:val="3"/>
            <w:shd w:val="clear" w:color="auto" w:fill="auto"/>
            <w:tcMar>
              <w:top w:w="40" w:type="dxa"/>
              <w:left w:w="20" w:type="dxa"/>
              <w:bottom w:w="40" w:type="dxa"/>
              <w:right w:w="20" w:type="dxa"/>
            </w:tcMar>
            <w:vAlign w:val="bottom"/>
          </w:tcPr>
          <w:p w14:paraId="22CFE422" w14:textId="77777777" w:rsidR="002661BA" w:rsidRDefault="00D972BC">
            <w:pPr>
              <w:textAlignment w:val="bottom"/>
            </w:pPr>
            <w:r>
              <w:rPr>
                <w:rFonts w:ascii="Arial" w:eastAsia="宋体" w:hAnsi="Arial" w:cs="Arial"/>
                <w:color w:val="000000"/>
                <w:sz w:val="18"/>
                <w:szCs w:val="18"/>
              </w:rPr>
              <w:t>/s/ E. Carol Hayles</w:t>
            </w:r>
          </w:p>
        </w:tc>
        <w:tc>
          <w:tcPr>
            <w:tcW w:w="0" w:type="auto"/>
            <w:gridSpan w:val="3"/>
            <w:shd w:val="clear" w:color="auto" w:fill="auto"/>
            <w:tcMar>
              <w:top w:w="0" w:type="dxa"/>
              <w:left w:w="20" w:type="dxa"/>
              <w:bottom w:w="0" w:type="dxa"/>
              <w:right w:w="20" w:type="dxa"/>
            </w:tcMar>
            <w:vAlign w:val="bottom"/>
          </w:tcPr>
          <w:p w14:paraId="22CFE42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424" w14:textId="77777777" w:rsidR="002661BA" w:rsidRDefault="00D972BC">
            <w:pPr>
              <w:textAlignment w:val="bottom"/>
            </w:pPr>
            <w:r>
              <w:rPr>
                <w:rFonts w:ascii="Arial" w:eastAsia="宋体" w:hAnsi="Arial" w:cs="Arial"/>
                <w:color w:val="000000"/>
                <w:sz w:val="18"/>
                <w:szCs w:val="18"/>
              </w:rPr>
              <w:t>By:</w:t>
            </w:r>
          </w:p>
        </w:tc>
        <w:tc>
          <w:tcPr>
            <w:tcW w:w="0" w:type="auto"/>
            <w:gridSpan w:val="3"/>
            <w:shd w:val="clear" w:color="auto" w:fill="auto"/>
            <w:tcMar>
              <w:top w:w="40" w:type="dxa"/>
              <w:left w:w="20" w:type="dxa"/>
              <w:bottom w:w="40" w:type="dxa"/>
              <w:right w:w="20" w:type="dxa"/>
            </w:tcMar>
            <w:vAlign w:val="bottom"/>
          </w:tcPr>
          <w:p w14:paraId="22CFE425" w14:textId="77777777" w:rsidR="002661BA" w:rsidRDefault="00D972BC">
            <w:pPr>
              <w:textAlignment w:val="bottom"/>
            </w:pPr>
            <w:r>
              <w:rPr>
                <w:rFonts w:ascii="Arial" w:eastAsia="宋体" w:hAnsi="Arial" w:cs="Arial"/>
                <w:color w:val="000000"/>
                <w:sz w:val="18"/>
                <w:szCs w:val="18"/>
              </w:rPr>
              <w:t>/s/ Kathleen C. Mitic</w:t>
            </w:r>
          </w:p>
        </w:tc>
      </w:tr>
      <w:tr w:rsidR="002661BA" w14:paraId="22CFE42C" w14:textId="77777777">
        <w:tc>
          <w:tcPr>
            <w:tcW w:w="0" w:type="auto"/>
            <w:gridSpan w:val="3"/>
            <w:shd w:val="clear" w:color="auto" w:fill="auto"/>
            <w:tcMar>
              <w:top w:w="0" w:type="dxa"/>
              <w:left w:w="20" w:type="dxa"/>
              <w:bottom w:w="0" w:type="dxa"/>
              <w:right w:w="20" w:type="dxa"/>
            </w:tcMar>
            <w:vAlign w:val="bottom"/>
          </w:tcPr>
          <w:p w14:paraId="22CFE427"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E428" w14:textId="77777777" w:rsidR="002661BA" w:rsidRDefault="00D972BC">
            <w:pPr>
              <w:jc w:val="center"/>
              <w:textAlignment w:val="bottom"/>
            </w:pPr>
            <w:r>
              <w:rPr>
                <w:rFonts w:ascii="Arial" w:eastAsia="宋体" w:hAnsi="Arial" w:cs="Arial"/>
                <w:b/>
                <w:bCs/>
                <w:color w:val="000000"/>
                <w:sz w:val="18"/>
                <w:szCs w:val="18"/>
              </w:rPr>
              <w:t>E. Carol Hayles</w:t>
            </w:r>
          </w:p>
        </w:tc>
        <w:tc>
          <w:tcPr>
            <w:tcW w:w="0" w:type="auto"/>
            <w:gridSpan w:val="3"/>
            <w:shd w:val="clear" w:color="auto" w:fill="auto"/>
            <w:tcMar>
              <w:top w:w="0" w:type="dxa"/>
              <w:left w:w="20" w:type="dxa"/>
              <w:bottom w:w="0" w:type="dxa"/>
              <w:right w:w="20" w:type="dxa"/>
            </w:tcMar>
            <w:vAlign w:val="bottom"/>
          </w:tcPr>
          <w:p w14:paraId="22CFE42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2A"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E42B" w14:textId="77777777" w:rsidR="002661BA" w:rsidRDefault="00D972BC">
            <w:pPr>
              <w:jc w:val="center"/>
              <w:textAlignment w:val="bottom"/>
            </w:pPr>
            <w:r>
              <w:rPr>
                <w:rFonts w:ascii="Arial" w:eastAsia="宋体" w:hAnsi="Arial" w:cs="Arial"/>
                <w:b/>
                <w:bCs/>
                <w:color w:val="000000"/>
                <w:sz w:val="18"/>
                <w:szCs w:val="18"/>
              </w:rPr>
              <w:t>Kathleen C. Mitic</w:t>
            </w:r>
          </w:p>
        </w:tc>
      </w:tr>
      <w:tr w:rsidR="002661BA" w14:paraId="22CFE432" w14:textId="77777777">
        <w:tc>
          <w:tcPr>
            <w:tcW w:w="0" w:type="auto"/>
            <w:gridSpan w:val="3"/>
            <w:shd w:val="clear" w:color="auto" w:fill="auto"/>
            <w:tcMar>
              <w:top w:w="0" w:type="dxa"/>
              <w:left w:w="20" w:type="dxa"/>
              <w:bottom w:w="0" w:type="dxa"/>
              <w:right w:w="20" w:type="dxa"/>
            </w:tcMar>
            <w:vAlign w:val="bottom"/>
          </w:tcPr>
          <w:p w14:paraId="22CFE42D"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42E" w14:textId="77777777" w:rsidR="002661BA" w:rsidRDefault="00D972BC">
            <w:pPr>
              <w:jc w:val="center"/>
              <w:textAlignment w:val="bottom"/>
            </w:pPr>
            <w:r>
              <w:rPr>
                <w:rFonts w:ascii="Arial" w:eastAsia="宋体" w:hAnsi="Arial" w:cs="Arial"/>
                <w:b/>
                <w:bCs/>
                <w:color w:val="000000"/>
                <w:sz w:val="18"/>
                <w:szCs w:val="18"/>
              </w:rPr>
              <w:t>Director</w:t>
            </w:r>
          </w:p>
        </w:tc>
        <w:tc>
          <w:tcPr>
            <w:tcW w:w="0" w:type="auto"/>
            <w:gridSpan w:val="3"/>
            <w:shd w:val="clear" w:color="auto" w:fill="auto"/>
            <w:tcMar>
              <w:top w:w="0" w:type="dxa"/>
              <w:left w:w="20" w:type="dxa"/>
              <w:bottom w:w="0" w:type="dxa"/>
              <w:right w:w="20" w:type="dxa"/>
            </w:tcMar>
            <w:vAlign w:val="bottom"/>
          </w:tcPr>
          <w:p w14:paraId="22CFE42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3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431" w14:textId="77777777" w:rsidR="002661BA" w:rsidRDefault="00D972BC">
            <w:pPr>
              <w:jc w:val="center"/>
              <w:textAlignment w:val="bottom"/>
            </w:pPr>
            <w:r>
              <w:rPr>
                <w:rFonts w:ascii="Arial" w:eastAsia="宋体" w:hAnsi="Arial" w:cs="Arial"/>
                <w:b/>
                <w:bCs/>
                <w:color w:val="000000"/>
                <w:sz w:val="18"/>
                <w:szCs w:val="18"/>
              </w:rPr>
              <w:t>Director</w:t>
            </w:r>
          </w:p>
        </w:tc>
      </w:tr>
      <w:tr w:rsidR="002661BA" w14:paraId="22CFE438" w14:textId="77777777">
        <w:trPr>
          <w:trHeight w:val="180"/>
        </w:trPr>
        <w:tc>
          <w:tcPr>
            <w:tcW w:w="0" w:type="auto"/>
            <w:gridSpan w:val="3"/>
            <w:shd w:val="clear" w:color="auto" w:fill="auto"/>
            <w:tcMar>
              <w:top w:w="0" w:type="dxa"/>
              <w:left w:w="20" w:type="dxa"/>
              <w:bottom w:w="0" w:type="dxa"/>
              <w:right w:w="20" w:type="dxa"/>
            </w:tcMar>
            <w:vAlign w:val="bottom"/>
          </w:tcPr>
          <w:p w14:paraId="22CFE43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3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3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3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37" w14:textId="77777777" w:rsidR="002661BA" w:rsidRDefault="002661BA">
            <w:pPr>
              <w:rPr>
                <w:rFonts w:ascii="宋体"/>
              </w:rPr>
            </w:pPr>
          </w:p>
        </w:tc>
      </w:tr>
      <w:tr w:rsidR="002661BA" w14:paraId="22CFE43E" w14:textId="77777777">
        <w:tc>
          <w:tcPr>
            <w:tcW w:w="0" w:type="auto"/>
            <w:gridSpan w:val="3"/>
            <w:shd w:val="clear" w:color="auto" w:fill="auto"/>
            <w:tcMar>
              <w:top w:w="40" w:type="dxa"/>
              <w:left w:w="20" w:type="dxa"/>
              <w:bottom w:w="40" w:type="dxa"/>
              <w:right w:w="20" w:type="dxa"/>
            </w:tcMar>
            <w:vAlign w:val="bottom"/>
          </w:tcPr>
          <w:p w14:paraId="22CFE439" w14:textId="77777777" w:rsidR="002661BA" w:rsidRDefault="00D972BC">
            <w:pPr>
              <w:textAlignment w:val="bottom"/>
            </w:pPr>
            <w:r>
              <w:rPr>
                <w:rFonts w:ascii="Arial" w:eastAsia="宋体" w:hAnsi="Arial" w:cs="Arial"/>
                <w:color w:val="000000"/>
                <w:sz w:val="18"/>
                <w:szCs w:val="18"/>
              </w:rPr>
              <w:t>By:</w:t>
            </w:r>
          </w:p>
        </w:tc>
        <w:tc>
          <w:tcPr>
            <w:tcW w:w="0" w:type="auto"/>
            <w:gridSpan w:val="3"/>
            <w:shd w:val="clear" w:color="auto" w:fill="auto"/>
            <w:tcMar>
              <w:top w:w="40" w:type="dxa"/>
              <w:left w:w="20" w:type="dxa"/>
              <w:bottom w:w="40" w:type="dxa"/>
              <w:right w:w="20" w:type="dxa"/>
            </w:tcMar>
            <w:vAlign w:val="bottom"/>
          </w:tcPr>
          <w:p w14:paraId="22CFE43A" w14:textId="77777777" w:rsidR="002661BA" w:rsidRDefault="00D972BC">
            <w:pPr>
              <w:textAlignment w:val="bottom"/>
            </w:pPr>
            <w:r>
              <w:rPr>
                <w:rFonts w:ascii="Arial" w:eastAsia="宋体" w:hAnsi="Arial" w:cs="Arial"/>
                <w:color w:val="000000"/>
                <w:sz w:val="18"/>
                <w:szCs w:val="18"/>
              </w:rPr>
              <w:t>/s/ Matthew J. Murphy</w:t>
            </w:r>
          </w:p>
        </w:tc>
        <w:tc>
          <w:tcPr>
            <w:tcW w:w="0" w:type="auto"/>
            <w:gridSpan w:val="3"/>
            <w:shd w:val="clear" w:color="auto" w:fill="auto"/>
            <w:tcMar>
              <w:top w:w="0" w:type="dxa"/>
              <w:left w:w="20" w:type="dxa"/>
              <w:bottom w:w="0" w:type="dxa"/>
              <w:right w:w="20" w:type="dxa"/>
            </w:tcMar>
            <w:vAlign w:val="bottom"/>
          </w:tcPr>
          <w:p w14:paraId="22CFE43B"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43C" w14:textId="77777777" w:rsidR="002661BA" w:rsidRDefault="00D972BC">
            <w:pPr>
              <w:textAlignment w:val="bottom"/>
            </w:pPr>
            <w:r>
              <w:rPr>
                <w:rFonts w:ascii="Arial" w:eastAsia="宋体" w:hAnsi="Arial" w:cs="Arial"/>
                <w:color w:val="000000"/>
                <w:sz w:val="18"/>
                <w:szCs w:val="18"/>
              </w:rPr>
              <w:t>By:</w:t>
            </w:r>
          </w:p>
        </w:tc>
        <w:tc>
          <w:tcPr>
            <w:tcW w:w="0" w:type="auto"/>
            <w:gridSpan w:val="3"/>
            <w:shd w:val="clear" w:color="auto" w:fill="auto"/>
            <w:tcMar>
              <w:top w:w="40" w:type="dxa"/>
              <w:left w:w="20" w:type="dxa"/>
              <w:bottom w:w="40" w:type="dxa"/>
              <w:right w:w="20" w:type="dxa"/>
            </w:tcMar>
            <w:vAlign w:val="bottom"/>
          </w:tcPr>
          <w:p w14:paraId="22CFE43D" w14:textId="77777777" w:rsidR="002661BA" w:rsidRDefault="00D972BC">
            <w:pPr>
              <w:textAlignment w:val="bottom"/>
            </w:pPr>
            <w:r>
              <w:rPr>
                <w:rFonts w:ascii="Arial" w:eastAsia="宋体" w:hAnsi="Arial" w:cs="Arial"/>
                <w:color w:val="000000"/>
                <w:sz w:val="18"/>
                <w:szCs w:val="18"/>
              </w:rPr>
              <w:t>/s/ Mohak Shroff</w:t>
            </w:r>
          </w:p>
        </w:tc>
      </w:tr>
      <w:tr w:rsidR="002661BA" w14:paraId="22CFE444" w14:textId="77777777">
        <w:tc>
          <w:tcPr>
            <w:tcW w:w="0" w:type="auto"/>
            <w:gridSpan w:val="3"/>
            <w:shd w:val="clear" w:color="auto" w:fill="auto"/>
            <w:tcMar>
              <w:top w:w="0" w:type="dxa"/>
              <w:left w:w="20" w:type="dxa"/>
              <w:bottom w:w="0" w:type="dxa"/>
              <w:right w:w="20" w:type="dxa"/>
            </w:tcMar>
            <w:vAlign w:val="bottom"/>
          </w:tcPr>
          <w:p w14:paraId="22CFE43F"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E440" w14:textId="77777777" w:rsidR="002661BA" w:rsidRDefault="00D972BC">
            <w:pPr>
              <w:jc w:val="center"/>
              <w:textAlignment w:val="bottom"/>
            </w:pPr>
            <w:r>
              <w:rPr>
                <w:rFonts w:ascii="Arial" w:eastAsia="宋体" w:hAnsi="Arial" w:cs="Arial"/>
                <w:b/>
                <w:bCs/>
                <w:color w:val="000000"/>
                <w:sz w:val="18"/>
                <w:szCs w:val="18"/>
              </w:rPr>
              <w:t xml:space="preserve">Matthew J. </w:t>
            </w:r>
            <w:r>
              <w:rPr>
                <w:rFonts w:ascii="Arial" w:eastAsia="宋体" w:hAnsi="Arial" w:cs="Arial"/>
                <w:b/>
                <w:bCs/>
                <w:color w:val="000000"/>
                <w:sz w:val="18"/>
                <w:szCs w:val="18"/>
              </w:rPr>
              <w:t>Murphy</w:t>
            </w:r>
          </w:p>
        </w:tc>
        <w:tc>
          <w:tcPr>
            <w:tcW w:w="0" w:type="auto"/>
            <w:gridSpan w:val="3"/>
            <w:shd w:val="clear" w:color="auto" w:fill="auto"/>
            <w:tcMar>
              <w:top w:w="0" w:type="dxa"/>
              <w:left w:w="20" w:type="dxa"/>
              <w:bottom w:w="0" w:type="dxa"/>
              <w:right w:w="20" w:type="dxa"/>
            </w:tcMar>
            <w:vAlign w:val="bottom"/>
          </w:tcPr>
          <w:p w14:paraId="22CFE441"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42"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E443" w14:textId="77777777" w:rsidR="002661BA" w:rsidRDefault="00D972BC">
            <w:pPr>
              <w:jc w:val="center"/>
              <w:textAlignment w:val="bottom"/>
            </w:pPr>
            <w:r>
              <w:rPr>
                <w:rFonts w:ascii="Arial" w:eastAsia="宋体" w:hAnsi="Arial" w:cs="Arial"/>
                <w:b/>
                <w:bCs/>
                <w:color w:val="000000"/>
                <w:sz w:val="18"/>
                <w:szCs w:val="18"/>
              </w:rPr>
              <w:t>Mohak Shroff</w:t>
            </w:r>
          </w:p>
        </w:tc>
      </w:tr>
      <w:tr w:rsidR="002661BA" w14:paraId="22CFE44A" w14:textId="77777777">
        <w:tc>
          <w:tcPr>
            <w:tcW w:w="0" w:type="auto"/>
            <w:gridSpan w:val="3"/>
            <w:shd w:val="clear" w:color="auto" w:fill="auto"/>
            <w:tcMar>
              <w:top w:w="0" w:type="dxa"/>
              <w:left w:w="20" w:type="dxa"/>
              <w:bottom w:w="0" w:type="dxa"/>
              <w:right w:w="20" w:type="dxa"/>
            </w:tcMar>
            <w:vAlign w:val="bottom"/>
          </w:tcPr>
          <w:p w14:paraId="22CFE445"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446" w14:textId="77777777" w:rsidR="002661BA" w:rsidRDefault="00D972BC">
            <w:pPr>
              <w:jc w:val="center"/>
              <w:textAlignment w:val="bottom"/>
            </w:pPr>
            <w:r>
              <w:rPr>
                <w:rFonts w:ascii="Arial" w:eastAsia="宋体" w:hAnsi="Arial" w:cs="Arial"/>
                <w:b/>
                <w:bCs/>
                <w:color w:val="000000"/>
                <w:sz w:val="18"/>
                <w:szCs w:val="18"/>
              </w:rPr>
              <w:t>Director</w:t>
            </w:r>
          </w:p>
        </w:tc>
        <w:tc>
          <w:tcPr>
            <w:tcW w:w="0" w:type="auto"/>
            <w:gridSpan w:val="3"/>
            <w:shd w:val="clear" w:color="auto" w:fill="auto"/>
            <w:tcMar>
              <w:top w:w="0" w:type="dxa"/>
              <w:left w:w="20" w:type="dxa"/>
              <w:bottom w:w="0" w:type="dxa"/>
              <w:right w:w="20" w:type="dxa"/>
            </w:tcMar>
            <w:vAlign w:val="bottom"/>
          </w:tcPr>
          <w:p w14:paraId="22CFE447"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48"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449" w14:textId="77777777" w:rsidR="002661BA" w:rsidRDefault="00D972BC">
            <w:pPr>
              <w:jc w:val="center"/>
              <w:textAlignment w:val="bottom"/>
            </w:pPr>
            <w:r>
              <w:rPr>
                <w:rFonts w:ascii="Arial" w:eastAsia="宋体" w:hAnsi="Arial" w:cs="Arial"/>
                <w:b/>
                <w:bCs/>
                <w:color w:val="000000"/>
                <w:sz w:val="18"/>
                <w:szCs w:val="18"/>
              </w:rPr>
              <w:t>Director</w:t>
            </w:r>
          </w:p>
        </w:tc>
      </w:tr>
      <w:tr w:rsidR="002661BA" w14:paraId="22CFE450" w14:textId="77777777">
        <w:trPr>
          <w:trHeight w:val="180"/>
        </w:trPr>
        <w:tc>
          <w:tcPr>
            <w:tcW w:w="0" w:type="auto"/>
            <w:gridSpan w:val="3"/>
            <w:shd w:val="clear" w:color="auto" w:fill="auto"/>
            <w:tcMar>
              <w:top w:w="0" w:type="dxa"/>
              <w:left w:w="20" w:type="dxa"/>
              <w:bottom w:w="0" w:type="dxa"/>
              <w:right w:w="20" w:type="dxa"/>
            </w:tcMar>
            <w:vAlign w:val="bottom"/>
          </w:tcPr>
          <w:p w14:paraId="22CFE44B"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4C"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4D"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4E"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4F" w14:textId="77777777" w:rsidR="002661BA" w:rsidRDefault="002661BA">
            <w:pPr>
              <w:rPr>
                <w:rFonts w:ascii="宋体"/>
              </w:rPr>
            </w:pPr>
          </w:p>
        </w:tc>
      </w:tr>
      <w:tr w:rsidR="002661BA" w14:paraId="22CFE456" w14:textId="77777777">
        <w:tc>
          <w:tcPr>
            <w:tcW w:w="0" w:type="auto"/>
            <w:gridSpan w:val="3"/>
            <w:shd w:val="clear" w:color="auto" w:fill="auto"/>
            <w:tcMar>
              <w:top w:w="40" w:type="dxa"/>
              <w:left w:w="20" w:type="dxa"/>
              <w:bottom w:w="40" w:type="dxa"/>
              <w:right w:w="20" w:type="dxa"/>
            </w:tcMar>
            <w:vAlign w:val="bottom"/>
          </w:tcPr>
          <w:p w14:paraId="22CFE451" w14:textId="77777777" w:rsidR="002661BA" w:rsidRDefault="00D972BC">
            <w:pPr>
              <w:textAlignment w:val="bottom"/>
            </w:pPr>
            <w:r>
              <w:rPr>
                <w:rFonts w:ascii="Arial" w:eastAsia="宋体" w:hAnsi="Arial" w:cs="Arial"/>
                <w:color w:val="000000"/>
                <w:sz w:val="18"/>
                <w:szCs w:val="18"/>
              </w:rPr>
              <w:t>By:</w:t>
            </w:r>
          </w:p>
        </w:tc>
        <w:tc>
          <w:tcPr>
            <w:tcW w:w="0" w:type="auto"/>
            <w:gridSpan w:val="3"/>
            <w:shd w:val="clear" w:color="auto" w:fill="auto"/>
            <w:tcMar>
              <w:top w:w="40" w:type="dxa"/>
              <w:left w:w="20" w:type="dxa"/>
              <w:bottom w:w="40" w:type="dxa"/>
              <w:right w:w="20" w:type="dxa"/>
            </w:tcMar>
            <w:vAlign w:val="bottom"/>
          </w:tcPr>
          <w:p w14:paraId="22CFE452" w14:textId="77777777" w:rsidR="002661BA" w:rsidRDefault="00D972BC">
            <w:pPr>
              <w:textAlignment w:val="bottom"/>
            </w:pPr>
            <w:r>
              <w:rPr>
                <w:rFonts w:ascii="Arial" w:eastAsia="宋体" w:hAnsi="Arial" w:cs="Arial"/>
                <w:color w:val="000000"/>
                <w:sz w:val="18"/>
                <w:szCs w:val="18"/>
              </w:rPr>
              <w:t>/s/ Robert H. Swan</w:t>
            </w:r>
          </w:p>
        </w:tc>
        <w:tc>
          <w:tcPr>
            <w:tcW w:w="0" w:type="auto"/>
            <w:gridSpan w:val="3"/>
            <w:shd w:val="clear" w:color="auto" w:fill="auto"/>
            <w:tcMar>
              <w:top w:w="0" w:type="dxa"/>
              <w:left w:w="20" w:type="dxa"/>
              <w:bottom w:w="0" w:type="dxa"/>
              <w:right w:w="20" w:type="dxa"/>
            </w:tcMar>
            <w:vAlign w:val="bottom"/>
          </w:tcPr>
          <w:p w14:paraId="22CFE453"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454" w14:textId="77777777" w:rsidR="002661BA" w:rsidRDefault="00D972BC">
            <w:pPr>
              <w:textAlignment w:val="bottom"/>
            </w:pPr>
            <w:r>
              <w:rPr>
                <w:rFonts w:ascii="Arial" w:eastAsia="宋体" w:hAnsi="Arial" w:cs="Arial"/>
                <w:color w:val="000000"/>
                <w:sz w:val="18"/>
                <w:szCs w:val="18"/>
              </w:rPr>
              <w:t>By:</w:t>
            </w:r>
          </w:p>
        </w:tc>
        <w:tc>
          <w:tcPr>
            <w:tcW w:w="0" w:type="auto"/>
            <w:gridSpan w:val="3"/>
            <w:shd w:val="clear" w:color="auto" w:fill="auto"/>
            <w:tcMar>
              <w:top w:w="40" w:type="dxa"/>
              <w:left w:w="20" w:type="dxa"/>
              <w:bottom w:w="40" w:type="dxa"/>
              <w:right w:w="20" w:type="dxa"/>
            </w:tcMar>
            <w:vAlign w:val="bottom"/>
          </w:tcPr>
          <w:p w14:paraId="22CFE455" w14:textId="77777777" w:rsidR="002661BA" w:rsidRDefault="00D972BC">
            <w:pPr>
              <w:textAlignment w:val="bottom"/>
            </w:pPr>
            <w:r>
              <w:rPr>
                <w:rFonts w:ascii="Arial" w:eastAsia="宋体" w:hAnsi="Arial" w:cs="Arial"/>
                <w:color w:val="000000"/>
                <w:sz w:val="18"/>
                <w:szCs w:val="18"/>
              </w:rPr>
              <w:t>/s/ Perry M. Traquina</w:t>
            </w:r>
          </w:p>
        </w:tc>
      </w:tr>
      <w:tr w:rsidR="002661BA" w14:paraId="22CFE45C" w14:textId="77777777">
        <w:tc>
          <w:tcPr>
            <w:tcW w:w="0" w:type="auto"/>
            <w:gridSpan w:val="3"/>
            <w:shd w:val="clear" w:color="auto" w:fill="auto"/>
            <w:tcMar>
              <w:top w:w="0" w:type="dxa"/>
              <w:left w:w="20" w:type="dxa"/>
              <w:bottom w:w="0" w:type="dxa"/>
              <w:right w:w="20" w:type="dxa"/>
            </w:tcMar>
            <w:vAlign w:val="bottom"/>
          </w:tcPr>
          <w:p w14:paraId="22CFE457"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E458" w14:textId="77777777" w:rsidR="002661BA" w:rsidRDefault="00D972BC">
            <w:pPr>
              <w:jc w:val="center"/>
              <w:textAlignment w:val="bottom"/>
            </w:pPr>
            <w:r>
              <w:rPr>
                <w:rFonts w:ascii="Arial" w:eastAsia="宋体" w:hAnsi="Arial" w:cs="Arial"/>
                <w:b/>
                <w:bCs/>
                <w:color w:val="000000"/>
                <w:sz w:val="18"/>
                <w:szCs w:val="18"/>
              </w:rPr>
              <w:t>Robert H. Swan</w:t>
            </w:r>
          </w:p>
        </w:tc>
        <w:tc>
          <w:tcPr>
            <w:tcW w:w="0" w:type="auto"/>
            <w:gridSpan w:val="3"/>
            <w:shd w:val="clear" w:color="auto" w:fill="auto"/>
            <w:tcMar>
              <w:top w:w="0" w:type="dxa"/>
              <w:left w:w="20" w:type="dxa"/>
              <w:bottom w:w="0" w:type="dxa"/>
              <w:right w:w="20" w:type="dxa"/>
            </w:tcMar>
            <w:vAlign w:val="bottom"/>
          </w:tcPr>
          <w:p w14:paraId="22CFE459"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5A" w14:textId="77777777" w:rsidR="002661BA" w:rsidRDefault="002661B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2CFE45B" w14:textId="77777777" w:rsidR="002661BA" w:rsidRDefault="00D972BC">
            <w:pPr>
              <w:jc w:val="center"/>
              <w:textAlignment w:val="bottom"/>
            </w:pPr>
            <w:r>
              <w:rPr>
                <w:rFonts w:ascii="Arial" w:eastAsia="宋体" w:hAnsi="Arial" w:cs="Arial"/>
                <w:b/>
                <w:bCs/>
                <w:color w:val="000000"/>
                <w:sz w:val="18"/>
                <w:szCs w:val="18"/>
              </w:rPr>
              <w:t>Perry M. Traquina</w:t>
            </w:r>
          </w:p>
        </w:tc>
      </w:tr>
      <w:tr w:rsidR="002661BA" w14:paraId="22CFE462" w14:textId="77777777">
        <w:tc>
          <w:tcPr>
            <w:tcW w:w="0" w:type="auto"/>
            <w:gridSpan w:val="3"/>
            <w:shd w:val="clear" w:color="auto" w:fill="auto"/>
            <w:tcMar>
              <w:top w:w="0" w:type="dxa"/>
              <w:left w:w="20" w:type="dxa"/>
              <w:bottom w:w="0" w:type="dxa"/>
              <w:right w:w="20" w:type="dxa"/>
            </w:tcMar>
            <w:vAlign w:val="bottom"/>
          </w:tcPr>
          <w:p w14:paraId="22CFE45D"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45E" w14:textId="77777777" w:rsidR="002661BA" w:rsidRDefault="00D972BC">
            <w:pPr>
              <w:jc w:val="center"/>
              <w:textAlignment w:val="bottom"/>
            </w:pPr>
            <w:r>
              <w:rPr>
                <w:rFonts w:ascii="Arial" w:eastAsia="宋体" w:hAnsi="Arial" w:cs="Arial"/>
                <w:b/>
                <w:bCs/>
                <w:color w:val="000000"/>
                <w:sz w:val="18"/>
                <w:szCs w:val="18"/>
              </w:rPr>
              <w:t>Director</w:t>
            </w:r>
          </w:p>
        </w:tc>
        <w:tc>
          <w:tcPr>
            <w:tcW w:w="0" w:type="auto"/>
            <w:gridSpan w:val="3"/>
            <w:shd w:val="clear" w:color="auto" w:fill="auto"/>
            <w:tcMar>
              <w:top w:w="0" w:type="dxa"/>
              <w:left w:w="20" w:type="dxa"/>
              <w:bottom w:w="0" w:type="dxa"/>
              <w:right w:w="20" w:type="dxa"/>
            </w:tcMar>
            <w:vAlign w:val="bottom"/>
          </w:tcPr>
          <w:p w14:paraId="22CFE45F"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60" w14:textId="77777777" w:rsidR="002661BA" w:rsidRDefault="002661BA">
            <w:pPr>
              <w:rPr>
                <w:rFonts w:ascii="宋体"/>
              </w:rPr>
            </w:pPr>
          </w:p>
        </w:tc>
        <w:tc>
          <w:tcPr>
            <w:tcW w:w="0" w:type="auto"/>
            <w:gridSpan w:val="3"/>
            <w:shd w:val="clear" w:color="auto" w:fill="auto"/>
            <w:tcMar>
              <w:top w:w="40" w:type="dxa"/>
              <w:left w:w="20" w:type="dxa"/>
              <w:bottom w:w="40" w:type="dxa"/>
              <w:right w:w="20" w:type="dxa"/>
            </w:tcMar>
            <w:vAlign w:val="bottom"/>
          </w:tcPr>
          <w:p w14:paraId="22CFE461" w14:textId="77777777" w:rsidR="002661BA" w:rsidRDefault="00D972BC">
            <w:pPr>
              <w:jc w:val="center"/>
              <w:textAlignment w:val="bottom"/>
            </w:pPr>
            <w:r>
              <w:rPr>
                <w:rFonts w:ascii="Arial" w:eastAsia="宋体" w:hAnsi="Arial" w:cs="Arial"/>
                <w:b/>
                <w:bCs/>
                <w:color w:val="000000"/>
                <w:sz w:val="18"/>
                <w:szCs w:val="18"/>
              </w:rPr>
              <w:t>Director</w:t>
            </w:r>
          </w:p>
        </w:tc>
      </w:tr>
      <w:tr w:rsidR="002661BA" w14:paraId="22CFE468" w14:textId="77777777">
        <w:trPr>
          <w:trHeight w:val="180"/>
        </w:trPr>
        <w:tc>
          <w:tcPr>
            <w:tcW w:w="0" w:type="auto"/>
            <w:gridSpan w:val="3"/>
            <w:shd w:val="clear" w:color="auto" w:fill="auto"/>
            <w:tcMar>
              <w:top w:w="0" w:type="dxa"/>
              <w:left w:w="20" w:type="dxa"/>
              <w:bottom w:w="0" w:type="dxa"/>
              <w:right w:w="20" w:type="dxa"/>
            </w:tcMar>
            <w:vAlign w:val="bottom"/>
          </w:tcPr>
          <w:p w14:paraId="22CFE463"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64"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65"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66" w14:textId="77777777" w:rsidR="002661BA" w:rsidRDefault="002661BA">
            <w:pPr>
              <w:rPr>
                <w:rFonts w:ascii="宋体"/>
              </w:rPr>
            </w:pPr>
          </w:p>
        </w:tc>
        <w:tc>
          <w:tcPr>
            <w:tcW w:w="0" w:type="auto"/>
            <w:gridSpan w:val="3"/>
            <w:shd w:val="clear" w:color="auto" w:fill="auto"/>
            <w:tcMar>
              <w:top w:w="0" w:type="dxa"/>
              <w:left w:w="20" w:type="dxa"/>
              <w:bottom w:w="0" w:type="dxa"/>
              <w:right w:w="20" w:type="dxa"/>
            </w:tcMar>
            <w:vAlign w:val="bottom"/>
          </w:tcPr>
          <w:p w14:paraId="22CFE467" w14:textId="77777777" w:rsidR="002661BA" w:rsidRDefault="002661BA">
            <w:pPr>
              <w:rPr>
                <w:rFonts w:ascii="宋体"/>
              </w:rPr>
            </w:pPr>
          </w:p>
        </w:tc>
      </w:tr>
    </w:tbl>
    <w:p w14:paraId="22CFE469" w14:textId="77777777" w:rsidR="002661BA" w:rsidRDefault="002661BA">
      <w:pPr>
        <w:jc w:val="both"/>
      </w:pPr>
    </w:p>
    <w:p w14:paraId="22CFE46A" w14:textId="77777777" w:rsidR="002661BA" w:rsidRDefault="00D972BC">
      <w:pPr>
        <w:jc w:val="center"/>
      </w:pPr>
      <w:r>
        <w:rPr>
          <w:rFonts w:ascii="Arial" w:eastAsia="宋体" w:hAnsi="Arial" w:cs="Arial"/>
          <w:color w:val="000000"/>
          <w:sz w:val="18"/>
          <w:szCs w:val="18"/>
        </w:rPr>
        <w:t>121</w:t>
      </w:r>
    </w:p>
    <w:p w14:paraId="22CFE46B" w14:textId="77777777" w:rsidR="002661BA" w:rsidRDefault="00D972B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2CFE52A" wp14:editId="22CFE52B">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61BA" w14:paraId="22CFE46D" w14:textId="77777777">
        <w:trPr>
          <w:tblCellSpacing w:w="15" w:type="dxa"/>
        </w:trPr>
        <w:tc>
          <w:tcPr>
            <w:tcW w:w="0" w:type="auto"/>
            <w:shd w:val="clear" w:color="auto" w:fill="auto"/>
            <w:vAlign w:val="center"/>
          </w:tcPr>
          <w:p w14:paraId="22CFE46C" w14:textId="77777777" w:rsidR="002661BA" w:rsidRDefault="002661BA">
            <w:pPr>
              <w:rPr>
                <w:rFonts w:ascii="宋体"/>
              </w:rPr>
            </w:pPr>
          </w:p>
        </w:tc>
      </w:tr>
    </w:tbl>
    <w:p w14:paraId="22CFE46E" w14:textId="77777777" w:rsidR="002661BA" w:rsidRDefault="002661B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61BA" w14:paraId="22CFE470" w14:textId="77777777">
        <w:trPr>
          <w:tblCellSpacing w:w="15" w:type="dxa"/>
        </w:trPr>
        <w:tc>
          <w:tcPr>
            <w:tcW w:w="0" w:type="auto"/>
            <w:shd w:val="clear" w:color="auto" w:fill="auto"/>
            <w:vAlign w:val="center"/>
          </w:tcPr>
          <w:p w14:paraId="22CFE46F" w14:textId="77777777" w:rsidR="002661BA" w:rsidRDefault="002661BA">
            <w:pPr>
              <w:rPr>
                <w:rFonts w:ascii="宋体"/>
              </w:rPr>
            </w:pPr>
          </w:p>
        </w:tc>
      </w:tr>
    </w:tbl>
    <w:p w14:paraId="22CFE471" w14:textId="77777777" w:rsidR="002661BA" w:rsidRDefault="002661B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61BA" w14:paraId="22CFE473" w14:textId="77777777">
        <w:trPr>
          <w:tblCellSpacing w:w="15" w:type="dxa"/>
        </w:trPr>
        <w:tc>
          <w:tcPr>
            <w:tcW w:w="0" w:type="auto"/>
            <w:shd w:val="clear" w:color="auto" w:fill="auto"/>
            <w:vAlign w:val="center"/>
          </w:tcPr>
          <w:p w14:paraId="22CFE472" w14:textId="77777777" w:rsidR="002661BA" w:rsidRDefault="002661BA">
            <w:pPr>
              <w:rPr>
                <w:rFonts w:ascii="宋体"/>
              </w:rPr>
            </w:pPr>
          </w:p>
        </w:tc>
      </w:tr>
    </w:tbl>
    <w:p w14:paraId="22CFE474" w14:textId="77777777" w:rsidR="002661BA" w:rsidRDefault="002661B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61BA" w14:paraId="22CFE476" w14:textId="77777777">
        <w:trPr>
          <w:tblCellSpacing w:w="15" w:type="dxa"/>
        </w:trPr>
        <w:tc>
          <w:tcPr>
            <w:tcW w:w="0" w:type="auto"/>
            <w:shd w:val="clear" w:color="auto" w:fill="auto"/>
            <w:vAlign w:val="center"/>
          </w:tcPr>
          <w:p w14:paraId="22CFE475" w14:textId="77777777" w:rsidR="002661BA" w:rsidRDefault="002661BA">
            <w:pPr>
              <w:rPr>
                <w:rFonts w:ascii="宋体"/>
              </w:rPr>
            </w:pPr>
          </w:p>
        </w:tc>
      </w:tr>
    </w:tbl>
    <w:p w14:paraId="22CFE477" w14:textId="77777777" w:rsidR="002661BA" w:rsidRDefault="00D972BC">
      <w:r>
        <w:rPr>
          <w:rFonts w:ascii="宋体" w:eastAsia="宋体" w:hAnsi="宋体" w:cs="宋体"/>
        </w:rPr>
        <w:t xml:space="preserve">Previous Next </w:t>
      </w:r>
    </w:p>
    <w:p w14:paraId="22CFE478" w14:textId="77777777" w:rsidR="002661BA" w:rsidRDefault="00D972BC">
      <w:pPr>
        <w:pStyle w:val="a3"/>
      </w:pPr>
      <w:r>
        <w:t>Settings</w:t>
      </w:r>
    </w:p>
    <w:p w14:paraId="22CFE479" w14:textId="77777777" w:rsidR="002661BA" w:rsidRDefault="00D972BC">
      <w:pPr>
        <w:pStyle w:val="Style4"/>
      </w:pPr>
      <w:r>
        <w:t>窗体顶端</w:t>
      </w:r>
    </w:p>
    <w:p w14:paraId="22CFE47A" w14:textId="77777777" w:rsidR="002661BA" w:rsidRDefault="00D972BC">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22CFE52C" wp14:editId="22CFE52D">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22CFE47B" w14:textId="77777777" w:rsidR="002661BA" w:rsidRDefault="00D972BC">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22CFE52E" wp14:editId="22CFE52F">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22CFE47C" w14:textId="77777777" w:rsidR="002661BA" w:rsidRDefault="00D972BC">
      <w:r>
        <w:pict w14:anchorId="22CFE530">
          <v:rect id="_x0000_i1145" style="width:415.3pt;height:1.5pt" o:hralign="center" o:hrstd="t" o:hr="t" fillcolor="#a0a0a0" stroked="f"/>
        </w:pict>
      </w:r>
    </w:p>
    <w:p w14:paraId="22CFE47D" w14:textId="77777777" w:rsidR="002661BA" w:rsidRDefault="00D972BC">
      <w:r>
        <w:rPr>
          <w:rFonts w:ascii="宋体" w:eastAsia="宋体" w:hAnsi="宋体" w:cs="宋体"/>
        </w:rPr>
        <w:t xml:space="preserve">Tagged Data </w:t>
      </w:r>
    </w:p>
    <w:p w14:paraId="22CFE47E" w14:textId="77777777" w:rsidR="002661BA" w:rsidRDefault="00D972BC">
      <w:r>
        <w:rPr>
          <w:rFonts w:ascii="monospace" w:eastAsia="monospace" w:hAnsi="monospace" w:cs="monospace"/>
          <w:noProof/>
        </w:rPr>
        <mc:AlternateContent>
          <mc:Choice Requires="wps">
            <w:drawing>
              <wp:inline distT="0" distB="0" distL="114300" distR="114300" wp14:anchorId="22CFE531" wp14:editId="22CFE532">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2CFE47F" w14:textId="77777777" w:rsidR="002661BA" w:rsidRDefault="00D972BC">
      <w:r>
        <w:rPr>
          <w:rFonts w:ascii="宋体" w:eastAsia="宋体" w:hAnsi="宋体" w:cs="宋体"/>
        </w:rPr>
        <w:t>Save</w:t>
      </w:r>
    </w:p>
    <w:p w14:paraId="22CFE480" w14:textId="77777777" w:rsidR="002661BA" w:rsidRDefault="00D972BC">
      <w:r>
        <w:rPr>
          <w:rFonts w:ascii="宋体" w:eastAsia="宋体" w:hAnsi="宋体" w:cs="宋体"/>
        </w:rPr>
        <w:t>Reset</w:t>
      </w:r>
    </w:p>
    <w:p w14:paraId="22CFE481" w14:textId="77777777" w:rsidR="002661BA" w:rsidRDefault="00D972BC">
      <w:r>
        <w:pict w14:anchorId="22CFE533">
          <v:rect id="_x0000_i1146" style="width:415.3pt;height:1.5pt" o:hralign="center" o:hrstd="t" o:hr="t" fillcolor="#a0a0a0" stroked="f"/>
        </w:pict>
      </w:r>
    </w:p>
    <w:p w14:paraId="22CFE482" w14:textId="77777777" w:rsidR="002661BA" w:rsidRDefault="00D972BC">
      <w:r>
        <w:rPr>
          <w:rFonts w:ascii="宋体" w:eastAsia="宋体" w:hAnsi="宋体" w:cs="宋体"/>
        </w:rPr>
        <w:t xml:space="preserve">Search Results </w:t>
      </w:r>
    </w:p>
    <w:p w14:paraId="22CFE483" w14:textId="77777777" w:rsidR="002661BA" w:rsidRDefault="00D972BC">
      <w:r>
        <w:rPr>
          <w:rFonts w:ascii="monospace" w:eastAsia="monospace" w:hAnsi="monospace" w:cs="monospace"/>
          <w:noProof/>
        </w:rPr>
        <mc:AlternateContent>
          <mc:Choice Requires="wps">
            <w:drawing>
              <wp:inline distT="0" distB="0" distL="114300" distR="114300" wp14:anchorId="22CFE534" wp14:editId="22CFE535">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2CFE484" w14:textId="77777777" w:rsidR="002661BA" w:rsidRDefault="00D972BC">
      <w:r>
        <w:rPr>
          <w:rFonts w:ascii="宋体" w:eastAsia="宋体" w:hAnsi="宋体" w:cs="宋体"/>
        </w:rPr>
        <w:t>Save</w:t>
      </w:r>
    </w:p>
    <w:p w14:paraId="22CFE485" w14:textId="77777777" w:rsidR="002661BA" w:rsidRDefault="00D972BC">
      <w:r>
        <w:rPr>
          <w:rFonts w:ascii="宋体" w:eastAsia="宋体" w:hAnsi="宋体" w:cs="宋体"/>
        </w:rPr>
        <w:t>Reset</w:t>
      </w:r>
    </w:p>
    <w:p w14:paraId="22CFE486" w14:textId="77777777" w:rsidR="002661BA" w:rsidRDefault="00D972BC">
      <w:r>
        <w:pict w14:anchorId="22CFE536">
          <v:rect id="_x0000_i1147" style="width:415.3pt;height:1.5pt" o:hralign="center" o:hrstd="t" o:hr="t" fillcolor="#a0a0a0" stroked="f"/>
        </w:pict>
      </w:r>
    </w:p>
    <w:p w14:paraId="22CFE487" w14:textId="77777777" w:rsidR="002661BA" w:rsidRDefault="00D972BC">
      <w:r>
        <w:rPr>
          <w:rFonts w:ascii="宋体" w:eastAsia="宋体" w:hAnsi="宋体" w:cs="宋体"/>
        </w:rPr>
        <w:t xml:space="preserve">Selected Fact </w:t>
      </w:r>
    </w:p>
    <w:p w14:paraId="22CFE488" w14:textId="77777777" w:rsidR="002661BA" w:rsidRDefault="00D972BC">
      <w:r>
        <w:rPr>
          <w:rFonts w:ascii="monospace" w:eastAsia="monospace" w:hAnsi="monospace" w:cs="monospace"/>
          <w:noProof/>
        </w:rPr>
        <mc:AlternateContent>
          <mc:Choice Requires="wps">
            <w:drawing>
              <wp:inline distT="0" distB="0" distL="114300" distR="114300" wp14:anchorId="22CFE537" wp14:editId="22CFE538">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22CFE489" w14:textId="77777777" w:rsidR="002661BA" w:rsidRDefault="00D972BC">
      <w:r>
        <w:rPr>
          <w:rFonts w:ascii="宋体" w:eastAsia="宋体" w:hAnsi="宋体" w:cs="宋体"/>
        </w:rPr>
        <w:t>Save</w:t>
      </w:r>
    </w:p>
    <w:p w14:paraId="22CFE48A" w14:textId="77777777" w:rsidR="002661BA" w:rsidRDefault="00D972BC">
      <w:r>
        <w:rPr>
          <w:rFonts w:ascii="宋体" w:eastAsia="宋体" w:hAnsi="宋体" w:cs="宋体"/>
        </w:rPr>
        <w:t>Reset</w:t>
      </w:r>
    </w:p>
    <w:p w14:paraId="22CFE48B" w14:textId="77777777" w:rsidR="002661BA" w:rsidRDefault="00D972BC">
      <w:r>
        <w:pict w14:anchorId="22CFE539">
          <v:rect id="_x0000_i1148" style="width:415.3pt;height:1.5pt" o:hralign="center" o:hrstd="t" o:hr="t" fillcolor="#a0a0a0" stroked="f"/>
        </w:pict>
      </w:r>
    </w:p>
    <w:p w14:paraId="22CFE48C" w14:textId="77777777" w:rsidR="002661BA" w:rsidRDefault="00D972BC">
      <w:r>
        <w:rPr>
          <w:rFonts w:ascii="宋体" w:eastAsia="宋体" w:hAnsi="宋体" w:cs="宋体"/>
        </w:rPr>
        <w:t xml:space="preserve">Tag Shading (hover) </w:t>
      </w:r>
    </w:p>
    <w:p w14:paraId="22CFE48D" w14:textId="77777777" w:rsidR="002661BA" w:rsidRDefault="00D972BC">
      <w:r>
        <w:rPr>
          <w:rFonts w:ascii="monospace" w:eastAsia="monospace" w:hAnsi="monospace" w:cs="monospace"/>
          <w:noProof/>
        </w:rPr>
        <mc:AlternateContent>
          <mc:Choice Requires="wps">
            <w:drawing>
              <wp:inline distT="0" distB="0" distL="114300" distR="114300" wp14:anchorId="22CFE53A" wp14:editId="22CFE53B">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2CFE48E" w14:textId="77777777" w:rsidR="002661BA" w:rsidRDefault="00D972BC">
      <w:r>
        <w:rPr>
          <w:rFonts w:ascii="宋体" w:eastAsia="宋体" w:hAnsi="宋体" w:cs="宋体"/>
        </w:rPr>
        <w:t>Save</w:t>
      </w:r>
    </w:p>
    <w:p w14:paraId="22CFE48F" w14:textId="77777777" w:rsidR="002661BA" w:rsidRDefault="00D972BC">
      <w:r>
        <w:rPr>
          <w:rFonts w:ascii="宋体" w:eastAsia="宋体" w:hAnsi="宋体" w:cs="宋体"/>
        </w:rPr>
        <w:t>Reset</w:t>
      </w:r>
    </w:p>
    <w:p w14:paraId="22CFE490" w14:textId="77777777" w:rsidR="002661BA" w:rsidRDefault="00D972BC">
      <w:pPr>
        <w:pStyle w:val="Style5"/>
      </w:pPr>
      <w:r>
        <w:t>窗体底端</w:t>
      </w:r>
    </w:p>
    <w:p w14:paraId="22CFE491" w14:textId="77777777" w:rsidR="002661BA" w:rsidRDefault="00D972B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2CFE53C" wp14:editId="22CFE53D">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61BA" w14:paraId="22CFE493" w14:textId="77777777">
        <w:trPr>
          <w:tblCellSpacing w:w="15" w:type="dxa"/>
        </w:trPr>
        <w:tc>
          <w:tcPr>
            <w:tcW w:w="0" w:type="auto"/>
            <w:shd w:val="clear" w:color="auto" w:fill="auto"/>
            <w:vAlign w:val="center"/>
          </w:tcPr>
          <w:p w14:paraId="22CFE492" w14:textId="77777777" w:rsidR="002661BA" w:rsidRDefault="002661BA">
            <w:pPr>
              <w:rPr>
                <w:rFonts w:ascii="宋体"/>
              </w:rPr>
            </w:pPr>
          </w:p>
        </w:tc>
      </w:tr>
    </w:tbl>
    <w:p w14:paraId="22CFE494" w14:textId="77777777" w:rsidR="002661BA" w:rsidRDefault="002661B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61BA" w14:paraId="22CFE496" w14:textId="77777777">
        <w:trPr>
          <w:tblCellSpacing w:w="15" w:type="dxa"/>
        </w:trPr>
        <w:tc>
          <w:tcPr>
            <w:tcW w:w="0" w:type="auto"/>
            <w:shd w:val="clear" w:color="auto" w:fill="auto"/>
            <w:vAlign w:val="center"/>
          </w:tcPr>
          <w:p w14:paraId="22CFE495" w14:textId="77777777" w:rsidR="002661BA" w:rsidRDefault="002661BA">
            <w:pPr>
              <w:rPr>
                <w:rFonts w:ascii="宋体"/>
              </w:rPr>
            </w:pPr>
          </w:p>
        </w:tc>
      </w:tr>
    </w:tbl>
    <w:p w14:paraId="22CFE497" w14:textId="77777777" w:rsidR="002661BA" w:rsidRDefault="002661B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61BA" w14:paraId="22CFE499" w14:textId="77777777">
        <w:trPr>
          <w:tblCellSpacing w:w="15" w:type="dxa"/>
        </w:trPr>
        <w:tc>
          <w:tcPr>
            <w:tcW w:w="0" w:type="auto"/>
            <w:shd w:val="clear" w:color="auto" w:fill="auto"/>
            <w:vAlign w:val="center"/>
          </w:tcPr>
          <w:p w14:paraId="22CFE498" w14:textId="77777777" w:rsidR="002661BA" w:rsidRDefault="002661BA">
            <w:pPr>
              <w:rPr>
                <w:rFonts w:ascii="宋体"/>
              </w:rPr>
            </w:pPr>
          </w:p>
        </w:tc>
      </w:tr>
    </w:tbl>
    <w:p w14:paraId="22CFE49A" w14:textId="77777777" w:rsidR="002661BA" w:rsidRDefault="002661B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61BA" w14:paraId="22CFE49C" w14:textId="77777777">
        <w:trPr>
          <w:tblCellSpacing w:w="15" w:type="dxa"/>
        </w:trPr>
        <w:tc>
          <w:tcPr>
            <w:tcW w:w="0" w:type="auto"/>
            <w:shd w:val="clear" w:color="auto" w:fill="auto"/>
            <w:vAlign w:val="center"/>
          </w:tcPr>
          <w:p w14:paraId="22CFE49B" w14:textId="77777777" w:rsidR="002661BA" w:rsidRDefault="002661BA">
            <w:pPr>
              <w:rPr>
                <w:rFonts w:ascii="宋体"/>
              </w:rPr>
            </w:pPr>
          </w:p>
        </w:tc>
      </w:tr>
    </w:tbl>
    <w:p w14:paraId="22CFE49D" w14:textId="77777777" w:rsidR="002661BA" w:rsidRDefault="00D972BC">
      <w:r>
        <w:rPr>
          <w:rFonts w:ascii="宋体" w:eastAsia="宋体" w:hAnsi="宋体" w:cs="宋体"/>
        </w:rPr>
        <w:t xml:space="preserve">Previous Next </w:t>
      </w:r>
    </w:p>
    <w:p w14:paraId="22CFE49E" w14:textId="77777777" w:rsidR="002661BA" w:rsidRDefault="00D972BC">
      <w:pPr>
        <w:pStyle w:val="a3"/>
      </w:pPr>
      <w:r>
        <w:t xml:space="preserve">Nested Facts / </w:t>
      </w:r>
    </w:p>
    <w:p w14:paraId="22CFE49F" w14:textId="77777777" w:rsidR="002661BA" w:rsidRDefault="00D972BC">
      <w:r>
        <w:rPr>
          <w:rFonts w:ascii="宋体" w:eastAsia="宋体" w:hAnsi="宋体" w:cs="宋体"/>
        </w:rPr>
        <w:t xml:space="preserve">Previous Next </w:t>
      </w:r>
    </w:p>
    <w:p w14:paraId="22CFE4A0" w14:textId="77777777" w:rsidR="002661BA" w:rsidRDefault="00D972B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2CFE53E" wp14:editId="22CFE53F">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61BA" w14:paraId="22CFE4A2" w14:textId="77777777">
        <w:trPr>
          <w:tblCellSpacing w:w="15" w:type="dxa"/>
        </w:trPr>
        <w:tc>
          <w:tcPr>
            <w:tcW w:w="0" w:type="auto"/>
            <w:shd w:val="clear" w:color="auto" w:fill="auto"/>
            <w:vAlign w:val="center"/>
          </w:tcPr>
          <w:p w14:paraId="22CFE4A1" w14:textId="77777777" w:rsidR="002661BA" w:rsidRDefault="002661BA">
            <w:pPr>
              <w:rPr>
                <w:rFonts w:ascii="宋体"/>
              </w:rPr>
            </w:pPr>
          </w:p>
        </w:tc>
      </w:tr>
    </w:tbl>
    <w:p w14:paraId="22CFE4A3" w14:textId="77777777" w:rsidR="002661BA" w:rsidRDefault="002661B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61BA" w14:paraId="22CFE4A5" w14:textId="77777777">
        <w:trPr>
          <w:tblCellSpacing w:w="15" w:type="dxa"/>
        </w:trPr>
        <w:tc>
          <w:tcPr>
            <w:tcW w:w="0" w:type="auto"/>
            <w:shd w:val="clear" w:color="auto" w:fill="auto"/>
            <w:vAlign w:val="center"/>
          </w:tcPr>
          <w:p w14:paraId="22CFE4A4" w14:textId="77777777" w:rsidR="002661BA" w:rsidRDefault="002661BA">
            <w:pPr>
              <w:rPr>
                <w:rFonts w:ascii="宋体"/>
              </w:rPr>
            </w:pPr>
          </w:p>
        </w:tc>
      </w:tr>
    </w:tbl>
    <w:p w14:paraId="22CFE4A6" w14:textId="77777777" w:rsidR="002661BA" w:rsidRDefault="002661B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61BA" w14:paraId="22CFE4A8" w14:textId="77777777">
        <w:trPr>
          <w:tblCellSpacing w:w="15" w:type="dxa"/>
        </w:trPr>
        <w:tc>
          <w:tcPr>
            <w:tcW w:w="0" w:type="auto"/>
            <w:shd w:val="clear" w:color="auto" w:fill="auto"/>
            <w:vAlign w:val="center"/>
          </w:tcPr>
          <w:p w14:paraId="22CFE4A7" w14:textId="77777777" w:rsidR="002661BA" w:rsidRDefault="002661BA">
            <w:pPr>
              <w:rPr>
                <w:rFonts w:ascii="宋体"/>
              </w:rPr>
            </w:pPr>
          </w:p>
        </w:tc>
      </w:tr>
    </w:tbl>
    <w:p w14:paraId="22CFE4A9" w14:textId="77777777" w:rsidR="002661BA" w:rsidRDefault="002661B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61BA" w14:paraId="22CFE4AB" w14:textId="77777777">
        <w:trPr>
          <w:tblCellSpacing w:w="15" w:type="dxa"/>
        </w:trPr>
        <w:tc>
          <w:tcPr>
            <w:tcW w:w="0" w:type="auto"/>
            <w:shd w:val="clear" w:color="auto" w:fill="auto"/>
            <w:vAlign w:val="center"/>
          </w:tcPr>
          <w:p w14:paraId="22CFE4AA" w14:textId="77777777" w:rsidR="002661BA" w:rsidRDefault="002661BA">
            <w:pPr>
              <w:rPr>
                <w:rFonts w:ascii="宋体"/>
              </w:rPr>
            </w:pPr>
          </w:p>
        </w:tc>
      </w:tr>
    </w:tbl>
    <w:p w14:paraId="22CFE4AC" w14:textId="77777777" w:rsidR="002661BA" w:rsidRDefault="00D972BC">
      <w:r>
        <w:rPr>
          <w:rFonts w:ascii="宋体" w:eastAsia="宋体" w:hAnsi="宋体" w:cs="宋体"/>
        </w:rPr>
        <w:t xml:space="preserve">Previous Next </w:t>
      </w:r>
    </w:p>
    <w:p w14:paraId="22CFE4AD" w14:textId="77777777" w:rsidR="002661BA" w:rsidRDefault="002661BA"/>
    <w:sectPr w:rsidR="002661BA">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E93BF" w14:textId="77777777" w:rsidR="00D972BC" w:rsidRDefault="00D972BC" w:rsidP="00D972BC">
      <w:r>
        <w:separator/>
      </w:r>
    </w:p>
  </w:endnote>
  <w:endnote w:type="continuationSeparator" w:id="0">
    <w:p w14:paraId="712FFEB0" w14:textId="77777777" w:rsidR="00D972BC" w:rsidRDefault="00D972BC" w:rsidP="00D9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81EEB" w14:textId="77777777" w:rsidR="00D972BC" w:rsidRDefault="00D972BC" w:rsidP="00D972BC">
      <w:r>
        <w:separator/>
      </w:r>
    </w:p>
  </w:footnote>
  <w:footnote w:type="continuationSeparator" w:id="0">
    <w:p w14:paraId="4D4E4E24" w14:textId="77777777" w:rsidR="00D972BC" w:rsidRDefault="00D972BC" w:rsidP="00D972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BFFBCA5"/>
    <w:rsid w:val="002661BA"/>
    <w:rsid w:val="00D972BC"/>
    <w:rsid w:val="6BFFB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CF9F7D"/>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D972B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D972BC"/>
    <w:rPr>
      <w:rFonts w:asciiTheme="minorEastAsia" w:hAnsiTheme="minorEastAsia" w:cs="Times New Roman"/>
      <w:sz w:val="18"/>
      <w:szCs w:val="18"/>
    </w:rPr>
  </w:style>
  <w:style w:type="paragraph" w:styleId="a8">
    <w:name w:val="footer"/>
    <w:basedOn w:val="a"/>
    <w:link w:val="a9"/>
    <w:rsid w:val="00D972BC"/>
    <w:pPr>
      <w:tabs>
        <w:tab w:val="center" w:pos="4153"/>
        <w:tab w:val="right" w:pos="8306"/>
      </w:tabs>
      <w:snapToGrid w:val="0"/>
    </w:pPr>
    <w:rPr>
      <w:sz w:val="18"/>
      <w:szCs w:val="18"/>
    </w:rPr>
  </w:style>
  <w:style w:type="character" w:customStyle="1" w:styleId="a9">
    <w:name w:val="页脚 字符"/>
    <w:basedOn w:val="a0"/>
    <w:link w:val="a8"/>
    <w:rsid w:val="00D972BC"/>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065088/000106508822000006/ebay-20211231.htm" TargetMode="External"/><Relationship Id="rId21" Type="http://schemas.openxmlformats.org/officeDocument/2006/relationships/hyperlink" Target="https://www.sec.gov/ix?doc=/Archives/edgar/data/0001065088/000106508822000006/ebay-20211231.htm" TargetMode="External"/><Relationship Id="rId42" Type="http://schemas.openxmlformats.org/officeDocument/2006/relationships/hyperlink" Target="https://www.sec.gov/ix?doc=/Archives/edgar/data/0001065088/000106508822000006/ebay-20211231.htm" TargetMode="External"/><Relationship Id="rId63" Type="http://schemas.openxmlformats.org/officeDocument/2006/relationships/hyperlink" Target="https://www.sec.gov/ix?doc=/Archives/edgar/data/0001065088/000106508822000006/ebay-20211231.htm" TargetMode="External"/><Relationship Id="rId84" Type="http://schemas.openxmlformats.org/officeDocument/2006/relationships/hyperlink" Target="https://www.sec.gov/ix?doc=/Archives/edgar/data/0001065088/000106508822000006/ebay-20211231.htm" TargetMode="External"/><Relationship Id="rId138" Type="http://schemas.openxmlformats.org/officeDocument/2006/relationships/hyperlink" Target="https://www.sec.gov/ix?doc=/Archives/edgar/data/0001065088/000106508822000006/ebay-20211231.htm" TargetMode="External"/><Relationship Id="rId159" Type="http://schemas.openxmlformats.org/officeDocument/2006/relationships/hyperlink" Target="http://www.sec.gov/Archives/edgar/data/1065088/000106508819000036/ebay063019ex302.htm" TargetMode="External"/><Relationship Id="rId170" Type="http://schemas.openxmlformats.org/officeDocument/2006/relationships/hyperlink" Target="http://www.sec.gov/Archives/edgar/data/1065088/000119312516498543/d116719dex43.htm" TargetMode="External"/><Relationship Id="rId191" Type="http://schemas.openxmlformats.org/officeDocument/2006/relationships/hyperlink" Target="http://www.sec.gov/Archives/edgar/data/1065088/000106508812000085/exhibit1005-formofrestrict.htm" TargetMode="External"/><Relationship Id="rId205" Type="http://schemas.openxmlformats.org/officeDocument/2006/relationships/hyperlink" Target="http://www.sec.gov/Archives/edgar/data/1065088/000106508814000120/ebayq2201410qex1003.htm" TargetMode="External"/><Relationship Id="rId226" Type="http://schemas.openxmlformats.org/officeDocument/2006/relationships/hyperlink" Target="https://www.sec.gov/Archives/edgar/data/1065088/000106508820000018/petethompsonofferlette.htm" TargetMode="External"/><Relationship Id="rId107" Type="http://schemas.openxmlformats.org/officeDocument/2006/relationships/hyperlink" Target="https://www.sec.gov/ix?doc=/Archives/edgar/data/0001065088/000106508822000006/ebay-20211231.htm" TargetMode="External"/><Relationship Id="rId11" Type="http://schemas.openxmlformats.org/officeDocument/2006/relationships/hyperlink" Target="https://www.sec.gov/ix?doc=/Archives/edgar/data/0001065088/000106508822000006/ebay-20211231.htm" TargetMode="External"/><Relationship Id="rId32" Type="http://schemas.openxmlformats.org/officeDocument/2006/relationships/hyperlink" Target="https://www.sec.gov/ix?doc=/Archives/edgar/data/0001065088/000106508822000006/ebay-20211231.htm" TargetMode="External"/><Relationship Id="rId53" Type="http://schemas.openxmlformats.org/officeDocument/2006/relationships/hyperlink" Target="https://www.sec.gov/ix?doc=/Archives/edgar/data/0001065088/000106508822000006/ebay-20211231.htm" TargetMode="External"/><Relationship Id="rId74" Type="http://schemas.openxmlformats.org/officeDocument/2006/relationships/hyperlink" Target="https://www.sec.gov/ix?doc=/Archives/edgar/data/0001065088/000106508822000006/ebay-20211231.htm" TargetMode="External"/><Relationship Id="rId128" Type="http://schemas.openxmlformats.org/officeDocument/2006/relationships/hyperlink" Target="https://www.sec.gov/ix?doc=/Archives/edgar/data/0001065088/000106508822000006/ebay-20211231.htm" TargetMode="External"/><Relationship Id="rId149" Type="http://schemas.openxmlformats.org/officeDocument/2006/relationships/hyperlink" Target="https://www.sec.gov/ix?doc=/Archives/edgar/data/0001065088/000106508822000006/ebay-20211231.htm" TargetMode="External"/><Relationship Id="rId5" Type="http://schemas.openxmlformats.org/officeDocument/2006/relationships/endnotes" Target="endnotes.xml"/><Relationship Id="rId95" Type="http://schemas.openxmlformats.org/officeDocument/2006/relationships/hyperlink" Target="https://www.sec.gov/ix?doc=/Archives/edgar/data/0001065088/000106508822000006/ebay-20211231.htm" TargetMode="External"/><Relationship Id="rId160" Type="http://schemas.openxmlformats.org/officeDocument/2006/relationships/hyperlink" Target="http://www.sec.gov/Archives/edgar/data/1065088/0001012870-98-002196.txt" TargetMode="External"/><Relationship Id="rId181" Type="http://schemas.openxmlformats.org/officeDocument/2006/relationships/hyperlink" Target="https://www.sec.gov/Archives/edgar/data/0001065088/000155278121000393/e21349_ex4-3.htm" TargetMode="External"/><Relationship Id="rId216" Type="http://schemas.openxmlformats.org/officeDocument/2006/relationships/hyperlink" Target="http://www.sec.gov/Archives/edgar/data/1065088/000119312515257121/d93601dex104.htm" TargetMode="External"/><Relationship Id="rId237" Type="http://schemas.openxmlformats.org/officeDocument/2006/relationships/hyperlink" Target="https://www.sec.gov/Archives/edgar/data/0001065088/000106508822000006/ebay123121ex3102.htm" TargetMode="External"/><Relationship Id="rId22" Type="http://schemas.openxmlformats.org/officeDocument/2006/relationships/hyperlink" Target="https://www.sec.gov/ix?doc=/Archives/edgar/data/0001065088/000106508822000006/ebay-20211231.htm" TargetMode="External"/><Relationship Id="rId43" Type="http://schemas.openxmlformats.org/officeDocument/2006/relationships/hyperlink" Target="https://www.sec.gov/ix?doc=/Archives/edgar/data/0001065088/000106508822000006/ebay-20211231.htm" TargetMode="External"/><Relationship Id="rId64" Type="http://schemas.openxmlformats.org/officeDocument/2006/relationships/hyperlink" Target="https://www.sec.gov/ix?doc=/Archives/edgar/data/0001065088/000106508822000006/ebay-20211231.htm" TargetMode="External"/><Relationship Id="rId118" Type="http://schemas.openxmlformats.org/officeDocument/2006/relationships/hyperlink" Target="https://www.sec.gov/ix?doc=/Archives/edgar/data/0001065088/000106508822000006/ebay-20211231.htm" TargetMode="External"/><Relationship Id="rId139" Type="http://schemas.openxmlformats.org/officeDocument/2006/relationships/hyperlink" Target="https://www.sec.gov/ix?doc=/Archives/edgar/data/0001065088/000106508822000006/ebay-20211231.htm" TargetMode="External"/><Relationship Id="rId85" Type="http://schemas.openxmlformats.org/officeDocument/2006/relationships/hyperlink" Target="https://www.sec.gov/ix?doc=/Archives/edgar/data/0001065088/000106508822000006/ebay-20211231.htm" TargetMode="External"/><Relationship Id="rId150" Type="http://schemas.openxmlformats.org/officeDocument/2006/relationships/hyperlink" Target="https://www.sec.gov/ix?doc=/Archives/edgar/data/0001065088/000106508822000006/ebay-20211231.htm" TargetMode="External"/><Relationship Id="rId171" Type="http://schemas.openxmlformats.org/officeDocument/2006/relationships/hyperlink" Target="http://www.sec.gov/Archives/edgar/data/1065088/000119312517196062/d405505dex43.htm" TargetMode="External"/><Relationship Id="rId192" Type="http://schemas.openxmlformats.org/officeDocument/2006/relationships/hyperlink" Target="http://www.sec.gov/Archives/edgar/data/1065088/000106508812000085/exhibit1006-formofrestrict.htm" TargetMode="External"/><Relationship Id="rId206" Type="http://schemas.openxmlformats.org/officeDocument/2006/relationships/hyperlink" Target="http://www.sec.gov/Archives/edgar/data/1065088/000106508816000296/ebay033116ex1006.htm" TargetMode="External"/><Relationship Id="rId227" Type="http://schemas.openxmlformats.org/officeDocument/2006/relationships/hyperlink" Target="https://www.sec.gov/Archives/edgar/data/1065088/000106508820000018/kristinyettoletterfina.htm" TargetMode="External"/><Relationship Id="rId12" Type="http://schemas.openxmlformats.org/officeDocument/2006/relationships/hyperlink" Target="https://www.sec.gov/ix?doc=/Archives/edgar/data/0001065088/000106508822000006/ebay-20211231.htm" TargetMode="External"/><Relationship Id="rId33" Type="http://schemas.openxmlformats.org/officeDocument/2006/relationships/hyperlink" Target="https://www.sec.gov/ix?doc=/Archives/edgar/data/0001065088/000106508822000006/ebay-20211231.htm" TargetMode="External"/><Relationship Id="rId108" Type="http://schemas.openxmlformats.org/officeDocument/2006/relationships/hyperlink" Target="https://www.sec.gov/ix?doc=/Archives/edgar/data/0001065088/000106508822000006/ebay-20211231.htm" TargetMode="External"/><Relationship Id="rId129" Type="http://schemas.openxmlformats.org/officeDocument/2006/relationships/hyperlink" Target="https://www.sec.gov/ix?doc=/Archives/edgar/data/0001065088/000106508822000006/ebay-20211231.htm" TargetMode="External"/><Relationship Id="rId54" Type="http://schemas.openxmlformats.org/officeDocument/2006/relationships/hyperlink" Target="https://www.sec.gov/ix?doc=/Archives/edgar/data/0001065088/000106508822000006/ebay-20211231.htm" TargetMode="External"/><Relationship Id="rId75" Type="http://schemas.openxmlformats.org/officeDocument/2006/relationships/hyperlink" Target="https://www.sec.gov/ix?doc=/Archives/edgar/data/0001065088/000106508822000006/ebay-20211231.htm" TargetMode="External"/><Relationship Id="rId96" Type="http://schemas.openxmlformats.org/officeDocument/2006/relationships/hyperlink" Target="https://www.sec.gov/ix?doc=/Archives/edgar/data/0001065088/000106508822000006/ebay-20211231.htm" TargetMode="External"/><Relationship Id="rId140" Type="http://schemas.openxmlformats.org/officeDocument/2006/relationships/hyperlink" Target="https://www.sec.gov/ix?doc=/Archives/edgar/data/0001065088/000106508822000006/ebay-20211231.htm" TargetMode="External"/><Relationship Id="rId161" Type="http://schemas.openxmlformats.org/officeDocument/2006/relationships/hyperlink" Target="http://www.sec.gov/Archives/edgar/data/1065088/000119312510239760/dex41.htm" TargetMode="External"/><Relationship Id="rId182" Type="http://schemas.openxmlformats.org/officeDocument/2006/relationships/hyperlink" Target="https://www.sec.gov/Archives/edgar/data/0001065088/000155278121000393/e21349_ex4-3.htm" TargetMode="External"/><Relationship Id="rId217" Type="http://schemas.openxmlformats.org/officeDocument/2006/relationships/hyperlink" Target="http://www.sec.gov/Archives/edgar/data/1065088/000119312515257121/d93601dex105.htm" TargetMode="External"/><Relationship Id="rId238" Type="http://schemas.openxmlformats.org/officeDocument/2006/relationships/hyperlink" Target="https://www.sec.gov/Archives/edgar/data/0001065088/000106508822000006/ebay123121ex3201.htm" TargetMode="External"/><Relationship Id="rId23" Type="http://schemas.openxmlformats.org/officeDocument/2006/relationships/hyperlink" Target="https://www.sec.gov/ix?doc=/Archives/edgar/data/0001065088/000106508822000006/ebay-20211231.htm" TargetMode="External"/><Relationship Id="rId119" Type="http://schemas.openxmlformats.org/officeDocument/2006/relationships/hyperlink" Target="https://www.sec.gov/ix?doc=/Archives/edgar/data/0001065088/000106508822000006/ebay-20211231.htm" TargetMode="External"/><Relationship Id="rId44" Type="http://schemas.openxmlformats.org/officeDocument/2006/relationships/hyperlink" Target="https://www.sec.gov/ix?doc=/Archives/edgar/data/0001065088/000106508822000006/ebay-20211231.htm" TargetMode="External"/><Relationship Id="rId65" Type="http://schemas.openxmlformats.org/officeDocument/2006/relationships/hyperlink" Target="https://www.sec.gov/ix?doc=/Archives/edgar/data/0001065088/000106508822000006/ebay-20211231.htm" TargetMode="External"/><Relationship Id="rId86" Type="http://schemas.openxmlformats.org/officeDocument/2006/relationships/hyperlink" Target="https://www.sec.gov/ix?doc=/Archives/edgar/data/0001065088/000106508822000006/ebay-20211231.htm" TargetMode="External"/><Relationship Id="rId130" Type="http://schemas.openxmlformats.org/officeDocument/2006/relationships/hyperlink" Target="https://www.sec.gov/ix?doc=/Archives/edgar/data/0001065088/000106508822000006/ebay-20211231.htm" TargetMode="External"/><Relationship Id="rId151" Type="http://schemas.openxmlformats.org/officeDocument/2006/relationships/hyperlink" Target="http://www.sec.gov/Archives/edgar/data/1065088/000119312515240245/d944939dex21.htm" TargetMode="External"/><Relationship Id="rId172" Type="http://schemas.openxmlformats.org/officeDocument/2006/relationships/hyperlink" Target="http://www.sec.gov/Archives/edgar/data/1065088/000119312517196062/d405505dex43.htm" TargetMode="External"/><Relationship Id="rId193" Type="http://schemas.openxmlformats.org/officeDocument/2006/relationships/hyperlink" Target="http://www.sec.gov/Archives/edgar/data/1065088/000106508812000085/exhibit1008-formofstockopt.htm" TargetMode="External"/><Relationship Id="rId207" Type="http://schemas.openxmlformats.org/officeDocument/2006/relationships/hyperlink" Target="http://www.sec.gov/Archives/edgar/data/1065088/000106508816000317/ebay063016ex1002.htm" TargetMode="External"/><Relationship Id="rId228" Type="http://schemas.openxmlformats.org/officeDocument/2006/relationships/hyperlink" Target="https://www.sec.gov/Archives/edgar/data/1065088/000106508820000030/ebayceoofferletter.htm" TargetMode="External"/><Relationship Id="rId13" Type="http://schemas.openxmlformats.org/officeDocument/2006/relationships/hyperlink" Target="https://www.sec.gov/ix?doc=/Archives/edgar/data/0001065088/000106508822000006/ebay-20211231.htm" TargetMode="External"/><Relationship Id="rId109" Type="http://schemas.openxmlformats.org/officeDocument/2006/relationships/hyperlink" Target="https://www.sec.gov/ix?doc=/Archives/edgar/data/0001065088/000106508822000006/ebay-20211231.htm" TargetMode="External"/><Relationship Id="rId34" Type="http://schemas.openxmlformats.org/officeDocument/2006/relationships/hyperlink" Target="https://www.sec.gov/ix?doc=/Archives/edgar/data/0001065088/000106508822000006/ebay-20211231.htm" TargetMode="External"/><Relationship Id="rId55" Type="http://schemas.openxmlformats.org/officeDocument/2006/relationships/hyperlink" Target="https://www.sec.gov/ix?doc=/Archives/edgar/data/0001065088/000106508822000006/ebay-20211231.htm" TargetMode="External"/><Relationship Id="rId76" Type="http://schemas.openxmlformats.org/officeDocument/2006/relationships/hyperlink" Target="https://www.sec.gov/ix?doc=/Archives/edgar/data/0001065088/000106508822000006/ebay-20211231.htm" TargetMode="External"/><Relationship Id="rId97" Type="http://schemas.openxmlformats.org/officeDocument/2006/relationships/hyperlink" Target="https://www.sec.gov/ix?doc=/Archives/edgar/data/0001065088/000106508822000006/ebay-20211231.htm" TargetMode="External"/><Relationship Id="rId120" Type="http://schemas.openxmlformats.org/officeDocument/2006/relationships/hyperlink" Target="https://www.sec.gov/ix?doc=/Archives/edgar/data/0001065088/000106508822000006/ebay-20211231.htm" TargetMode="External"/><Relationship Id="rId141" Type="http://schemas.openxmlformats.org/officeDocument/2006/relationships/hyperlink" Target="https://www.sec.gov/ix?doc=/Archives/edgar/data/0001065088/000106508822000006/ebay-20211231.htm" TargetMode="External"/><Relationship Id="rId7" Type="http://schemas.openxmlformats.org/officeDocument/2006/relationships/hyperlink" Target="https://www.sec.gov/ix?doc=/Archives/edgar/data/0001065088/000106508822000006/ebay-20211231.htm" TargetMode="External"/><Relationship Id="rId162" Type="http://schemas.openxmlformats.org/officeDocument/2006/relationships/hyperlink" Target="http://www.sec.gov/Archives/edgar/data/1065088/000119312510239760/dex42.htm" TargetMode="External"/><Relationship Id="rId183" Type="http://schemas.openxmlformats.org/officeDocument/2006/relationships/hyperlink" Target="http://www.sec.gov/Archives/edgar/data/1065088/0001012870-98-001814.txt" TargetMode="External"/><Relationship Id="rId218" Type="http://schemas.openxmlformats.org/officeDocument/2006/relationships/hyperlink" Target="http://www.sec.gov/Archives/edgar/data/1065088/000106508815000186/ebay063015ex1009.htm" TargetMode="External"/><Relationship Id="rId239" Type="http://schemas.openxmlformats.org/officeDocument/2006/relationships/hyperlink" Target="https://www.sec.gov/Archives/edgar/data/0001065088/000106508822000006/ebay123121ex3202.htm" TargetMode="External"/><Relationship Id="rId24" Type="http://schemas.openxmlformats.org/officeDocument/2006/relationships/hyperlink" Target="https://www.sec.gov/ix?doc=/Archives/edgar/data/0001065088/000106508822000006/ebay-20211231.htm" TargetMode="External"/><Relationship Id="rId45" Type="http://schemas.openxmlformats.org/officeDocument/2006/relationships/hyperlink" Target="https://www.sec.gov/ix?doc=/Archives/edgar/data/0001065088/000106508822000006/ebay-20211231.htm" TargetMode="External"/><Relationship Id="rId66" Type="http://schemas.openxmlformats.org/officeDocument/2006/relationships/hyperlink" Target="https://www.sec.gov/ix?doc=/Archives/edgar/data/0001065088/000106508822000006/ebay-20211231.htm" TargetMode="External"/><Relationship Id="rId87" Type="http://schemas.openxmlformats.org/officeDocument/2006/relationships/hyperlink" Target="https://www.sec.gov/ix?doc=/Archives/edgar/data/0001065088/000106508822000006/ebay-20211231.htm" TargetMode="External"/><Relationship Id="rId110" Type="http://schemas.openxmlformats.org/officeDocument/2006/relationships/hyperlink" Target="https://www.sec.gov/ix?doc=/Archives/edgar/data/0001065088/000106508822000006/ebay-20211231.htm" TargetMode="External"/><Relationship Id="rId131" Type="http://schemas.openxmlformats.org/officeDocument/2006/relationships/hyperlink" Target="https://www.sec.gov/ix?doc=/Archives/edgar/data/0001065088/000106508822000006/ebay-20211231.htm" TargetMode="External"/><Relationship Id="rId152" Type="http://schemas.openxmlformats.org/officeDocument/2006/relationships/hyperlink" Target="http://www.sec.gov/Archives/edgar/data/1065088/000119312519300004/d839683dex21.htm" TargetMode="External"/><Relationship Id="rId173" Type="http://schemas.openxmlformats.org/officeDocument/2006/relationships/hyperlink" Target="https://www.sec.gov/Archives/edgar/data/1065088/000119312520070398/d899490dex43.htm" TargetMode="External"/><Relationship Id="rId194" Type="http://schemas.openxmlformats.org/officeDocument/2006/relationships/hyperlink" Target="http://www.sec.gov/Archives/edgar/data/1065088/000106508812000085/exhibit1009-formofstockopt.htm" TargetMode="External"/><Relationship Id="rId208" Type="http://schemas.openxmlformats.org/officeDocument/2006/relationships/hyperlink" Target="http://www.sec.gov/Archives/edgar/data/1065088/000106508816000317/ebay063016ex1003.htm" TargetMode="External"/><Relationship Id="rId229" Type="http://schemas.openxmlformats.org/officeDocument/2006/relationships/hyperlink" Target="https://www.sec.gov/Archives/edgar/data/1065088/000106508820000030/scottschenkeltransitio.htm" TargetMode="External"/><Relationship Id="rId240" Type="http://schemas.openxmlformats.org/officeDocument/2006/relationships/hyperlink" Target="https://www.sec.gov/ix?doc=/Archives/edgar/data/0001065088/000106508822000006/ebay-20211231.htm" TargetMode="External"/><Relationship Id="rId14" Type="http://schemas.openxmlformats.org/officeDocument/2006/relationships/hyperlink" Target="https://www.sec.gov/ix?doc=/Archives/edgar/data/0001065088/000106508822000006/ebay-20211231.htm" TargetMode="External"/><Relationship Id="rId35" Type="http://schemas.openxmlformats.org/officeDocument/2006/relationships/hyperlink" Target="https://www.sec.gov/ix?doc=/Archives/edgar/data/0001065088/000106508822000006/ebay-20211231.htm" TargetMode="External"/><Relationship Id="rId56" Type="http://schemas.openxmlformats.org/officeDocument/2006/relationships/hyperlink" Target="https://www.sec.gov/ix?doc=/Archives/edgar/data/0001065088/000106508822000006/ebay-20211231.htm" TargetMode="External"/><Relationship Id="rId77" Type="http://schemas.openxmlformats.org/officeDocument/2006/relationships/hyperlink" Target="https://www.sec.gov/ix?doc=/Archives/edgar/data/0001065088/000106508822000006/ebay-20211231.htm" TargetMode="External"/><Relationship Id="rId100" Type="http://schemas.openxmlformats.org/officeDocument/2006/relationships/hyperlink" Target="https://www.sec.gov/ix?doc=/Archives/edgar/data/0001065088/000106508822000006/ebay-20211231.htm" TargetMode="External"/><Relationship Id="rId8" Type="http://schemas.openxmlformats.org/officeDocument/2006/relationships/hyperlink" Target="https://www.sec.gov/ix?doc=/Archives/edgar/data/0001065088/000106508822000006/ebay-20211231.htm" TargetMode="External"/><Relationship Id="rId98" Type="http://schemas.openxmlformats.org/officeDocument/2006/relationships/hyperlink" Target="https://www.sec.gov/ix?doc=/Archives/edgar/data/0001065088/000106508822000006/ebay-20211231.htm" TargetMode="External"/><Relationship Id="rId121" Type="http://schemas.openxmlformats.org/officeDocument/2006/relationships/hyperlink" Target="https://www.sec.gov/ix?doc=/Archives/edgar/data/0001065088/000106508822000006/ebay-20211231.htm" TargetMode="External"/><Relationship Id="rId142" Type="http://schemas.openxmlformats.org/officeDocument/2006/relationships/hyperlink" Target="https://www.sec.gov/ix?doc=/Archives/edgar/data/0001065088/000106508822000006/ebay-20211231.htm" TargetMode="External"/><Relationship Id="rId163" Type="http://schemas.openxmlformats.org/officeDocument/2006/relationships/hyperlink" Target="http://www.sec.gov/Archives/edgar/data/1065088/000119312512311398/d383340dex43.htm" TargetMode="External"/><Relationship Id="rId184" Type="http://schemas.openxmlformats.org/officeDocument/2006/relationships/hyperlink" Target="http://www.sec.gov/Archives/edgar/data/1065088/000095013407004291/f27529exv10w15.htm" TargetMode="External"/><Relationship Id="rId219" Type="http://schemas.openxmlformats.org/officeDocument/2006/relationships/hyperlink" Target="http://www.sec.gov/Archives/edgar/data/1065088/000106508816000296/ebay033116ex1004.htm" TargetMode="External"/><Relationship Id="rId230" Type="http://schemas.openxmlformats.org/officeDocument/2006/relationships/hyperlink" Target="https://www.sec.gov/Archives/edgar/data/1065088/000106508820000030/ebayarsvpandabovestand.htm" TargetMode="External"/><Relationship Id="rId25" Type="http://schemas.openxmlformats.org/officeDocument/2006/relationships/hyperlink" Target="https://www.sec.gov/ix?doc=/Archives/edgar/data/0001065088/000106508822000006/ebay-20211231.htm" TargetMode="External"/><Relationship Id="rId46" Type="http://schemas.openxmlformats.org/officeDocument/2006/relationships/hyperlink" Target="https://www.sec.gov/ix?doc=/Archives/edgar/data/0001065088/000106508822000006/ebay-20211231.htm" TargetMode="External"/><Relationship Id="rId67" Type="http://schemas.openxmlformats.org/officeDocument/2006/relationships/hyperlink" Target="https://www.sec.gov/ix?doc=/Archives/edgar/data/0001065088/000106508822000006/ebay-20211231.htm" TargetMode="External"/><Relationship Id="rId88" Type="http://schemas.openxmlformats.org/officeDocument/2006/relationships/hyperlink" Target="https://www.sec.gov/ix?doc=/Archives/edgar/data/0001065088/000106508822000006/ebay-20211231.htm" TargetMode="External"/><Relationship Id="rId111" Type="http://schemas.openxmlformats.org/officeDocument/2006/relationships/hyperlink" Target="https://www.sec.gov/ix?doc=/Archives/edgar/data/0001065088/000106508822000006/ebay-20211231.htm" TargetMode="External"/><Relationship Id="rId132" Type="http://schemas.openxmlformats.org/officeDocument/2006/relationships/hyperlink" Target="https://www.sec.gov/ix?doc=/Archives/edgar/data/0001065088/000106508822000006/ebay-20211231.htm" TargetMode="External"/><Relationship Id="rId153" Type="http://schemas.openxmlformats.org/officeDocument/2006/relationships/hyperlink" Target="https://www.sec.gov/Archives/edgar/data/1065088/000155278120000429/e20436_ex2-1.htm" TargetMode="External"/><Relationship Id="rId174" Type="http://schemas.openxmlformats.org/officeDocument/2006/relationships/hyperlink" Target="https://www.sec.gov/Archives/edgar/data/1065088/000119312520070398/d899490dex43.htm" TargetMode="External"/><Relationship Id="rId195" Type="http://schemas.openxmlformats.org/officeDocument/2006/relationships/hyperlink" Target="http://www.sec.gov/Archives/edgar/data/1065088/000106508812000085/exhibit1014-formofdirector.htm" TargetMode="External"/><Relationship Id="rId209" Type="http://schemas.openxmlformats.org/officeDocument/2006/relationships/hyperlink" Target="http://www.sec.gov/Archives/edgar/data/1065088/000106508819000006/ebay123118ex1044.htm" TargetMode="External"/><Relationship Id="rId220" Type="http://schemas.openxmlformats.org/officeDocument/2006/relationships/hyperlink" Target="http://www.sec.gov/Archives/edgar/data/1065088/000106508819000036/ebay060319ex1001.htm" TargetMode="External"/><Relationship Id="rId241" Type="http://schemas.openxmlformats.org/officeDocument/2006/relationships/hyperlink" Target="https://www.sec.gov/ix?doc=/Archives/edgar/data/0001065088/000106508822000006/ebay-20211231.htm" TargetMode="External"/><Relationship Id="rId15" Type="http://schemas.openxmlformats.org/officeDocument/2006/relationships/hyperlink" Target="https://www.sec.gov/ix?doc=/Archives/edgar/data/0001065088/000106508822000006/ebay-20211231.htm" TargetMode="External"/><Relationship Id="rId36" Type="http://schemas.openxmlformats.org/officeDocument/2006/relationships/hyperlink" Target="https://www.sec.gov/ix?doc=/Archives/edgar/data/0001065088/000106508822000006/ebay-20211231.htm" TargetMode="External"/><Relationship Id="rId57" Type="http://schemas.openxmlformats.org/officeDocument/2006/relationships/hyperlink" Target="https://www.sec.gov/ix?doc=/Archives/edgar/data/0001065088/000106508822000006/ebay-20211231.htm" TargetMode="External"/><Relationship Id="rId106" Type="http://schemas.openxmlformats.org/officeDocument/2006/relationships/hyperlink" Target="https://www.sec.gov/ix?doc=/Archives/edgar/data/0001065088/000106508822000006/ebay-20211231.htm" TargetMode="External"/><Relationship Id="rId127" Type="http://schemas.openxmlformats.org/officeDocument/2006/relationships/hyperlink" Target="https://www.sec.gov/ix?doc=/Archives/edgar/data/0001065088/000106508822000006/ebay-20211231.htm" TargetMode="External"/><Relationship Id="rId10" Type="http://schemas.openxmlformats.org/officeDocument/2006/relationships/hyperlink" Target="https://www.sec.gov/ix?doc=/Archives/edgar/data/0001065088/000106508822000006/ebay-20211231.htm" TargetMode="External"/><Relationship Id="rId31" Type="http://schemas.openxmlformats.org/officeDocument/2006/relationships/hyperlink" Target="https://www.sec.gov/ix?doc=/Archives/edgar/data/0001065088/000106508822000006/ebay-20211231.htm" TargetMode="External"/><Relationship Id="rId52" Type="http://schemas.openxmlformats.org/officeDocument/2006/relationships/hyperlink" Target="https://www.sec.gov/ix?doc=/Archives/edgar/data/0001065088/000106508822000006/ebay-20211231.htm" TargetMode="External"/><Relationship Id="rId73" Type="http://schemas.openxmlformats.org/officeDocument/2006/relationships/hyperlink" Target="https://www.sec.gov/ix?doc=/Archives/edgar/data/0001065088/000106508822000006/ebay-20211231.htm" TargetMode="External"/><Relationship Id="rId78" Type="http://schemas.openxmlformats.org/officeDocument/2006/relationships/hyperlink" Target="https://www.sec.gov/ix?doc=/Archives/edgar/data/0001065088/000106508822000006/ebay-20211231.htm" TargetMode="External"/><Relationship Id="rId94" Type="http://schemas.openxmlformats.org/officeDocument/2006/relationships/hyperlink" Target="https://www.sec.gov/ix?doc=/Archives/edgar/data/0001065088/000106508822000006/ebay-20211231.htm" TargetMode="External"/><Relationship Id="rId99" Type="http://schemas.openxmlformats.org/officeDocument/2006/relationships/hyperlink" Target="https://www.sec.gov/ix?doc=/Archives/edgar/data/0001065088/000106508822000006/ebay-20211231.htm" TargetMode="External"/><Relationship Id="rId101" Type="http://schemas.openxmlformats.org/officeDocument/2006/relationships/hyperlink" Target="https://www.sec.gov/ix?doc=/Archives/edgar/data/0001065088/000106508822000006/ebay-20211231.htm" TargetMode="External"/><Relationship Id="rId122" Type="http://schemas.openxmlformats.org/officeDocument/2006/relationships/hyperlink" Target="https://www.sec.gov/ix?doc=/Archives/edgar/data/0001065088/000106508822000006/ebay-20211231.htm" TargetMode="External"/><Relationship Id="rId143" Type="http://schemas.openxmlformats.org/officeDocument/2006/relationships/hyperlink" Target="https://www.sec.gov/ix?doc=/Archives/edgar/data/0001065088/000106508822000006/ebay-20211231.htm" TargetMode="External"/><Relationship Id="rId148" Type="http://schemas.openxmlformats.org/officeDocument/2006/relationships/hyperlink" Target="https://www.sec.gov/ix?doc=/Archives/edgar/data/0001065088/000106508822000006/ebay-20211231.htm" TargetMode="External"/><Relationship Id="rId164" Type="http://schemas.openxmlformats.org/officeDocument/2006/relationships/hyperlink" Target="http://www.sec.gov/Archives/edgar/data/1065088/000119312512311398/d383340dex43.htm" TargetMode="External"/><Relationship Id="rId169" Type="http://schemas.openxmlformats.org/officeDocument/2006/relationships/hyperlink" Target="http://www.sec.gov/Archives/edgar/data/1065088/000119312516498543/d116719dex43.htm" TargetMode="External"/><Relationship Id="rId185" Type="http://schemas.openxmlformats.org/officeDocument/2006/relationships/hyperlink" Target="http://www.sec.gov/Archives/edgar/data/1065088/000106508812000085/exhibit1001-amendmentto200.htm" TargetMode="External"/><Relationship Id="rId4" Type="http://schemas.openxmlformats.org/officeDocument/2006/relationships/footnotes" Target="footnotes.xml"/><Relationship Id="rId9" Type="http://schemas.openxmlformats.org/officeDocument/2006/relationships/hyperlink" Target="https://www.sec.gov/ix?doc=/Archives/edgar/data/0001065088/000106508822000006/ebay-20211231.htm" TargetMode="External"/><Relationship Id="rId180" Type="http://schemas.openxmlformats.org/officeDocument/2006/relationships/hyperlink" Target="https://www.sec.gov/Archives/edgar/data/0001065088/000155278121000393/e21349_ex4-3.htm" TargetMode="External"/><Relationship Id="rId210" Type="http://schemas.openxmlformats.org/officeDocument/2006/relationships/hyperlink" Target="http://www.sec.gov/Archives/edgar/data/1065088/000106508819000006/ebay123118ex1045.htm" TargetMode="External"/><Relationship Id="rId215" Type="http://schemas.openxmlformats.org/officeDocument/2006/relationships/hyperlink" Target="http://www.sec.gov/Archives/edgar/data/1065088/000119312515257121/d93601dex103.htm" TargetMode="External"/><Relationship Id="rId236" Type="http://schemas.openxmlformats.org/officeDocument/2006/relationships/hyperlink" Target="https://www.sec.gov/Archives/edgar/data/0001065088/000106508822000006/ebay123121ex3101.htm" TargetMode="External"/><Relationship Id="rId26" Type="http://schemas.openxmlformats.org/officeDocument/2006/relationships/hyperlink" Target="https://www.sec.gov/ix?doc=/Archives/edgar/data/0001065088/000106508822000006/ebay-20211231.htm" TargetMode="External"/><Relationship Id="rId231" Type="http://schemas.openxmlformats.org/officeDocument/2006/relationships/hyperlink" Target="https://www.sec.gov/Archives/edgar/data/1065088/000106508820000030/ebayarcicseveranceplan.htm" TargetMode="External"/><Relationship Id="rId47" Type="http://schemas.openxmlformats.org/officeDocument/2006/relationships/hyperlink" Target="https://www.sec.gov/ix?doc=/Archives/edgar/data/0001065088/000106508822000006/ebay-20211231.htm" TargetMode="External"/><Relationship Id="rId68" Type="http://schemas.openxmlformats.org/officeDocument/2006/relationships/hyperlink" Target="https://www.sec.gov/ix?doc=/Archives/edgar/data/0001065088/000106508822000006/ebay-20211231.htm" TargetMode="External"/><Relationship Id="rId89" Type="http://schemas.openxmlformats.org/officeDocument/2006/relationships/hyperlink" Target="https://www.sec.gov/ix?doc=/Archives/edgar/data/0001065088/000106508822000006/ebay-20211231.htm" TargetMode="External"/><Relationship Id="rId112" Type="http://schemas.openxmlformats.org/officeDocument/2006/relationships/hyperlink" Target="https://www.sec.gov/ix?doc=/Archives/edgar/data/0001065088/000106508822000006/ebay-20211231.htm" TargetMode="External"/><Relationship Id="rId133" Type="http://schemas.openxmlformats.org/officeDocument/2006/relationships/hyperlink" Target="https://www.sec.gov/ix?doc=/Archives/edgar/data/0001065088/000106508822000006/ebay-20211231.htm" TargetMode="External"/><Relationship Id="rId154" Type="http://schemas.openxmlformats.org/officeDocument/2006/relationships/hyperlink" Target="https://www.sec.gov/Archives/edgar/data/1065088/000106508821000006/taletteragreementexecuted.htm" TargetMode="External"/><Relationship Id="rId175" Type="http://schemas.openxmlformats.org/officeDocument/2006/relationships/hyperlink" Target="https://www.sec.gov/Archives/edgar/data/1065088/000119312520169517/d945015dex43.htm" TargetMode="External"/><Relationship Id="rId196" Type="http://schemas.openxmlformats.org/officeDocument/2006/relationships/hyperlink" Target="https://www.sec.gov/Archives/edgar/data/0001065088/000106508821000006/ebayincentiveplan-eipxx202.htm" TargetMode="External"/><Relationship Id="rId200" Type="http://schemas.openxmlformats.org/officeDocument/2006/relationships/hyperlink" Target="http://www.sec.gov/Archives/edgar/data/1065088/000106508813000058/exhibit1001.htm" TargetMode="External"/><Relationship Id="rId16" Type="http://schemas.openxmlformats.org/officeDocument/2006/relationships/hyperlink" Target="https://www.sec.gov/ix?doc=/Archives/edgar/data/0001065088/000106508822000006/ebay-20211231.htm" TargetMode="External"/><Relationship Id="rId221" Type="http://schemas.openxmlformats.org/officeDocument/2006/relationships/hyperlink" Target="http://www.sec.gov/Archives/edgar/data/1065088/000106508819000036/ebay063019ex1002.htm" TargetMode="External"/><Relationship Id="rId242" Type="http://schemas.openxmlformats.org/officeDocument/2006/relationships/fontTable" Target="fontTable.xml"/><Relationship Id="rId37" Type="http://schemas.openxmlformats.org/officeDocument/2006/relationships/hyperlink" Target="https://www.sec.gov/ix?doc=/Archives/edgar/data/0001065088/000106508822000006/ebay-20211231.htm" TargetMode="External"/><Relationship Id="rId58" Type="http://schemas.openxmlformats.org/officeDocument/2006/relationships/hyperlink" Target="https://www.sec.gov/ix?doc=/Archives/edgar/data/0001065088/000106508822000006/ebay-20211231.htm" TargetMode="External"/><Relationship Id="rId79" Type="http://schemas.openxmlformats.org/officeDocument/2006/relationships/hyperlink" Target="https://www.sec.gov/ix?doc=/Archives/edgar/data/0001065088/000106508822000006/ebay-20211231.htm" TargetMode="External"/><Relationship Id="rId102" Type="http://schemas.openxmlformats.org/officeDocument/2006/relationships/hyperlink" Target="https://www.sec.gov/ix?doc=/Archives/edgar/data/0001065088/000106508822000006/ebay-20211231.htm" TargetMode="External"/><Relationship Id="rId123" Type="http://schemas.openxmlformats.org/officeDocument/2006/relationships/hyperlink" Target="https://www.sec.gov/ix?doc=/Archives/edgar/data/0001065088/000106508822000006/ebay-20211231.htm" TargetMode="External"/><Relationship Id="rId144" Type="http://schemas.openxmlformats.org/officeDocument/2006/relationships/hyperlink" Target="https://www.sec.gov/ix?doc=/Archives/edgar/data/0001065088/000106508822000006/ebay-20211231.htm" TargetMode="External"/><Relationship Id="rId90" Type="http://schemas.openxmlformats.org/officeDocument/2006/relationships/hyperlink" Target="https://www.sec.gov/ix?doc=/Archives/edgar/data/0001065088/000106508822000006/ebay-20211231.htm" TargetMode="External"/><Relationship Id="rId165" Type="http://schemas.openxmlformats.org/officeDocument/2006/relationships/hyperlink" Target="http://www.sec.gov/Archives/edgar/data/1065088/000119312514281395/d766247dex43.htm" TargetMode="External"/><Relationship Id="rId186" Type="http://schemas.openxmlformats.org/officeDocument/2006/relationships/hyperlink" Target="http://www.sec.gov/Archives/edgar/data/1065088/000106508812000085/exhibit1011-formofdirector.htm" TargetMode="External"/><Relationship Id="rId211" Type="http://schemas.openxmlformats.org/officeDocument/2006/relationships/hyperlink" Target="http://www.sec.gov/Archives/edgar/data/1065088/000106508819000006/ebay123118ex1046.htm" TargetMode="External"/><Relationship Id="rId232" Type="http://schemas.openxmlformats.org/officeDocument/2006/relationships/hyperlink" Target="https://www.sec.gov/Archives/edgar/data/1065088/000106508820000039/andycringtransitionlet.htm" TargetMode="External"/><Relationship Id="rId27" Type="http://schemas.openxmlformats.org/officeDocument/2006/relationships/hyperlink" Target="https://www.sec.gov/ix?doc=/Archives/edgar/data/0001065088/000106508822000006/ebay-20211231.htm" TargetMode="External"/><Relationship Id="rId48" Type="http://schemas.openxmlformats.org/officeDocument/2006/relationships/hyperlink" Target="https://www.sec.gov/ix?doc=/Archives/edgar/data/0001065088/000106508822000006/ebay-20211231.htm" TargetMode="External"/><Relationship Id="rId69" Type="http://schemas.openxmlformats.org/officeDocument/2006/relationships/hyperlink" Target="https://www.sec.gov/ix?doc=/Archives/edgar/data/0001065088/000106508822000006/ebay-20211231.htm" TargetMode="External"/><Relationship Id="rId113" Type="http://schemas.openxmlformats.org/officeDocument/2006/relationships/hyperlink" Target="https://www.sec.gov/ix?doc=/Archives/edgar/data/0001065088/000106508822000006/ebay-20211231.htm" TargetMode="External"/><Relationship Id="rId134" Type="http://schemas.openxmlformats.org/officeDocument/2006/relationships/hyperlink" Target="https://www.sec.gov/ix?doc=/Archives/edgar/data/0001065088/000106508822000006/ebay-20211231.htm" TargetMode="External"/><Relationship Id="rId80" Type="http://schemas.openxmlformats.org/officeDocument/2006/relationships/hyperlink" Target="https://www.sec.gov/ix?doc=/Archives/edgar/data/0001065088/000106508822000006/ebay-20211231.htm" TargetMode="External"/><Relationship Id="rId155" Type="http://schemas.openxmlformats.org/officeDocument/2006/relationships/hyperlink" Target="https://www.sec.gov/Archives/edgar/data/0001065088/000155278121000562/e21454_ex2-1.htm" TargetMode="External"/><Relationship Id="rId176" Type="http://schemas.openxmlformats.org/officeDocument/2006/relationships/hyperlink" Target="https://www.sec.gov/Archives/edgar/data/1065088/000119312520169517/d945015dex43.htm" TargetMode="External"/><Relationship Id="rId197" Type="http://schemas.openxmlformats.org/officeDocument/2006/relationships/hyperlink" Target="https://www.sec.gov/Archives/edgar/data/0001065088/000106508822000006/ebay123121ex1015deferredco.htm" TargetMode="External"/><Relationship Id="rId201" Type="http://schemas.openxmlformats.org/officeDocument/2006/relationships/hyperlink" Target="http://www.sec.gov/Archives/edgar/data/1065088/000106508813000058/exhibit1002.htm" TargetMode="External"/><Relationship Id="rId222" Type="http://schemas.openxmlformats.org/officeDocument/2006/relationships/hyperlink" Target="http://www.sec.gov/Archives/edgar/data/1065088/000106508819000038/ex101101619.htm" TargetMode="External"/><Relationship Id="rId243" Type="http://schemas.openxmlformats.org/officeDocument/2006/relationships/theme" Target="theme/theme1.xml"/><Relationship Id="rId17" Type="http://schemas.openxmlformats.org/officeDocument/2006/relationships/hyperlink" Target="https://www.sec.gov/ix?doc=/Archives/edgar/data/0001065088/000106508822000006/ebay-20211231.htm" TargetMode="External"/><Relationship Id="rId38" Type="http://schemas.openxmlformats.org/officeDocument/2006/relationships/hyperlink" Target="https://www.sec.gov/ix?doc=/Archives/edgar/data/0001065088/000106508822000006/ebay-20211231.htm" TargetMode="External"/><Relationship Id="rId59" Type="http://schemas.openxmlformats.org/officeDocument/2006/relationships/hyperlink" Target="https://www.sec.gov/ix?doc=/Archives/edgar/data/0001065088/000106508822000006/ebay-20211231.htm" TargetMode="External"/><Relationship Id="rId103" Type="http://schemas.openxmlformats.org/officeDocument/2006/relationships/hyperlink" Target="https://www.sec.gov/ix?doc=/Archives/edgar/data/0001065088/000106508822000006/ebay-20211231.htm" TargetMode="External"/><Relationship Id="rId124" Type="http://schemas.openxmlformats.org/officeDocument/2006/relationships/hyperlink" Target="https://www.sec.gov/ix?doc=/Archives/edgar/data/0001065088/000106508822000006/ebay-20211231.htm" TargetMode="External"/><Relationship Id="rId70" Type="http://schemas.openxmlformats.org/officeDocument/2006/relationships/hyperlink" Target="https://www.sec.gov/ix?doc=/Archives/edgar/data/0001065088/000106508822000006/ebay-20211231.htm" TargetMode="External"/><Relationship Id="rId91" Type="http://schemas.openxmlformats.org/officeDocument/2006/relationships/hyperlink" Target="https://www.sec.gov/ix?doc=/Archives/edgar/data/0001065088/000106508822000006/ebay-20211231.htm" TargetMode="External"/><Relationship Id="rId145" Type="http://schemas.openxmlformats.org/officeDocument/2006/relationships/hyperlink" Target="https://www.sec.gov/ix?doc=/Archives/edgar/data/0001065088/000106508822000006/ebay-20211231.htm" TargetMode="External"/><Relationship Id="rId166" Type="http://schemas.openxmlformats.org/officeDocument/2006/relationships/hyperlink" Target="http://www.sec.gov/Archives/edgar/data/1065088/000119312514281395/d766247dex43.htm" TargetMode="External"/><Relationship Id="rId187" Type="http://schemas.openxmlformats.org/officeDocument/2006/relationships/hyperlink" Target="http://www.sec.gov/Archives/edgar/data/1065088/000106508812000085/exhibit1012-formofelecting.htm" TargetMode="External"/><Relationship Id="rId1" Type="http://schemas.openxmlformats.org/officeDocument/2006/relationships/styles" Target="styles.xml"/><Relationship Id="rId212" Type="http://schemas.openxmlformats.org/officeDocument/2006/relationships/hyperlink" Target="http://www.sec.gov/Archives/edgar/data/1065088/000106508816000317/ebay063016ex1004.htm" TargetMode="External"/><Relationship Id="rId233" Type="http://schemas.openxmlformats.org/officeDocument/2006/relationships/hyperlink" Target="https://www.sec.gov/Archives/edgar/data/1065088/000106508821000030/stevepriestofferletter.htm" TargetMode="External"/><Relationship Id="rId28" Type="http://schemas.openxmlformats.org/officeDocument/2006/relationships/hyperlink" Target="https://www.sec.gov/ix?doc=/Archives/edgar/data/0001065088/000106508822000006/ebay-20211231.htm" TargetMode="External"/><Relationship Id="rId49" Type="http://schemas.openxmlformats.org/officeDocument/2006/relationships/hyperlink" Target="https://www.sec.gov/ix?doc=/Archives/edgar/data/0001065088/000106508822000006/ebay-20211231.htm" TargetMode="External"/><Relationship Id="rId114" Type="http://schemas.openxmlformats.org/officeDocument/2006/relationships/hyperlink" Target="https://www.sec.gov/ix?doc=/Archives/edgar/data/0001065088/000106508822000006/ebay-20211231.htm" TargetMode="External"/><Relationship Id="rId60" Type="http://schemas.openxmlformats.org/officeDocument/2006/relationships/hyperlink" Target="https://www.sec.gov/ix?doc=/Archives/edgar/data/0001065088/000106508822000006/ebay-20211231.htm" TargetMode="External"/><Relationship Id="rId81" Type="http://schemas.openxmlformats.org/officeDocument/2006/relationships/hyperlink" Target="https://www.sec.gov/ix?doc=/Archives/edgar/data/0001065088/000106508822000006/ebay-20211231.htm" TargetMode="External"/><Relationship Id="rId135" Type="http://schemas.openxmlformats.org/officeDocument/2006/relationships/hyperlink" Target="https://www.sec.gov/ix?doc=/Archives/edgar/data/0001065088/000106508822000006/ebay-20211231.htm" TargetMode="External"/><Relationship Id="rId156" Type="http://schemas.openxmlformats.org/officeDocument/2006/relationships/hyperlink" Target="https://www.sec.gov/Archives/edgar/data/0001065088/000155278121000562/e21454_ex2-1.htm" TargetMode="External"/><Relationship Id="rId177" Type="http://schemas.openxmlformats.org/officeDocument/2006/relationships/hyperlink" Target="https://www.sec.gov/ix?doc=/Archives/edgar/data/0001065088/000106508822000006/ebay-20211231.htm" TargetMode="External"/><Relationship Id="rId198" Type="http://schemas.openxmlformats.org/officeDocument/2006/relationships/hyperlink" Target="http://www.sec.gov/Archives/edgar/data/1065088/000119312512121732/d284882ddef14a.htm" TargetMode="External"/><Relationship Id="rId202" Type="http://schemas.openxmlformats.org/officeDocument/2006/relationships/hyperlink" Target="http://www.sec.gov/Archives/edgar/data/1065088/000106508813000058/exhibit1003.htm" TargetMode="External"/><Relationship Id="rId223" Type="http://schemas.openxmlformats.org/officeDocument/2006/relationships/hyperlink" Target="http://www.sec.gov/Archives/edgar/data/1065088/000106508819000038/ex102101619.htm" TargetMode="External"/><Relationship Id="rId18" Type="http://schemas.openxmlformats.org/officeDocument/2006/relationships/hyperlink" Target="https://www.sec.gov/ix?doc=/Archives/edgar/data/0001065088/000106508822000006/ebay-20211231.htm" TargetMode="External"/><Relationship Id="rId39" Type="http://schemas.openxmlformats.org/officeDocument/2006/relationships/hyperlink" Target="https://www.sec.gov/ix?doc=/Archives/edgar/data/0001065088/000106508822000006/ebay-20211231.htm" TargetMode="External"/><Relationship Id="rId50" Type="http://schemas.openxmlformats.org/officeDocument/2006/relationships/hyperlink" Target="https://www.sec.gov/ix?doc=/Archives/edgar/data/0001065088/000106508822000006/ebay-20211231.htm" TargetMode="External"/><Relationship Id="rId104" Type="http://schemas.openxmlformats.org/officeDocument/2006/relationships/hyperlink" Target="https://www.sec.gov/ix?doc=/Archives/edgar/data/0001065088/000106508822000006/ebay-20211231.htm" TargetMode="External"/><Relationship Id="rId125" Type="http://schemas.openxmlformats.org/officeDocument/2006/relationships/hyperlink" Target="https://www.sec.gov/ix?doc=/Archives/edgar/data/0001065088/000106508822000006/ebay-20211231.htm" TargetMode="External"/><Relationship Id="rId146" Type="http://schemas.openxmlformats.org/officeDocument/2006/relationships/hyperlink" Target="https://www.sec.gov/ix?doc=/Archives/edgar/data/0001065088/000106508822000006/ebay-20211231.htm" TargetMode="External"/><Relationship Id="rId167" Type="http://schemas.openxmlformats.org/officeDocument/2006/relationships/hyperlink" Target="http://www.sec.gov/Archives/edgar/data/1065088/000119312514281395/d766247dex43.htm" TargetMode="External"/><Relationship Id="rId188" Type="http://schemas.openxmlformats.org/officeDocument/2006/relationships/hyperlink" Target="http://www.sec.gov/Archives/edgar/data/1065088/000106508812000085/exhibit1013-formofnewdirec.htm" TargetMode="External"/><Relationship Id="rId71" Type="http://schemas.openxmlformats.org/officeDocument/2006/relationships/hyperlink" Target="https://www.sec.gov/ix?doc=/Archives/edgar/data/0001065088/000106508822000006/ebay-20211231.htm" TargetMode="External"/><Relationship Id="rId92" Type="http://schemas.openxmlformats.org/officeDocument/2006/relationships/hyperlink" Target="https://www.sec.gov/ix?doc=/Archives/edgar/data/0001065088/000106508822000006/ebay-20211231.htm" TargetMode="External"/><Relationship Id="rId213" Type="http://schemas.openxmlformats.org/officeDocument/2006/relationships/hyperlink" Target="http://www.sec.gov/Archives/edgar/data/1065088/000119312515257121/d93601dex101.htm" TargetMode="External"/><Relationship Id="rId234" Type="http://schemas.openxmlformats.org/officeDocument/2006/relationships/hyperlink" Target="https://www.sec.gov/Archives/edgar/data/0001065088/000106508822000006/ebay123121ex2101.htm" TargetMode="External"/><Relationship Id="rId2" Type="http://schemas.openxmlformats.org/officeDocument/2006/relationships/settings" Target="settings.xml"/><Relationship Id="rId29" Type="http://schemas.openxmlformats.org/officeDocument/2006/relationships/hyperlink" Target="https://www.sec.gov/ix?doc=/Archives/edgar/data/0001065088/000106508822000006/ebay-20211231.htm" TargetMode="External"/><Relationship Id="rId40" Type="http://schemas.openxmlformats.org/officeDocument/2006/relationships/hyperlink" Target="https://www.sec.gov/ix?doc=/Archives/edgar/data/0001065088/000106508822000006/ebay-20211231.htm" TargetMode="External"/><Relationship Id="rId115" Type="http://schemas.openxmlformats.org/officeDocument/2006/relationships/hyperlink" Target="https://www.sec.gov/ix?doc=/Archives/edgar/data/0001065088/000106508822000006/ebay-20211231.htm" TargetMode="External"/><Relationship Id="rId136" Type="http://schemas.openxmlformats.org/officeDocument/2006/relationships/hyperlink" Target="https://www.sec.gov/ix?doc=/Archives/edgar/data/0001065088/000106508822000006/ebay-20211231.htm" TargetMode="External"/><Relationship Id="rId157" Type="http://schemas.openxmlformats.org/officeDocument/2006/relationships/hyperlink" Target="https://www.sec.gov/Archives/edgar/data/0001065088/000155278121000586/e21476_ex2-1.htm" TargetMode="External"/><Relationship Id="rId178" Type="http://schemas.openxmlformats.org/officeDocument/2006/relationships/hyperlink" Target="https://www.sec.gov/Archives/edgar/data/1065088/000106508820000006/a410descriptionofsecur.htm" TargetMode="External"/><Relationship Id="rId61" Type="http://schemas.openxmlformats.org/officeDocument/2006/relationships/hyperlink" Target="https://www.sec.gov/ix?doc=/Archives/edgar/data/0001065088/000106508822000006/ebay-20211231.htm" TargetMode="External"/><Relationship Id="rId82" Type="http://schemas.openxmlformats.org/officeDocument/2006/relationships/hyperlink" Target="https://www.sec.gov/ix?doc=/Archives/edgar/data/0001065088/000106508822000006/ebay-20211231.htm" TargetMode="External"/><Relationship Id="rId199" Type="http://schemas.openxmlformats.org/officeDocument/2006/relationships/hyperlink" Target="http://www.sec.gov/Archives/edgar/data/1065088/000106508815000257/ex1001.htm" TargetMode="External"/><Relationship Id="rId203" Type="http://schemas.openxmlformats.org/officeDocument/2006/relationships/hyperlink" Target="http://www.sec.gov/Archives/edgar/data/1065088/000106508814000120/ebayq2201410qex1002.htm" TargetMode="External"/><Relationship Id="rId19" Type="http://schemas.openxmlformats.org/officeDocument/2006/relationships/hyperlink" Target="https://www.sec.gov/ix?doc=/Archives/edgar/data/0001065088/000106508822000006/ebay-20211231.htm" TargetMode="External"/><Relationship Id="rId224" Type="http://schemas.openxmlformats.org/officeDocument/2006/relationships/hyperlink" Target="https://www.sec.gov/Archives/edgar/data/1065088/000119312520070398/d899490dex101.htm" TargetMode="External"/><Relationship Id="rId30" Type="http://schemas.openxmlformats.org/officeDocument/2006/relationships/hyperlink" Target="https://www.sec.gov/ix?doc=/Archives/edgar/data/0001065088/000106508822000006/ebay-20211231.htm" TargetMode="External"/><Relationship Id="rId105" Type="http://schemas.openxmlformats.org/officeDocument/2006/relationships/hyperlink" Target="https://www.sec.gov/ix?doc=/Archives/edgar/data/0001065088/000106508822000006/ebay-20211231.htm" TargetMode="External"/><Relationship Id="rId126" Type="http://schemas.openxmlformats.org/officeDocument/2006/relationships/hyperlink" Target="https://www.sec.gov/ix?doc=/Archives/edgar/data/0001065088/000106508822000006/ebay-20211231.htm" TargetMode="External"/><Relationship Id="rId147" Type="http://schemas.openxmlformats.org/officeDocument/2006/relationships/hyperlink" Target="https://www.sec.gov/ix?doc=/Archives/edgar/data/0001065088/000106508822000006/ebay-20211231.htm" TargetMode="External"/><Relationship Id="rId168" Type="http://schemas.openxmlformats.org/officeDocument/2006/relationships/hyperlink" Target="http://www.sec.gov/Archives/edgar/data/1065088/000119312514281395/d766247dex43.htm" TargetMode="External"/><Relationship Id="rId51" Type="http://schemas.openxmlformats.org/officeDocument/2006/relationships/hyperlink" Target="https://www.sec.gov/ix?doc=/Archives/edgar/data/0001065088/000106508822000006/ebay-20211231.htm" TargetMode="External"/><Relationship Id="rId72" Type="http://schemas.openxmlformats.org/officeDocument/2006/relationships/hyperlink" Target="https://www.sec.gov/ix?doc=/Archives/edgar/data/0001065088/000106508822000006/ebay-20211231.htm" TargetMode="External"/><Relationship Id="rId93" Type="http://schemas.openxmlformats.org/officeDocument/2006/relationships/hyperlink" Target="https://www.sec.gov/ix?doc=/Archives/edgar/data/0001065088/000106508822000006/ebay-20211231.htm" TargetMode="External"/><Relationship Id="rId189" Type="http://schemas.openxmlformats.org/officeDocument/2006/relationships/hyperlink" Target="http://www.sec.gov/Archives/edgar/data/1065088/000089161808000231/f40060a1exv10w01.htm" TargetMode="External"/><Relationship Id="rId3" Type="http://schemas.openxmlformats.org/officeDocument/2006/relationships/webSettings" Target="webSettings.xml"/><Relationship Id="rId214" Type="http://schemas.openxmlformats.org/officeDocument/2006/relationships/hyperlink" Target="http://www.sec.gov/Archives/edgar/data/1065088/000119312515257121/d93601dex102.htm" TargetMode="External"/><Relationship Id="rId235" Type="http://schemas.openxmlformats.org/officeDocument/2006/relationships/hyperlink" Target="https://www.sec.gov/Archives/edgar/data/0001065088/000106508822000006/ebay123121ex2301.htm" TargetMode="External"/><Relationship Id="rId116" Type="http://schemas.openxmlformats.org/officeDocument/2006/relationships/hyperlink" Target="https://www.sec.gov/ix?doc=/Archives/edgar/data/0001065088/000106508822000006/ebay-20211231.htm" TargetMode="External"/><Relationship Id="rId137" Type="http://schemas.openxmlformats.org/officeDocument/2006/relationships/hyperlink" Target="https://www.sec.gov/ix?doc=/Archives/edgar/data/0001065088/000106508822000006/ebay-20211231.htm" TargetMode="External"/><Relationship Id="rId158" Type="http://schemas.openxmlformats.org/officeDocument/2006/relationships/hyperlink" Target="http://www.sec.gov/Archives/edgar/data/1065088/000106508819000036/ebay063019ex301.htm" TargetMode="External"/><Relationship Id="rId20" Type="http://schemas.openxmlformats.org/officeDocument/2006/relationships/hyperlink" Target="https://www.sec.gov/ix?doc=/Archives/edgar/data/0001065088/000106508822000006/ebay-20211231.htm" TargetMode="External"/><Relationship Id="rId41" Type="http://schemas.openxmlformats.org/officeDocument/2006/relationships/hyperlink" Target="https://www.sec.gov/ix?doc=/Archives/edgar/data/0001065088/000106508822000006/ebay-20211231.htm" TargetMode="External"/><Relationship Id="rId62" Type="http://schemas.openxmlformats.org/officeDocument/2006/relationships/hyperlink" Target="https://www.sec.gov/ix?doc=/Archives/edgar/data/0001065088/000106508822000006/ebay-20211231.htm" TargetMode="External"/><Relationship Id="rId83" Type="http://schemas.openxmlformats.org/officeDocument/2006/relationships/hyperlink" Target="https://www.sec.gov/ix?doc=/Archives/edgar/data/0001065088/000106508822000006/ebay-20211231.htm" TargetMode="External"/><Relationship Id="rId179" Type="http://schemas.openxmlformats.org/officeDocument/2006/relationships/hyperlink" Target="https://www.sec.gov/Archives/edgar/data/0001065088/000155278121000393/e21349_ex4-3.htm" TargetMode="External"/><Relationship Id="rId190" Type="http://schemas.openxmlformats.org/officeDocument/2006/relationships/hyperlink" Target="http://www.sec.gov/Archives/edgar/data/1065088/000106508816000300/ebayex1001.htm" TargetMode="External"/><Relationship Id="rId204" Type="http://schemas.openxmlformats.org/officeDocument/2006/relationships/hyperlink" Target="https://www.sec.gov/ix?doc=/Archives/edgar/data/0001065088/000106508822000006/ebay-20211231.htm" TargetMode="External"/><Relationship Id="rId225" Type="http://schemas.openxmlformats.org/officeDocument/2006/relationships/hyperlink" Target="https://www.sec.gov/ix?doc=/Archives/edgar/data/0001065088/000106508822000006/ebay-202112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65560</Words>
  <Characters>373698</Characters>
  <Application>Microsoft Office Word</Application>
  <DocSecurity>0</DocSecurity>
  <Lines>3114</Lines>
  <Paragraphs>876</Paragraphs>
  <ScaleCrop>false</ScaleCrop>
  <Company/>
  <LinksUpToDate>false</LinksUpToDate>
  <CharactersWithSpaces>438382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2023-02-11T19:19:00Z</dcterms:created>
  <dcterms:modified xsi:type="dcterms:W3CDTF">2023-02-13T13:06:00Z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E86EC3C966EBE026B879E763C622BBB1</vt:lpwstr>
  </property>
</Properties>
</file>